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p>
    <w:p>
      <w:pPr>
        <w:spacing w:line="600" w:lineRule="exact"/>
      </w:pPr>
    </w:p>
    <w:p>
      <w:pPr>
        <w:spacing w:line="600" w:lineRule="exact"/>
      </w:pPr>
      <w:r>
        <w:pict>
          <v:shape id="艺术字 16" o:spid="_x0000_s1026" o:spt="136" type="#_x0000_t136" style="position:absolute;left:0pt;margin-left:8.5pt;margin-top:2.3pt;height:100.15pt;width:354.05pt;z-index:251658240;mso-width-relative:page;mso-height-relative:page;" fillcolor="#FF0000" filled="t" stroked="t" coordsize="21600,21600">
            <v:path/>
            <v:fill on="t" focussize="0,0"/>
            <v:stroke color="#FF0000"/>
            <v:imagedata o:title=""/>
            <o:lock v:ext="edit"/>
            <v:textpath on="t" fitshape="t" fitpath="t" trim="t" xscale="f" string="湖州市发展和改革委员会&#10;湖州市卫生和计划生育局" style="font-family:宋体;font-size:36pt;v-text-align:center;"/>
          </v:shape>
        </w:pict>
      </w:r>
    </w:p>
    <w:p>
      <w:pPr>
        <w:spacing w:line="600" w:lineRule="exact"/>
      </w:pPr>
      <w:r>
        <w:pict>
          <v:shape id="艺术字 14" o:spid="_x0000_s1027" o:spt="136" type="#_x0000_t136" style="position:absolute;left:0pt;margin-left:367.75pt;margin-top:7.1pt;height:40.6pt;width:61.55pt;z-index:251659264;mso-width-relative:page;mso-height-relative:page;" fillcolor="#FF0000" filled="t" stroked="t" coordsize="21600,21600">
            <v:path/>
            <v:fill on="t" focussize="0,0"/>
            <v:stroke weight="1.5pt" color="#FF0000"/>
            <v:imagedata o:title=""/>
            <o:lock v:ext="edit"/>
            <v:textpath on="t" fitpath="t" trim="t" xscale="f" string="文件" style="font-family:宋体;font-size:36pt;v-same-letter-heights:t;v-text-align:center;"/>
          </v:shape>
        </w:pict>
      </w:r>
    </w:p>
    <w:p>
      <w:pPr>
        <w:spacing w:line="600" w:lineRule="exact"/>
      </w:pPr>
    </w:p>
    <w:p>
      <w:pPr>
        <w:spacing w:line="600" w:lineRule="exact"/>
      </w:pPr>
    </w:p>
    <w:p>
      <w:pPr>
        <w:jc w:val="center"/>
        <w:rPr>
          <w:rFonts w:eastAsia="仿宋_GB2312"/>
          <w:sz w:val="32"/>
          <w:szCs w:val="32"/>
        </w:rPr>
      </w:pPr>
    </w:p>
    <w:p>
      <w:pPr>
        <w:jc w:val="center"/>
        <w:rPr>
          <w:rFonts w:eastAsia="仿宋_GB2312"/>
          <w:sz w:val="32"/>
          <w:szCs w:val="32"/>
        </w:rPr>
      </w:pPr>
      <w:r>
        <w:rPr>
          <w:rFonts w:hint="eastAsia" w:eastAsia="仿宋_GB2312"/>
          <w:sz w:val="32"/>
          <w:szCs w:val="32"/>
        </w:rPr>
        <w:t>湖发改规划〔</w:t>
      </w:r>
      <w:r>
        <w:rPr>
          <w:rFonts w:eastAsia="仿宋_GB2312"/>
          <w:sz w:val="32"/>
          <w:szCs w:val="32"/>
        </w:rPr>
        <w:t>2016</w:t>
      </w:r>
      <w:r>
        <w:rPr>
          <w:rFonts w:hint="eastAsia" w:eastAsia="仿宋_GB2312"/>
          <w:sz w:val="32"/>
          <w:szCs w:val="32"/>
        </w:rPr>
        <w:t>〕</w:t>
      </w:r>
      <w:r>
        <w:rPr>
          <w:rFonts w:eastAsia="仿宋_GB2312"/>
          <w:sz w:val="32"/>
          <w:szCs w:val="32"/>
        </w:rPr>
        <w:t>362</w:t>
      </w:r>
      <w:r>
        <w:rPr>
          <w:rFonts w:hint="eastAsia" w:eastAsia="仿宋_GB2312"/>
          <w:sz w:val="32"/>
          <w:szCs w:val="32"/>
        </w:rPr>
        <w:t>号</w:t>
      </w:r>
    </w:p>
    <w:p>
      <w:pPr>
        <w:spacing w:line="400" w:lineRule="exact"/>
        <w:jc w:val="center"/>
        <w:rPr>
          <w:rFonts w:eastAsia="仿宋_GB2312"/>
          <w:sz w:val="32"/>
          <w:szCs w:val="32"/>
        </w:rPr>
      </w:pPr>
      <w:r>
        <w:pict>
          <v:shape id="图片 1" o:spid="_x0000_s1028" o:spt="75" type="#_x0000_t75" style="position:absolute;left:0pt;margin-left:2.15pt;margin-top:1pt;height:3.75pt;width:444pt;mso-wrap-distance-bottom:0pt;mso-wrap-distance-left:9pt;mso-wrap-distance-right:9pt;mso-wrap-distance-top:0pt;z-index:251660288;mso-width-relative:page;mso-height-relative:page;" filled="f" o:preferrelative="t" stroked="f" coordsize="21600,21600">
            <v:path/>
            <v:fill on="f" focussize="0,0"/>
            <v:stroke on="f" joinstyle="miter"/>
            <v:imagedata r:id="rId8" o:title=""/>
            <o:lock v:ext="edit" aspectratio="t"/>
            <w10:wrap type="square"/>
          </v:shape>
        </w:pict>
      </w:r>
    </w:p>
    <w:p>
      <w:pPr>
        <w:spacing w:line="400" w:lineRule="exact"/>
        <w:jc w:val="center"/>
        <w:rPr>
          <w:rFonts w:eastAsia="仿宋_GB2312"/>
          <w:sz w:val="32"/>
          <w:szCs w:val="32"/>
        </w:rPr>
      </w:pPr>
    </w:p>
    <w:p>
      <w:pPr>
        <w:spacing w:line="700" w:lineRule="exact"/>
        <w:jc w:val="center"/>
        <w:rPr>
          <w:rFonts w:ascii="方正小标宋简体" w:hAnsi="宋体" w:eastAsia="方正小标宋简体" w:cs="宋体"/>
          <w:bCs/>
          <w:color w:val="000000"/>
          <w:kern w:val="2"/>
          <w:sz w:val="44"/>
          <w:szCs w:val="44"/>
        </w:rPr>
      </w:pPr>
      <w:r>
        <w:rPr>
          <w:rFonts w:hint="eastAsia" w:ascii="方正小标宋简体" w:hAnsi="宋体" w:eastAsia="方正小标宋简体" w:cs="宋体"/>
          <w:bCs/>
          <w:color w:val="000000"/>
          <w:kern w:val="2"/>
          <w:sz w:val="44"/>
          <w:szCs w:val="44"/>
        </w:rPr>
        <w:t>关于印发湖州市卫生和计划生育事业发展</w:t>
      </w:r>
    </w:p>
    <w:p>
      <w:pPr>
        <w:spacing w:line="700" w:lineRule="exact"/>
        <w:jc w:val="center"/>
        <w:rPr>
          <w:rFonts w:ascii="方正小标宋简体" w:hAnsi="宋体" w:eastAsia="方正小标宋简体" w:cs="宋体"/>
          <w:bCs/>
          <w:color w:val="000000"/>
          <w:kern w:val="2"/>
          <w:sz w:val="44"/>
          <w:szCs w:val="44"/>
        </w:rPr>
      </w:pPr>
      <w:r>
        <w:rPr>
          <w:rFonts w:hint="eastAsia" w:ascii="方正小标宋简体" w:hAnsi="宋体" w:eastAsia="方正小标宋简体" w:cs="宋体"/>
          <w:bCs/>
          <w:color w:val="000000"/>
          <w:kern w:val="2"/>
          <w:sz w:val="44"/>
          <w:szCs w:val="44"/>
        </w:rPr>
        <w:t>“十三五”规划的通知</w:t>
      </w:r>
    </w:p>
    <w:p>
      <w:pPr>
        <w:rPr>
          <w:rFonts w:eastAsia="仿宋_GB2312"/>
          <w:color w:val="000000"/>
          <w:kern w:val="2"/>
          <w:sz w:val="32"/>
          <w:szCs w:val="32"/>
        </w:rPr>
      </w:pPr>
    </w:p>
    <w:p>
      <w:pPr>
        <w:spacing w:line="560" w:lineRule="exact"/>
        <w:rPr>
          <w:rFonts w:eastAsia="仿宋_GB2312" w:cs="仿宋_GB2312"/>
          <w:color w:val="000000"/>
          <w:kern w:val="2"/>
          <w:sz w:val="32"/>
          <w:szCs w:val="32"/>
        </w:rPr>
      </w:pPr>
      <w:r>
        <w:rPr>
          <w:rFonts w:hint="eastAsia" w:eastAsia="仿宋_GB2312" w:cs="仿宋_GB2312"/>
          <w:color w:val="000000"/>
          <w:kern w:val="2"/>
          <w:sz w:val="32"/>
          <w:szCs w:val="32"/>
        </w:rPr>
        <w:t>各县区人民政府，市级有关部门（单位）：</w:t>
      </w:r>
    </w:p>
    <w:p>
      <w:pPr>
        <w:spacing w:line="560" w:lineRule="exact"/>
        <w:ind w:firstLine="645"/>
        <w:rPr>
          <w:rFonts w:eastAsia="仿宋_GB2312" w:cs="仿宋_GB2312"/>
          <w:color w:val="000000"/>
          <w:kern w:val="2"/>
          <w:sz w:val="32"/>
          <w:szCs w:val="32"/>
        </w:rPr>
      </w:pPr>
      <w:r>
        <w:rPr>
          <w:rFonts w:hint="eastAsia" w:eastAsia="仿宋_GB2312" w:cs="仿宋_GB2312"/>
          <w:color w:val="000000"/>
          <w:kern w:val="2"/>
          <w:sz w:val="32"/>
          <w:szCs w:val="32"/>
        </w:rPr>
        <w:t>《湖州市卫生和计划生育事业发展“十三五”规划》是列入市级“十三五”专项规划编制目录的专项规划。现印发给你们，请结合实际，认真组织实施。</w:t>
      </w:r>
    </w:p>
    <w:p>
      <w:pPr>
        <w:spacing w:line="560" w:lineRule="exact"/>
        <w:ind w:firstLine="645"/>
        <w:rPr>
          <w:rFonts w:eastAsia="仿宋_GB2312" w:cs="仿宋_GB2312"/>
          <w:color w:val="000000"/>
          <w:kern w:val="2"/>
          <w:sz w:val="32"/>
          <w:szCs w:val="32"/>
        </w:rPr>
      </w:pPr>
    </w:p>
    <w:p>
      <w:pPr>
        <w:spacing w:line="560" w:lineRule="exact"/>
        <w:ind w:firstLine="645"/>
        <w:rPr>
          <w:rFonts w:eastAsia="仿宋_GB2312" w:cs="仿宋_GB2312"/>
          <w:color w:val="000000"/>
          <w:kern w:val="2"/>
          <w:sz w:val="32"/>
          <w:szCs w:val="32"/>
        </w:rPr>
      </w:pPr>
    </w:p>
    <w:p>
      <w:pPr>
        <w:spacing w:line="560" w:lineRule="exact"/>
        <w:rPr>
          <w:rFonts w:eastAsia="仿宋_GB2312" w:cs="仿宋_GB2312"/>
          <w:color w:val="000000"/>
          <w:kern w:val="2"/>
          <w:sz w:val="32"/>
          <w:szCs w:val="32"/>
        </w:rPr>
      </w:pPr>
      <w:r>
        <w:rPr>
          <w:rFonts w:eastAsia="仿宋_GB2312" w:cs="仿宋_GB2312"/>
          <w:color w:val="000000"/>
          <w:kern w:val="2"/>
          <w:sz w:val="32"/>
          <w:szCs w:val="32"/>
        </w:rPr>
        <w:t xml:space="preserve">    </w:t>
      </w:r>
    </w:p>
    <w:p>
      <w:pPr>
        <w:tabs>
          <w:tab w:val="left" w:pos="8080"/>
        </w:tabs>
        <w:spacing w:line="560" w:lineRule="exact"/>
        <w:rPr>
          <w:rFonts w:eastAsia="仿宋_GB2312" w:cs="仿宋_GB2312"/>
          <w:color w:val="000000"/>
          <w:kern w:val="2"/>
          <w:sz w:val="32"/>
          <w:szCs w:val="32"/>
        </w:rPr>
      </w:pPr>
      <w:r>
        <w:rPr>
          <w:rFonts w:eastAsia="仿宋_GB2312" w:cs="仿宋_GB2312"/>
          <w:color w:val="000000"/>
          <w:kern w:val="2"/>
          <w:sz w:val="32"/>
          <w:szCs w:val="32"/>
        </w:rPr>
        <w:t xml:space="preserve">  </w:t>
      </w:r>
      <w:r>
        <w:rPr>
          <w:rFonts w:hint="eastAsia" w:eastAsia="仿宋_GB2312" w:cs="仿宋_GB2312"/>
          <w:color w:val="000000"/>
          <w:kern w:val="2"/>
          <w:sz w:val="32"/>
          <w:szCs w:val="32"/>
        </w:rPr>
        <w:t>湖州市发展和改革委员会</w:t>
      </w:r>
      <w:r>
        <w:rPr>
          <w:rFonts w:eastAsia="仿宋_GB2312" w:cs="仿宋_GB2312"/>
          <w:color w:val="000000"/>
          <w:kern w:val="2"/>
          <w:sz w:val="32"/>
          <w:szCs w:val="32"/>
        </w:rPr>
        <w:t xml:space="preserve">      </w:t>
      </w:r>
      <w:r>
        <w:rPr>
          <w:rFonts w:hint="eastAsia" w:eastAsia="仿宋_GB2312" w:cs="仿宋_GB2312"/>
          <w:color w:val="000000"/>
          <w:kern w:val="2"/>
          <w:sz w:val="32"/>
          <w:szCs w:val="32"/>
        </w:rPr>
        <w:t>湖州市卫生和计划生育局</w:t>
      </w:r>
    </w:p>
    <w:p>
      <w:pPr>
        <w:tabs>
          <w:tab w:val="left" w:pos="7371"/>
        </w:tabs>
        <w:spacing w:line="560" w:lineRule="exact"/>
        <w:jc w:val="center"/>
        <w:rPr>
          <w:rFonts w:ascii="仿宋_GB2312" w:hAnsi="仿宋_GB2312" w:eastAsia="仿宋_GB2312" w:cs="仿宋_GB2312"/>
          <w:color w:val="000000"/>
          <w:w w:val="110"/>
          <w:kern w:val="2"/>
          <w:sz w:val="32"/>
          <w:szCs w:val="32"/>
        </w:rPr>
      </w:pPr>
      <w:r>
        <w:rPr>
          <w:rFonts w:ascii="仿宋_GB2312" w:hAnsi="仿宋_GB2312" w:eastAsia="仿宋_GB2312" w:cs="仿宋_GB2312"/>
          <w:color w:val="000000"/>
          <w:w w:val="110"/>
          <w:kern w:val="2"/>
          <w:sz w:val="32"/>
          <w:szCs w:val="32"/>
        </w:rPr>
        <w:t>2016</w:t>
      </w:r>
      <w:r>
        <w:rPr>
          <w:rFonts w:hint="eastAsia" w:ascii="仿宋_GB2312" w:hAnsi="仿宋_GB2312" w:eastAsia="仿宋_GB2312" w:cs="仿宋_GB2312"/>
          <w:color w:val="000000"/>
          <w:w w:val="110"/>
          <w:kern w:val="2"/>
          <w:sz w:val="32"/>
          <w:szCs w:val="32"/>
        </w:rPr>
        <w:t>年</w:t>
      </w:r>
      <w:r>
        <w:rPr>
          <w:rFonts w:ascii="仿宋_GB2312" w:hAnsi="仿宋_GB2312" w:eastAsia="仿宋_GB2312" w:cs="仿宋_GB2312"/>
          <w:color w:val="000000"/>
          <w:w w:val="110"/>
          <w:kern w:val="2"/>
          <w:sz w:val="32"/>
          <w:szCs w:val="32"/>
        </w:rPr>
        <w:t>12</w:t>
      </w:r>
      <w:r>
        <w:rPr>
          <w:rFonts w:hint="eastAsia" w:ascii="仿宋_GB2312" w:hAnsi="仿宋_GB2312" w:eastAsia="仿宋_GB2312" w:cs="仿宋_GB2312"/>
          <w:color w:val="000000"/>
          <w:w w:val="110"/>
          <w:kern w:val="2"/>
          <w:sz w:val="32"/>
          <w:szCs w:val="32"/>
        </w:rPr>
        <w:t>月</w:t>
      </w:r>
      <w:r>
        <w:rPr>
          <w:rFonts w:ascii="仿宋_GB2312" w:hAnsi="仿宋_GB2312" w:eastAsia="仿宋_GB2312" w:cs="仿宋_GB2312"/>
          <w:color w:val="000000"/>
          <w:w w:val="110"/>
          <w:kern w:val="2"/>
          <w:sz w:val="32"/>
          <w:szCs w:val="32"/>
        </w:rPr>
        <w:t>30</w:t>
      </w:r>
      <w:r>
        <w:rPr>
          <w:rFonts w:hint="eastAsia" w:ascii="仿宋_GB2312" w:hAnsi="仿宋_GB2312" w:eastAsia="仿宋_GB2312" w:cs="仿宋_GB2312"/>
          <w:color w:val="000000"/>
          <w:w w:val="110"/>
          <w:kern w:val="2"/>
          <w:sz w:val="32"/>
          <w:szCs w:val="32"/>
        </w:rPr>
        <w:t>日</w:t>
      </w:r>
    </w:p>
    <w:p>
      <w:pPr>
        <w:tabs>
          <w:tab w:val="left" w:pos="7371"/>
        </w:tabs>
        <w:spacing w:line="600" w:lineRule="exact"/>
        <w:jc w:val="center"/>
        <w:rPr>
          <w:rFonts w:ascii="黑体" w:hAnsi="黑体" w:eastAsia="黑体" w:cs="黑体"/>
          <w:kern w:val="2"/>
          <w:sz w:val="36"/>
          <w:szCs w:val="36"/>
        </w:rPr>
      </w:pPr>
    </w:p>
    <w:p>
      <w:pPr>
        <w:tabs>
          <w:tab w:val="left" w:pos="7371"/>
        </w:tabs>
        <w:spacing w:line="600" w:lineRule="exact"/>
        <w:jc w:val="center"/>
        <w:rPr>
          <w:rFonts w:ascii="方正小标宋简体" w:hAnsi="黑体" w:eastAsia="方正小标宋简体" w:cs="黑体"/>
          <w:spacing w:val="-8"/>
          <w:kern w:val="2"/>
          <w:sz w:val="44"/>
          <w:szCs w:val="44"/>
        </w:rPr>
      </w:pPr>
      <w:r>
        <w:rPr>
          <w:rFonts w:hint="eastAsia" w:ascii="方正小标宋简体" w:hAnsi="黑体" w:eastAsia="方正小标宋简体" w:cs="黑体"/>
          <w:spacing w:val="-8"/>
          <w:kern w:val="2"/>
          <w:sz w:val="44"/>
          <w:szCs w:val="44"/>
        </w:rPr>
        <w:t>湖州市卫生和计划生育事业发展“十三五”规划</w:t>
      </w:r>
    </w:p>
    <w:p>
      <w:pPr>
        <w:widowControl/>
        <w:spacing w:line="540" w:lineRule="exact"/>
        <w:ind w:firstLine="640"/>
        <w:textAlignment w:val="center"/>
        <w:rPr>
          <w:rFonts w:ascii="仿宋_GB2312" w:hAnsi="仿宋" w:eastAsia="仿宋_GB2312" w:cs="仿宋"/>
          <w:color w:val="000000"/>
          <w:sz w:val="30"/>
          <w:szCs w:val="30"/>
        </w:rPr>
      </w:pPr>
    </w:p>
    <w:p>
      <w:pPr>
        <w:widowControl/>
        <w:spacing w:line="560" w:lineRule="exact"/>
        <w:ind w:firstLine="640"/>
        <w:textAlignment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按照“健康中国”建设总体部署，根据《浙江省卫生和计划生育事业发展“十三五”规划》和《湖州市国民经济和社会发展第十三个五年规划纲要》，结合我市卫生计生事业发展实际，制定本规划。本规划是“十三五”时期卫生计生事业发展的行动纲领，是制定公共健康政策、安排重大投资项目、发展健康服务业的重要依据。</w:t>
      </w:r>
    </w:p>
    <w:p>
      <w:pPr>
        <w:widowControl/>
        <w:spacing w:line="560" w:lineRule="exact"/>
        <w:ind w:firstLine="600"/>
        <w:textAlignment w:val="center"/>
        <w:rPr>
          <w:rFonts w:ascii="黑体" w:hAnsi="仿宋" w:eastAsia="黑体" w:cs="仿宋"/>
          <w:sz w:val="32"/>
          <w:szCs w:val="32"/>
        </w:rPr>
      </w:pPr>
      <w:r>
        <w:rPr>
          <w:rFonts w:hint="eastAsia" w:ascii="黑体" w:hAnsi="仿宋" w:eastAsia="黑体" w:cs="仿宋"/>
          <w:sz w:val="32"/>
          <w:szCs w:val="32"/>
        </w:rPr>
        <w:t>一、发展背景</w:t>
      </w:r>
    </w:p>
    <w:p>
      <w:pPr>
        <w:widowControl/>
        <w:spacing w:line="560" w:lineRule="exact"/>
        <w:ind w:firstLine="600"/>
        <w:textAlignment w:val="center"/>
        <w:rPr>
          <w:rFonts w:ascii="楷体_GB2312" w:hAnsi="仿宋" w:eastAsia="楷体_GB2312" w:cs="仿宋"/>
          <w:b/>
          <w:sz w:val="32"/>
          <w:szCs w:val="32"/>
        </w:rPr>
      </w:pPr>
      <w:r>
        <w:rPr>
          <w:rFonts w:ascii="楷体_GB2312" w:hAnsi="仿宋" w:eastAsia="楷体_GB2312" w:cs="仿宋"/>
          <w:b/>
          <w:sz w:val="32"/>
          <w:szCs w:val="32"/>
        </w:rPr>
        <w:t xml:space="preserve"> </w:t>
      </w:r>
      <w:r>
        <w:rPr>
          <w:rFonts w:hint="eastAsia" w:ascii="楷体_GB2312" w:hAnsi="仿宋" w:eastAsia="楷体_GB2312" w:cs="仿宋"/>
          <w:b/>
          <w:sz w:val="32"/>
          <w:szCs w:val="32"/>
        </w:rPr>
        <w:t>（一）现实基础</w:t>
      </w:r>
    </w:p>
    <w:p>
      <w:pPr>
        <w:widowControl/>
        <w:spacing w:line="560" w:lineRule="exact"/>
        <w:ind w:firstLine="600"/>
        <w:textAlignment w:val="center"/>
        <w:rPr>
          <w:rFonts w:ascii="仿宋_GB2312" w:hAnsi="宋体" w:eastAsia="仿宋_GB2312" w:cs="宋体"/>
          <w:sz w:val="32"/>
          <w:szCs w:val="32"/>
        </w:rPr>
      </w:pPr>
      <w:r>
        <w:rPr>
          <w:rFonts w:hint="eastAsia" w:ascii="仿宋_GB2312" w:hAnsi="仿宋" w:eastAsia="仿宋_GB2312" w:cs="仿宋"/>
          <w:sz w:val="32"/>
          <w:szCs w:val="32"/>
        </w:rPr>
        <w:t>“十二五”期间，是我市医药卫生体制改革不断深化的五年，是卫生计生工作成效显著的五年，是卫生计生事业快速发展的五年，卫生计生事业发展规划确定的主要指标顺利完成，实现了与全市经济社会协调发展。</w:t>
      </w:r>
      <w:r>
        <w:rPr>
          <w:rFonts w:hint="eastAsia" w:ascii="仿宋_GB2312" w:hAnsi="仿宋" w:eastAsia="仿宋_GB2312" w:cs="仿宋"/>
          <w:b/>
          <w:sz w:val="32"/>
          <w:szCs w:val="32"/>
        </w:rPr>
        <w:t>全市居民健康水平显著提高。</w:t>
      </w:r>
      <w:r>
        <w:rPr>
          <w:rFonts w:ascii="仿宋_GB2312" w:hAnsi="仿宋" w:eastAsia="仿宋_GB2312" w:cs="仿宋"/>
          <w:sz w:val="32"/>
          <w:szCs w:val="32"/>
        </w:rPr>
        <w:t>2015</w:t>
      </w:r>
      <w:r>
        <w:rPr>
          <w:rFonts w:hint="eastAsia" w:ascii="仿宋_GB2312" w:hAnsi="仿宋" w:eastAsia="仿宋_GB2312" w:cs="仿宋"/>
          <w:sz w:val="32"/>
          <w:szCs w:val="32"/>
        </w:rPr>
        <w:t>年全市人均期望寿命达到</w:t>
      </w:r>
      <w:r>
        <w:rPr>
          <w:rFonts w:ascii="仿宋_GB2312" w:hAnsi="仿宋" w:eastAsia="仿宋_GB2312" w:cs="仿宋"/>
          <w:sz w:val="32"/>
          <w:szCs w:val="32"/>
        </w:rPr>
        <w:t>80.28</w:t>
      </w:r>
      <w:r>
        <w:rPr>
          <w:rFonts w:hint="eastAsia" w:ascii="仿宋_GB2312" w:hAnsi="仿宋" w:eastAsia="仿宋_GB2312" w:cs="仿宋"/>
          <w:sz w:val="32"/>
          <w:szCs w:val="32"/>
        </w:rPr>
        <w:t>岁，比</w:t>
      </w:r>
      <w:r>
        <w:rPr>
          <w:rFonts w:ascii="仿宋_GB2312" w:hAnsi="仿宋" w:eastAsia="仿宋_GB2312" w:cs="仿宋"/>
          <w:sz w:val="32"/>
          <w:szCs w:val="32"/>
        </w:rPr>
        <w:t>2010</w:t>
      </w:r>
      <w:r>
        <w:rPr>
          <w:rFonts w:hint="eastAsia" w:ascii="仿宋_GB2312" w:hAnsi="仿宋" w:eastAsia="仿宋_GB2312" w:cs="仿宋"/>
          <w:sz w:val="32"/>
          <w:szCs w:val="32"/>
        </w:rPr>
        <w:t>年提高了</w:t>
      </w:r>
      <w:r>
        <w:rPr>
          <w:rFonts w:ascii="仿宋_GB2312" w:hAnsi="仿宋" w:eastAsia="仿宋_GB2312" w:cs="仿宋"/>
          <w:sz w:val="32"/>
          <w:szCs w:val="32"/>
        </w:rPr>
        <w:t>2.95</w:t>
      </w:r>
      <w:r>
        <w:rPr>
          <w:rFonts w:hint="eastAsia" w:ascii="仿宋_GB2312" w:hAnsi="仿宋" w:eastAsia="仿宋_GB2312" w:cs="仿宋"/>
          <w:sz w:val="32"/>
          <w:szCs w:val="32"/>
        </w:rPr>
        <w:t>岁；孕产妇死亡率、</w:t>
      </w:r>
      <w:r>
        <w:rPr>
          <w:rFonts w:ascii="仿宋_GB2312" w:hAnsi="仿宋" w:eastAsia="仿宋_GB2312" w:cs="仿宋"/>
          <w:sz w:val="32"/>
          <w:szCs w:val="32"/>
        </w:rPr>
        <w:t>5</w:t>
      </w:r>
      <w:r>
        <w:rPr>
          <w:rFonts w:hint="eastAsia" w:ascii="仿宋_GB2312" w:hAnsi="仿宋" w:eastAsia="仿宋_GB2312" w:cs="仿宋"/>
          <w:sz w:val="32"/>
          <w:szCs w:val="32"/>
        </w:rPr>
        <w:t>岁以下儿童死亡率分别为</w:t>
      </w:r>
      <w:r>
        <w:rPr>
          <w:rFonts w:ascii="仿宋_GB2312" w:hAnsi="仿宋" w:eastAsia="仿宋_GB2312" w:cs="仿宋"/>
          <w:sz w:val="32"/>
          <w:szCs w:val="32"/>
        </w:rPr>
        <w:t>4.93</w:t>
      </w:r>
      <w:r>
        <w:rPr>
          <w:rFonts w:hint="eastAsia" w:ascii="宋体" w:hAnsi="宋体" w:cs="宋体"/>
          <w:sz w:val="32"/>
          <w:szCs w:val="32"/>
        </w:rPr>
        <w:t>∕</w:t>
      </w:r>
      <w:r>
        <w:rPr>
          <w:rFonts w:ascii="仿宋_GB2312" w:hAnsi="仿宋" w:eastAsia="仿宋_GB2312" w:cs="仿宋"/>
          <w:sz w:val="32"/>
          <w:szCs w:val="32"/>
        </w:rPr>
        <w:t>10</w:t>
      </w:r>
      <w:r>
        <w:rPr>
          <w:rFonts w:hint="eastAsia" w:ascii="仿宋_GB2312" w:hAnsi="仿宋" w:eastAsia="仿宋_GB2312" w:cs="仿宋"/>
          <w:sz w:val="32"/>
          <w:szCs w:val="32"/>
        </w:rPr>
        <w:t>万、</w:t>
      </w:r>
      <w:r>
        <w:rPr>
          <w:rFonts w:ascii="仿宋_GB2312" w:hAnsi="仿宋" w:eastAsia="仿宋_GB2312" w:cs="仿宋"/>
          <w:sz w:val="32"/>
          <w:szCs w:val="32"/>
        </w:rPr>
        <w:t xml:space="preserve">4.53 </w:t>
      </w:r>
      <w:r>
        <w:rPr>
          <w:rFonts w:hint="eastAsia" w:ascii="仿宋_GB2312" w:hAnsi="仿宋" w:eastAsia="仿宋_GB2312" w:cs="仿宋"/>
          <w:sz w:val="32"/>
          <w:szCs w:val="32"/>
        </w:rPr>
        <w:t>‰，人群主要健康指标达到中高收入国家水平。</w:t>
      </w:r>
      <w:r>
        <w:rPr>
          <w:rFonts w:hint="eastAsia" w:ascii="仿宋_GB2312" w:hAnsi="仿宋" w:eastAsia="仿宋_GB2312" w:cs="仿宋"/>
          <w:b/>
          <w:sz w:val="32"/>
          <w:szCs w:val="32"/>
        </w:rPr>
        <w:t>医疗卫生服务体系建设取得重大突破。</w:t>
      </w:r>
      <w:r>
        <w:rPr>
          <w:rFonts w:hint="eastAsia" w:ascii="仿宋_GB2312" w:hAnsi="仿宋" w:eastAsia="仿宋_GB2312" w:cs="仿宋"/>
          <w:sz w:val="32"/>
          <w:szCs w:val="32"/>
        </w:rPr>
        <w:t>市第三人民医院完成</w:t>
      </w:r>
      <w:r>
        <w:rPr>
          <w:rFonts w:hint="eastAsia" w:ascii="仿宋_GB2312" w:hAnsi="宋体" w:eastAsia="仿宋_GB2312" w:cs="宋体"/>
          <w:sz w:val="32"/>
          <w:szCs w:val="32"/>
        </w:rPr>
        <w:t>异地</w:t>
      </w:r>
      <w:r>
        <w:rPr>
          <w:rFonts w:hint="eastAsia" w:ascii="仿宋_GB2312" w:hAnsi="仿宋" w:eastAsia="仿宋_GB2312" w:cs="仿宋"/>
          <w:sz w:val="32"/>
          <w:szCs w:val="32"/>
        </w:rPr>
        <w:t>搬迁，市中心医院和两区的人民医院迁建工程顺利实施，三县的人民医院完成扩建，</w:t>
      </w:r>
      <w:r>
        <w:rPr>
          <w:rFonts w:hint="eastAsia" w:ascii="仿宋_GB2312" w:hAnsi="宋体" w:eastAsia="仿宋_GB2312" w:cs="宋体"/>
          <w:sz w:val="32"/>
          <w:szCs w:val="32"/>
        </w:rPr>
        <w:t>新、改、扩建基层医疗卫生服务机构</w:t>
      </w:r>
      <w:r>
        <w:rPr>
          <w:rFonts w:ascii="仿宋_GB2312" w:hAnsi="宋体" w:eastAsia="仿宋_GB2312" w:cs="宋体"/>
          <w:sz w:val="32"/>
          <w:szCs w:val="32"/>
        </w:rPr>
        <w:t>463</w:t>
      </w:r>
      <w:r>
        <w:rPr>
          <w:rFonts w:hint="eastAsia" w:ascii="仿宋_GB2312" w:hAnsi="宋体" w:eastAsia="仿宋_GB2312" w:cs="宋体"/>
          <w:sz w:val="32"/>
          <w:szCs w:val="32"/>
        </w:rPr>
        <w:t>家，覆盖城乡居民的“</w:t>
      </w:r>
      <w:r>
        <w:rPr>
          <w:rFonts w:ascii="仿宋_GB2312" w:hAnsi="仿宋" w:eastAsia="仿宋_GB2312" w:cs="仿宋"/>
          <w:sz w:val="32"/>
          <w:szCs w:val="32"/>
        </w:rPr>
        <w:t>20</w:t>
      </w:r>
      <w:r>
        <w:rPr>
          <w:rFonts w:hint="eastAsia" w:ascii="仿宋_GB2312" w:hAnsi="仿宋" w:eastAsia="仿宋_GB2312" w:cs="仿宋"/>
          <w:sz w:val="32"/>
          <w:szCs w:val="32"/>
        </w:rPr>
        <w:t>分钟医疗卫生服务圈”更加完善。</w:t>
      </w:r>
      <w:r>
        <w:rPr>
          <w:rFonts w:hint="eastAsia" w:ascii="仿宋_GB2312" w:hAnsi="仿宋" w:eastAsia="仿宋_GB2312" w:cs="仿宋"/>
          <w:b/>
          <w:sz w:val="32"/>
          <w:szCs w:val="32"/>
        </w:rPr>
        <w:t>医疗卫生服务能力明显增强。</w:t>
      </w:r>
      <w:r>
        <w:rPr>
          <w:rFonts w:hint="eastAsia" w:ascii="仿宋_GB2312" w:hAnsi="仿宋" w:eastAsia="仿宋_GB2312" w:cs="仿宋"/>
          <w:sz w:val="32"/>
          <w:szCs w:val="32"/>
        </w:rPr>
        <w:t>医疗卫生资源总量逐年增加，区域专病中心和学科建设不断推进，卫生信息化建设快速发展，中医药服务能力持续加强，</w:t>
      </w:r>
      <w:r>
        <w:rPr>
          <w:rFonts w:hint="eastAsia" w:ascii="仿宋_GB2312" w:hAnsi="宋体" w:eastAsia="仿宋_GB2312" w:cs="宋体"/>
          <w:sz w:val="32"/>
          <w:szCs w:val="32"/>
        </w:rPr>
        <w:t>公共卫生综合发展指数位居全省前茅。</w:t>
      </w:r>
      <w:r>
        <w:rPr>
          <w:rFonts w:hint="eastAsia" w:ascii="仿宋_GB2312" w:hAnsi="宋体" w:eastAsia="仿宋_GB2312" w:cs="宋体"/>
          <w:b/>
          <w:sz w:val="32"/>
          <w:szCs w:val="32"/>
        </w:rPr>
        <w:t>医药卫生体制改革不断深化。</w:t>
      </w:r>
      <w:r>
        <w:rPr>
          <w:rFonts w:hint="eastAsia" w:ascii="仿宋_GB2312" w:hAnsi="仿宋" w:eastAsia="仿宋_GB2312" w:cs="仿宋"/>
          <w:sz w:val="32"/>
          <w:szCs w:val="32"/>
        </w:rPr>
        <w:t>市、县全面完成卫生和计划生育机构改革，</w:t>
      </w:r>
      <w:r>
        <w:rPr>
          <w:rFonts w:ascii="仿宋_GB2312" w:hAnsi="宋体" w:eastAsia="仿宋_GB2312" w:cs="宋体"/>
          <w:sz w:val="32"/>
          <w:szCs w:val="32"/>
        </w:rPr>
        <w:t>24</w:t>
      </w:r>
      <w:r>
        <w:rPr>
          <w:rFonts w:hint="eastAsia" w:ascii="仿宋_GB2312" w:hAnsi="宋体" w:eastAsia="仿宋_GB2312" w:cs="宋体"/>
          <w:sz w:val="32"/>
          <w:szCs w:val="32"/>
        </w:rPr>
        <w:t>家二级以上公立医院全部实施了以</w:t>
      </w:r>
      <w:r>
        <w:rPr>
          <w:rFonts w:hint="eastAsia" w:ascii="仿宋_GB2312" w:hAnsi="仿宋" w:eastAsia="仿宋_GB2312" w:cs="仿宋"/>
          <w:sz w:val="32"/>
          <w:szCs w:val="32"/>
        </w:rPr>
        <w:t>药品零差率销售</w:t>
      </w:r>
      <w:r>
        <w:rPr>
          <w:rFonts w:hint="eastAsia" w:ascii="仿宋_GB2312" w:hAnsi="宋体" w:eastAsia="仿宋_GB2312" w:cs="宋体"/>
          <w:sz w:val="32"/>
          <w:szCs w:val="32"/>
        </w:rPr>
        <w:t>为核心的综合改革，在全省率先实现了基层医疗卫生机构紧密型乡村一体化管理全覆盖和实施基本药物制度全覆盖，理顺了中心城区社区卫生服务管理体制，</w:t>
      </w:r>
      <w:r>
        <w:rPr>
          <w:rFonts w:hint="eastAsia" w:ascii="仿宋_GB2312" w:hAnsi="仿宋" w:eastAsia="仿宋_GB2312" w:cs="仿宋"/>
          <w:sz w:val="32"/>
          <w:szCs w:val="32"/>
        </w:rPr>
        <w:t>“双下沉、两提升”工程全面实施，社会资本办医发展迅速，</w:t>
      </w:r>
      <w:r>
        <w:rPr>
          <w:rFonts w:hint="eastAsia" w:ascii="仿宋_GB2312" w:hAnsi="宋体" w:eastAsia="仿宋_GB2312" w:cs="宋体"/>
          <w:sz w:val="32"/>
          <w:szCs w:val="32"/>
        </w:rPr>
        <w:t>分级诊疗制度探索推进。</w:t>
      </w:r>
      <w:r>
        <w:rPr>
          <w:rFonts w:hint="eastAsia" w:ascii="仿宋_GB2312" w:hAnsi="宋体" w:eastAsia="仿宋_GB2312" w:cs="宋体"/>
          <w:b/>
          <w:sz w:val="32"/>
          <w:szCs w:val="32"/>
        </w:rPr>
        <w:t>计划生育工作扎实推进</w:t>
      </w:r>
      <w:r>
        <w:rPr>
          <w:rFonts w:hint="eastAsia" w:ascii="仿宋_GB2312" w:hAnsi="宋体" w:eastAsia="仿宋_GB2312" w:cs="宋体"/>
          <w:sz w:val="32"/>
          <w:szCs w:val="32"/>
        </w:rPr>
        <w:t>。全面实施“单独两孩”政策，全市人口均衡发展，人口健康管理服务水平不断提高，出生人口缺陷发生率持续下降，出生性别比多年保持正常，计划生育特殊家庭帮扶工作实现全覆盖，奖特扶制度得到扩面提标，联合国人口基金七周期试点项目成效明显。</w:t>
      </w:r>
    </w:p>
    <w:p>
      <w:pPr>
        <w:widowControl/>
        <w:spacing w:line="560" w:lineRule="exact"/>
        <w:jc w:val="center"/>
        <w:textAlignment w:val="center"/>
        <w:rPr>
          <w:rFonts w:ascii="黑体" w:hAnsi="宋体" w:eastAsia="黑体" w:cs="宋体"/>
          <w:sz w:val="30"/>
          <w:szCs w:val="30"/>
        </w:rPr>
      </w:pPr>
      <w:r>
        <w:rPr>
          <w:rFonts w:hint="eastAsia" w:ascii="黑体" w:hAnsi="宋体" w:eastAsia="黑体" w:cs="宋体"/>
          <w:sz w:val="30"/>
          <w:szCs w:val="30"/>
        </w:rPr>
        <w:t>“十二五”规划主要指标完成情况</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809"/>
        <w:gridCol w:w="1342"/>
        <w:gridCol w:w="1739"/>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trPr>
        <w:tc>
          <w:tcPr>
            <w:tcW w:w="457" w:type="pct"/>
            <w:vAlign w:val="center"/>
          </w:tcPr>
          <w:p>
            <w:pPr>
              <w:spacing w:line="400" w:lineRule="exact"/>
              <w:jc w:val="center"/>
              <w:rPr>
                <w:rFonts w:ascii="黑体" w:eastAsia="黑体" w:cs="宋体"/>
                <w:kern w:val="2"/>
                <w:sz w:val="28"/>
                <w:szCs w:val="28"/>
              </w:rPr>
            </w:pPr>
            <w:bookmarkStart w:id="0" w:name="OLE_LINK4"/>
            <w:r>
              <w:rPr>
                <w:rFonts w:hint="eastAsia" w:ascii="黑体" w:hAnsi="宋体" w:eastAsia="黑体" w:cs="宋体"/>
                <w:kern w:val="2"/>
                <w:sz w:val="28"/>
                <w:szCs w:val="28"/>
              </w:rPr>
              <w:t>序号</w:t>
            </w:r>
          </w:p>
        </w:tc>
        <w:tc>
          <w:tcPr>
            <w:tcW w:w="2129" w:type="pct"/>
            <w:vAlign w:val="center"/>
          </w:tcPr>
          <w:p>
            <w:pPr>
              <w:spacing w:line="400" w:lineRule="exact"/>
              <w:jc w:val="center"/>
              <w:rPr>
                <w:rFonts w:ascii="黑体" w:eastAsia="黑体" w:cs="宋体"/>
                <w:kern w:val="2"/>
                <w:sz w:val="28"/>
                <w:szCs w:val="28"/>
              </w:rPr>
            </w:pPr>
            <w:r>
              <w:rPr>
                <w:rFonts w:hint="eastAsia" w:ascii="黑体" w:hAnsi="宋体" w:eastAsia="黑体" w:cs="宋体"/>
                <w:kern w:val="2"/>
                <w:sz w:val="28"/>
                <w:szCs w:val="28"/>
              </w:rPr>
              <w:t>指标名称</w:t>
            </w:r>
          </w:p>
        </w:tc>
        <w:tc>
          <w:tcPr>
            <w:tcW w:w="750" w:type="pct"/>
            <w:vAlign w:val="center"/>
          </w:tcPr>
          <w:p>
            <w:pPr>
              <w:spacing w:line="400" w:lineRule="exact"/>
              <w:jc w:val="center"/>
              <w:rPr>
                <w:rFonts w:ascii="黑体" w:eastAsia="黑体" w:cs="宋体"/>
                <w:kern w:val="2"/>
                <w:sz w:val="28"/>
                <w:szCs w:val="28"/>
              </w:rPr>
            </w:pPr>
            <w:r>
              <w:rPr>
                <w:rFonts w:hint="eastAsia" w:ascii="黑体" w:hAnsi="宋体" w:eastAsia="黑体" w:cs="宋体"/>
                <w:kern w:val="2"/>
                <w:sz w:val="28"/>
                <w:szCs w:val="28"/>
              </w:rPr>
              <w:t>单位</w:t>
            </w:r>
          </w:p>
        </w:tc>
        <w:tc>
          <w:tcPr>
            <w:tcW w:w="972" w:type="pct"/>
            <w:vAlign w:val="center"/>
          </w:tcPr>
          <w:p>
            <w:pPr>
              <w:spacing w:line="400" w:lineRule="exact"/>
              <w:jc w:val="center"/>
              <w:rPr>
                <w:rFonts w:ascii="黑体" w:eastAsia="黑体" w:cs="宋体"/>
                <w:kern w:val="2"/>
                <w:sz w:val="28"/>
                <w:szCs w:val="28"/>
              </w:rPr>
            </w:pPr>
            <w:r>
              <w:rPr>
                <w:rFonts w:hint="eastAsia" w:ascii="黑体" w:hAnsi="宋体" w:eastAsia="黑体" w:cs="宋体"/>
                <w:kern w:val="2"/>
                <w:sz w:val="28"/>
                <w:szCs w:val="28"/>
              </w:rPr>
              <w:t>规划目标值</w:t>
            </w:r>
          </w:p>
        </w:tc>
        <w:tc>
          <w:tcPr>
            <w:tcW w:w="692" w:type="pct"/>
            <w:vAlign w:val="center"/>
          </w:tcPr>
          <w:p>
            <w:pPr>
              <w:spacing w:line="400" w:lineRule="exact"/>
              <w:jc w:val="center"/>
              <w:rPr>
                <w:rFonts w:ascii="黑体" w:eastAsia="黑体" w:cs="宋体"/>
                <w:kern w:val="2"/>
                <w:sz w:val="28"/>
                <w:szCs w:val="28"/>
              </w:rPr>
            </w:pPr>
            <w:r>
              <w:rPr>
                <w:rFonts w:ascii="黑体" w:hAnsi="宋体" w:eastAsia="黑体" w:cs="宋体"/>
                <w:kern w:val="2"/>
                <w:sz w:val="28"/>
                <w:szCs w:val="28"/>
              </w:rPr>
              <w:t>2015</w:t>
            </w:r>
            <w:r>
              <w:rPr>
                <w:rFonts w:hint="eastAsia" w:ascii="黑体" w:hAnsi="宋体" w:eastAsia="黑体" w:cs="宋体"/>
                <w:kern w:val="2"/>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7" w:type="pct"/>
            <w:vAlign w:val="center"/>
          </w:tcPr>
          <w:p>
            <w:pPr>
              <w:spacing w:line="400" w:lineRule="exact"/>
              <w:jc w:val="center"/>
              <w:rPr>
                <w:rFonts w:ascii="仿宋_GB2312" w:hAnsi="宋体" w:eastAsia="仿宋_GB2312" w:cs="宋体"/>
                <w:kern w:val="2"/>
                <w:sz w:val="24"/>
                <w:szCs w:val="24"/>
              </w:rPr>
            </w:pPr>
            <w:r>
              <w:rPr>
                <w:rFonts w:ascii="仿宋_GB2312" w:hAnsi="宋体" w:eastAsia="仿宋_GB2312" w:cs="宋体"/>
                <w:kern w:val="2"/>
                <w:sz w:val="24"/>
                <w:szCs w:val="24"/>
              </w:rPr>
              <w:t>1</w:t>
            </w:r>
          </w:p>
        </w:tc>
        <w:tc>
          <w:tcPr>
            <w:tcW w:w="2129" w:type="pct"/>
            <w:vAlign w:val="center"/>
          </w:tcPr>
          <w:p>
            <w:pPr>
              <w:spacing w:line="400" w:lineRule="exact"/>
              <w:rPr>
                <w:rFonts w:ascii="仿宋_GB2312" w:hAnsi="宋体" w:eastAsia="仿宋_GB2312" w:cs="宋体"/>
                <w:kern w:val="2"/>
                <w:sz w:val="24"/>
                <w:szCs w:val="24"/>
              </w:rPr>
            </w:pPr>
            <w:r>
              <w:rPr>
                <w:rFonts w:hint="eastAsia" w:ascii="仿宋_GB2312" w:hAnsi="宋体" w:eastAsia="仿宋_GB2312" w:cs="宋体"/>
                <w:kern w:val="2"/>
                <w:sz w:val="24"/>
                <w:szCs w:val="24"/>
              </w:rPr>
              <w:t>人均期望寿命</w:t>
            </w:r>
          </w:p>
        </w:tc>
        <w:tc>
          <w:tcPr>
            <w:tcW w:w="750" w:type="pct"/>
            <w:vAlign w:val="center"/>
          </w:tcPr>
          <w:p>
            <w:pPr>
              <w:spacing w:line="400" w:lineRule="exact"/>
              <w:jc w:val="center"/>
              <w:rPr>
                <w:rFonts w:ascii="仿宋_GB2312" w:hAnsi="宋体" w:eastAsia="仿宋_GB2312" w:cs="宋体"/>
                <w:kern w:val="2"/>
                <w:sz w:val="24"/>
                <w:szCs w:val="24"/>
              </w:rPr>
            </w:pPr>
            <w:r>
              <w:rPr>
                <w:rFonts w:hint="eastAsia" w:ascii="仿宋_GB2312" w:hAnsi="宋体" w:eastAsia="仿宋_GB2312" w:cs="宋体"/>
                <w:kern w:val="2"/>
                <w:sz w:val="24"/>
                <w:szCs w:val="24"/>
              </w:rPr>
              <w:t>岁</w:t>
            </w:r>
          </w:p>
        </w:tc>
        <w:tc>
          <w:tcPr>
            <w:tcW w:w="972" w:type="pct"/>
            <w:vAlign w:val="center"/>
          </w:tcPr>
          <w:p>
            <w:pPr>
              <w:spacing w:line="400" w:lineRule="exact"/>
              <w:jc w:val="center"/>
              <w:rPr>
                <w:rFonts w:ascii="仿宋_GB2312" w:hAnsi="宋体" w:eastAsia="仿宋_GB2312" w:cs="宋体"/>
                <w:kern w:val="2"/>
                <w:sz w:val="24"/>
                <w:szCs w:val="24"/>
              </w:rPr>
            </w:pPr>
            <w:r>
              <w:rPr>
                <w:rFonts w:ascii="仿宋_GB2312" w:hAnsi="宋体" w:eastAsia="仿宋_GB2312" w:cs="宋体"/>
                <w:kern w:val="2"/>
                <w:sz w:val="24"/>
                <w:szCs w:val="24"/>
              </w:rPr>
              <w:t>78.3</w:t>
            </w:r>
          </w:p>
        </w:tc>
        <w:tc>
          <w:tcPr>
            <w:tcW w:w="692" w:type="pct"/>
            <w:vAlign w:val="center"/>
          </w:tcPr>
          <w:p>
            <w:pPr>
              <w:spacing w:line="400" w:lineRule="exact"/>
              <w:jc w:val="center"/>
              <w:rPr>
                <w:rFonts w:ascii="仿宋_GB2312" w:hAnsi="宋体" w:eastAsia="仿宋_GB2312" w:cs="宋体"/>
                <w:kern w:val="2"/>
                <w:sz w:val="24"/>
                <w:szCs w:val="24"/>
              </w:rPr>
            </w:pPr>
            <w:r>
              <w:rPr>
                <w:rFonts w:ascii="仿宋_GB2312" w:hAnsi="宋体" w:eastAsia="仿宋_GB2312" w:cs="宋体"/>
                <w:kern w:val="2"/>
                <w:sz w:val="24"/>
                <w:szCs w:val="24"/>
              </w:rPr>
              <w:t>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7" w:type="pct"/>
            <w:vAlign w:val="center"/>
          </w:tcPr>
          <w:p>
            <w:pPr>
              <w:spacing w:line="400" w:lineRule="exact"/>
              <w:jc w:val="center"/>
              <w:rPr>
                <w:rFonts w:ascii="仿宋_GB2312" w:hAnsi="宋体" w:eastAsia="仿宋_GB2312" w:cs="宋体"/>
                <w:kern w:val="2"/>
                <w:sz w:val="24"/>
                <w:szCs w:val="24"/>
              </w:rPr>
            </w:pPr>
            <w:r>
              <w:rPr>
                <w:rFonts w:ascii="仿宋_GB2312" w:hAnsi="宋体" w:eastAsia="仿宋_GB2312" w:cs="宋体"/>
                <w:kern w:val="2"/>
                <w:sz w:val="24"/>
                <w:szCs w:val="24"/>
              </w:rPr>
              <w:t>2</w:t>
            </w:r>
          </w:p>
        </w:tc>
        <w:tc>
          <w:tcPr>
            <w:tcW w:w="2129" w:type="pct"/>
            <w:vAlign w:val="center"/>
          </w:tcPr>
          <w:p>
            <w:pPr>
              <w:spacing w:line="400" w:lineRule="exact"/>
              <w:rPr>
                <w:rFonts w:ascii="仿宋_GB2312" w:hAnsi="宋体" w:eastAsia="仿宋_GB2312" w:cs="宋体"/>
                <w:kern w:val="2"/>
                <w:sz w:val="24"/>
                <w:szCs w:val="24"/>
              </w:rPr>
            </w:pPr>
            <w:r>
              <w:rPr>
                <w:rFonts w:hint="eastAsia" w:ascii="仿宋_GB2312" w:hAnsi="宋体" w:eastAsia="仿宋_GB2312" w:cs="宋体"/>
                <w:kern w:val="2"/>
                <w:sz w:val="24"/>
                <w:szCs w:val="24"/>
              </w:rPr>
              <w:t>孕产妇死亡率</w:t>
            </w:r>
          </w:p>
        </w:tc>
        <w:tc>
          <w:tcPr>
            <w:tcW w:w="750" w:type="pct"/>
            <w:vAlign w:val="center"/>
          </w:tcPr>
          <w:p>
            <w:pPr>
              <w:spacing w:line="400" w:lineRule="exact"/>
              <w:jc w:val="center"/>
              <w:rPr>
                <w:rFonts w:ascii="仿宋_GB2312" w:hAnsi="宋体" w:eastAsia="仿宋_GB2312" w:cs="宋体"/>
                <w:kern w:val="2"/>
                <w:sz w:val="24"/>
                <w:szCs w:val="24"/>
              </w:rPr>
            </w:pPr>
            <w:r>
              <w:rPr>
                <w:rFonts w:ascii="仿宋_GB2312" w:hAnsi="宋体" w:eastAsia="仿宋_GB2312" w:cs="宋体"/>
                <w:kern w:val="2"/>
                <w:sz w:val="24"/>
                <w:szCs w:val="24"/>
              </w:rPr>
              <w:t>1/10</w:t>
            </w:r>
            <w:r>
              <w:rPr>
                <w:rFonts w:hint="eastAsia" w:ascii="仿宋_GB2312" w:hAnsi="宋体" w:eastAsia="仿宋_GB2312" w:cs="宋体"/>
                <w:kern w:val="2"/>
                <w:sz w:val="24"/>
                <w:szCs w:val="24"/>
              </w:rPr>
              <w:t>万</w:t>
            </w:r>
          </w:p>
        </w:tc>
        <w:tc>
          <w:tcPr>
            <w:tcW w:w="972" w:type="pct"/>
            <w:vAlign w:val="center"/>
          </w:tcPr>
          <w:p>
            <w:pPr>
              <w:spacing w:line="400" w:lineRule="exact"/>
              <w:jc w:val="center"/>
              <w:rPr>
                <w:rFonts w:ascii="仿宋_GB2312" w:hAnsi="宋体" w:eastAsia="仿宋_GB2312" w:cs="宋体"/>
                <w:kern w:val="2"/>
                <w:sz w:val="24"/>
                <w:szCs w:val="24"/>
              </w:rPr>
            </w:pPr>
            <w:r>
              <w:rPr>
                <w:rFonts w:ascii="仿宋_GB2312" w:hAnsi="宋体" w:eastAsia="仿宋_GB2312" w:cs="宋体"/>
                <w:kern w:val="2"/>
                <w:sz w:val="24"/>
                <w:szCs w:val="24"/>
              </w:rPr>
              <w:t>10</w:t>
            </w:r>
          </w:p>
        </w:tc>
        <w:tc>
          <w:tcPr>
            <w:tcW w:w="692" w:type="pct"/>
            <w:vAlign w:val="center"/>
          </w:tcPr>
          <w:p>
            <w:pPr>
              <w:spacing w:line="400" w:lineRule="exact"/>
              <w:jc w:val="center"/>
              <w:rPr>
                <w:rFonts w:ascii="仿宋_GB2312" w:hAnsi="宋体" w:eastAsia="仿宋_GB2312" w:cs="宋体"/>
                <w:kern w:val="2"/>
                <w:sz w:val="24"/>
                <w:szCs w:val="24"/>
              </w:rPr>
            </w:pPr>
            <w:r>
              <w:rPr>
                <w:rFonts w:ascii="仿宋_GB2312" w:hAnsi="宋体" w:eastAsia="仿宋_GB2312" w:cs="宋体"/>
                <w:kern w:val="2"/>
                <w:sz w:val="24"/>
                <w:szCs w:val="24"/>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3</w:t>
            </w:r>
          </w:p>
        </w:tc>
        <w:tc>
          <w:tcPr>
            <w:tcW w:w="2129" w:type="pct"/>
            <w:vAlign w:val="center"/>
          </w:tcPr>
          <w:p>
            <w:pPr>
              <w:spacing w:line="400" w:lineRule="exact"/>
              <w:rPr>
                <w:rFonts w:ascii="仿宋_GB2312" w:eastAsia="仿宋_GB2312" w:cs="宋体"/>
                <w:kern w:val="2"/>
                <w:sz w:val="24"/>
                <w:szCs w:val="24"/>
              </w:rPr>
            </w:pPr>
            <w:r>
              <w:rPr>
                <w:rFonts w:ascii="仿宋_GB2312" w:hAnsi="宋体" w:eastAsia="仿宋_GB2312" w:cs="宋体"/>
                <w:kern w:val="2"/>
                <w:sz w:val="24"/>
                <w:szCs w:val="24"/>
              </w:rPr>
              <w:t>5</w:t>
            </w:r>
            <w:r>
              <w:rPr>
                <w:rFonts w:hint="eastAsia" w:ascii="仿宋_GB2312" w:hAnsi="宋体" w:eastAsia="仿宋_GB2312" w:cs="宋体"/>
                <w:kern w:val="2"/>
                <w:sz w:val="24"/>
                <w:szCs w:val="24"/>
              </w:rPr>
              <w:t>岁以下儿童死亡率</w:t>
            </w:r>
          </w:p>
        </w:tc>
        <w:tc>
          <w:tcPr>
            <w:tcW w:w="750" w:type="pct"/>
            <w:vAlign w:val="center"/>
          </w:tcPr>
          <w:p>
            <w:pPr>
              <w:spacing w:line="400" w:lineRule="exact"/>
              <w:jc w:val="center"/>
              <w:rPr>
                <w:rFonts w:ascii="仿宋_GB2312" w:eastAsia="仿宋_GB2312" w:cs="宋体"/>
                <w:kern w:val="2"/>
                <w:sz w:val="24"/>
                <w:szCs w:val="24"/>
              </w:rPr>
            </w:pPr>
            <w:r>
              <w:rPr>
                <w:rFonts w:hint="eastAsia" w:ascii="仿宋_GB2312" w:hAnsi="宋体" w:eastAsia="仿宋_GB2312" w:cs="宋体"/>
                <w:kern w:val="2"/>
                <w:sz w:val="24"/>
                <w:szCs w:val="24"/>
              </w:rPr>
              <w:t>‰</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9</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4</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新型农村合作医疗参合率</w:t>
            </w:r>
          </w:p>
        </w:tc>
        <w:tc>
          <w:tcPr>
            <w:tcW w:w="750"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95</w:t>
            </w:r>
          </w:p>
        </w:tc>
        <w:tc>
          <w:tcPr>
            <w:tcW w:w="692" w:type="pct"/>
            <w:vAlign w:val="center"/>
          </w:tcPr>
          <w:p>
            <w:pPr>
              <w:spacing w:line="400" w:lineRule="exact"/>
              <w:jc w:val="center"/>
              <w:rPr>
                <w:rFonts w:ascii="仿宋_GB2312" w:eastAsia="仿宋_GB2312" w:cs="宋体"/>
                <w:kern w:val="2"/>
                <w:sz w:val="24"/>
                <w:szCs w:val="24"/>
              </w:rPr>
            </w:pPr>
            <w:r>
              <w:rPr>
                <w:rFonts w:ascii="仿宋_GB2312" w:eastAsia="仿宋_GB2312" w:cs="宋体"/>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5</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新型农村合作医疗政策范围内住院补偿率</w:t>
            </w:r>
          </w:p>
        </w:tc>
        <w:tc>
          <w:tcPr>
            <w:tcW w:w="750"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70</w:t>
            </w:r>
          </w:p>
        </w:tc>
        <w:tc>
          <w:tcPr>
            <w:tcW w:w="692" w:type="pct"/>
            <w:vAlign w:val="center"/>
          </w:tcPr>
          <w:p>
            <w:pPr>
              <w:spacing w:line="400" w:lineRule="exact"/>
              <w:jc w:val="center"/>
              <w:rPr>
                <w:rFonts w:ascii="仿宋_GB2312" w:eastAsia="仿宋_GB2312" w:cs="宋体"/>
                <w:kern w:val="2"/>
                <w:sz w:val="24"/>
                <w:szCs w:val="24"/>
              </w:rPr>
            </w:pPr>
            <w:r>
              <w:rPr>
                <w:rFonts w:ascii="仿宋_GB2312" w:eastAsia="仿宋_GB2312" w:cs="宋体"/>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6</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政府卫生投入增长幅度高于经常性财政支出的增长幅度，卫生事业经费占财政总支出的比重达到或超过全省平均水平。</w:t>
            </w:r>
          </w:p>
        </w:tc>
        <w:tc>
          <w:tcPr>
            <w:tcW w:w="750" w:type="pct"/>
            <w:vAlign w:val="center"/>
          </w:tcPr>
          <w:p>
            <w:pPr>
              <w:spacing w:line="400" w:lineRule="exact"/>
              <w:jc w:val="center"/>
              <w:rPr>
                <w:rFonts w:ascii="仿宋_GB2312" w:eastAsia="仿宋_GB2312" w:cs="宋体"/>
                <w:kern w:val="2"/>
                <w:sz w:val="24"/>
                <w:szCs w:val="24"/>
              </w:rPr>
            </w:pPr>
            <w:r>
              <w:rPr>
                <w:rFonts w:ascii="仿宋_GB2312" w:eastAsia="仿宋_GB2312" w:cs="宋体"/>
                <w:kern w:val="2"/>
                <w:sz w:val="24"/>
                <w:szCs w:val="24"/>
              </w:rPr>
              <w:t>-</w:t>
            </w:r>
          </w:p>
        </w:tc>
        <w:tc>
          <w:tcPr>
            <w:tcW w:w="972" w:type="pct"/>
            <w:vAlign w:val="center"/>
          </w:tcPr>
          <w:p>
            <w:pPr>
              <w:spacing w:line="400" w:lineRule="exact"/>
              <w:jc w:val="center"/>
              <w:rPr>
                <w:rFonts w:ascii="仿宋_GB2312" w:eastAsia="仿宋_GB2312" w:cs="宋体"/>
                <w:kern w:val="2"/>
                <w:sz w:val="24"/>
                <w:szCs w:val="24"/>
              </w:rPr>
            </w:pPr>
            <w:r>
              <w:rPr>
                <w:rFonts w:ascii="仿宋_GB2312" w:eastAsia="仿宋_GB2312" w:cs="宋体"/>
                <w:kern w:val="2"/>
                <w:sz w:val="24"/>
                <w:szCs w:val="24"/>
              </w:rPr>
              <w:t>-</w:t>
            </w:r>
          </w:p>
        </w:tc>
        <w:tc>
          <w:tcPr>
            <w:tcW w:w="692" w:type="pct"/>
            <w:vAlign w:val="center"/>
          </w:tcPr>
          <w:p>
            <w:pPr>
              <w:spacing w:line="400" w:lineRule="exact"/>
              <w:jc w:val="center"/>
              <w:rPr>
                <w:rFonts w:ascii="仿宋_GB2312" w:eastAsia="仿宋_GB2312" w:cs="宋体"/>
                <w:kern w:val="2"/>
                <w:sz w:val="24"/>
                <w:szCs w:val="24"/>
              </w:rPr>
            </w:pPr>
            <w:r>
              <w:rPr>
                <w:rFonts w:ascii="仿宋_GB2312" w:eastAsia="仿宋_GB2312" w:cs="宋体"/>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7</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农村饮用安全自来水普及率</w:t>
            </w:r>
          </w:p>
        </w:tc>
        <w:tc>
          <w:tcPr>
            <w:tcW w:w="750"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97</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99.52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8</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食品安全监测覆盖率</w:t>
            </w:r>
          </w:p>
        </w:tc>
        <w:tc>
          <w:tcPr>
            <w:tcW w:w="750"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90</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9</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每千人执业（助理）医师数</w:t>
            </w:r>
          </w:p>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（按户籍人口）</w:t>
            </w:r>
          </w:p>
        </w:tc>
        <w:tc>
          <w:tcPr>
            <w:tcW w:w="750" w:type="pct"/>
            <w:vAlign w:val="center"/>
          </w:tcPr>
          <w:p>
            <w:pPr>
              <w:spacing w:line="400" w:lineRule="exact"/>
              <w:jc w:val="center"/>
              <w:rPr>
                <w:rFonts w:ascii="仿宋_GB2312" w:eastAsia="仿宋_GB2312" w:cs="宋体"/>
                <w:kern w:val="2"/>
                <w:sz w:val="24"/>
                <w:szCs w:val="24"/>
              </w:rPr>
            </w:pPr>
            <w:r>
              <w:rPr>
                <w:rFonts w:hint="eastAsia" w:ascii="仿宋_GB2312" w:hAnsi="宋体" w:eastAsia="仿宋_GB2312" w:cs="宋体"/>
                <w:kern w:val="2"/>
                <w:sz w:val="24"/>
                <w:szCs w:val="24"/>
              </w:rPr>
              <w:t>人</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2.80</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10</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每千人注册护士数（按户籍人口）</w:t>
            </w:r>
          </w:p>
        </w:tc>
        <w:tc>
          <w:tcPr>
            <w:tcW w:w="750" w:type="pct"/>
            <w:vAlign w:val="center"/>
          </w:tcPr>
          <w:p>
            <w:pPr>
              <w:spacing w:line="400" w:lineRule="exact"/>
              <w:jc w:val="center"/>
              <w:rPr>
                <w:rFonts w:ascii="仿宋_GB2312" w:eastAsia="仿宋_GB2312" w:cs="宋体"/>
                <w:kern w:val="2"/>
                <w:sz w:val="24"/>
                <w:szCs w:val="24"/>
              </w:rPr>
            </w:pPr>
            <w:r>
              <w:rPr>
                <w:rFonts w:hint="eastAsia" w:ascii="仿宋_GB2312" w:hAnsi="宋体" w:eastAsia="仿宋_GB2312" w:cs="宋体"/>
                <w:kern w:val="2"/>
                <w:sz w:val="24"/>
                <w:szCs w:val="24"/>
              </w:rPr>
              <w:t>人</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2.58</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11</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每千人床位数（按户籍人口）</w:t>
            </w:r>
          </w:p>
        </w:tc>
        <w:tc>
          <w:tcPr>
            <w:tcW w:w="750" w:type="pct"/>
            <w:vAlign w:val="center"/>
          </w:tcPr>
          <w:p>
            <w:pPr>
              <w:spacing w:line="400" w:lineRule="exact"/>
              <w:jc w:val="center"/>
              <w:rPr>
                <w:rFonts w:ascii="仿宋_GB2312" w:eastAsia="仿宋_GB2312" w:cs="宋体"/>
                <w:kern w:val="2"/>
                <w:sz w:val="24"/>
                <w:szCs w:val="24"/>
              </w:rPr>
            </w:pPr>
            <w:r>
              <w:rPr>
                <w:rFonts w:hint="eastAsia" w:ascii="仿宋_GB2312" w:hAnsi="宋体" w:eastAsia="仿宋_GB2312" w:cs="宋体"/>
                <w:kern w:val="2"/>
                <w:sz w:val="24"/>
                <w:szCs w:val="24"/>
              </w:rPr>
              <w:t>张</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4.60</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12</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居民</w:t>
            </w:r>
            <w:r>
              <w:rPr>
                <w:rFonts w:ascii="仿宋_GB2312" w:hAnsi="宋体" w:eastAsia="仿宋_GB2312" w:cs="宋体"/>
                <w:kern w:val="2"/>
                <w:sz w:val="24"/>
                <w:szCs w:val="24"/>
              </w:rPr>
              <w:t>20</w:t>
            </w:r>
            <w:r>
              <w:rPr>
                <w:rFonts w:hint="eastAsia" w:ascii="仿宋_GB2312" w:hAnsi="宋体" w:eastAsia="仿宋_GB2312" w:cs="宋体"/>
                <w:kern w:val="2"/>
                <w:sz w:val="24"/>
                <w:szCs w:val="24"/>
              </w:rPr>
              <w:t>分钟可达医疗卫生机构比例</w:t>
            </w:r>
          </w:p>
        </w:tc>
        <w:tc>
          <w:tcPr>
            <w:tcW w:w="750"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100</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13</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居民健康知识知晓率</w:t>
            </w:r>
          </w:p>
        </w:tc>
        <w:tc>
          <w:tcPr>
            <w:tcW w:w="750"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88</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89.47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14</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主要慢病社区规范管理率</w:t>
            </w:r>
          </w:p>
        </w:tc>
        <w:tc>
          <w:tcPr>
            <w:tcW w:w="750"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60</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15</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城乡居民社区门诊就诊比例</w:t>
            </w:r>
          </w:p>
        </w:tc>
        <w:tc>
          <w:tcPr>
            <w:tcW w:w="750"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60</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44.86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16</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户籍人口</w:t>
            </w:r>
          </w:p>
        </w:tc>
        <w:tc>
          <w:tcPr>
            <w:tcW w:w="750" w:type="pct"/>
            <w:vAlign w:val="center"/>
          </w:tcPr>
          <w:p>
            <w:pPr>
              <w:spacing w:line="400" w:lineRule="exact"/>
              <w:jc w:val="center"/>
              <w:rPr>
                <w:rFonts w:ascii="仿宋_GB2312" w:eastAsia="仿宋_GB2312" w:cs="宋体"/>
                <w:kern w:val="2"/>
                <w:sz w:val="24"/>
                <w:szCs w:val="24"/>
              </w:rPr>
            </w:pPr>
            <w:r>
              <w:rPr>
                <w:rFonts w:hint="eastAsia" w:ascii="仿宋_GB2312" w:hAnsi="宋体" w:eastAsia="仿宋_GB2312" w:cs="宋体"/>
                <w:kern w:val="2"/>
                <w:sz w:val="24"/>
                <w:szCs w:val="24"/>
              </w:rPr>
              <w:t>万人</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265</w:t>
            </w:r>
            <w:r>
              <w:rPr>
                <w:rFonts w:hint="eastAsia" w:ascii="仿宋_GB2312" w:hAnsi="宋体" w:eastAsia="仿宋_GB2312" w:cs="宋体"/>
                <w:kern w:val="2"/>
                <w:sz w:val="24"/>
                <w:szCs w:val="24"/>
              </w:rPr>
              <w:t>万左右</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263.71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17</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户籍人口自然增长率</w:t>
            </w:r>
          </w:p>
        </w:tc>
        <w:tc>
          <w:tcPr>
            <w:tcW w:w="750" w:type="pct"/>
            <w:vAlign w:val="center"/>
          </w:tcPr>
          <w:p>
            <w:pPr>
              <w:spacing w:line="400" w:lineRule="exact"/>
              <w:jc w:val="center"/>
              <w:rPr>
                <w:rFonts w:ascii="仿宋_GB2312" w:eastAsia="仿宋_GB2312" w:cs="宋体"/>
                <w:kern w:val="2"/>
                <w:sz w:val="24"/>
                <w:szCs w:val="24"/>
              </w:rPr>
            </w:pPr>
            <w:r>
              <w:rPr>
                <w:rFonts w:hint="eastAsia" w:ascii="仿宋_GB2312" w:hAnsi="宋体" w:eastAsia="仿宋_GB2312" w:cs="宋体"/>
                <w:kern w:val="2"/>
                <w:sz w:val="24"/>
                <w:szCs w:val="24"/>
              </w:rPr>
              <w:t>‰</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2</w:t>
            </w:r>
            <w:r>
              <w:rPr>
                <w:rFonts w:hint="eastAsia" w:ascii="仿宋_GB2312" w:hAnsi="宋体" w:eastAsia="仿宋_GB2312" w:cs="宋体"/>
                <w:kern w:val="2"/>
                <w:sz w:val="24"/>
                <w:szCs w:val="24"/>
              </w:rPr>
              <w:t>以内</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18</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总和生育率</w:t>
            </w:r>
          </w:p>
        </w:tc>
        <w:tc>
          <w:tcPr>
            <w:tcW w:w="750" w:type="pct"/>
            <w:vAlign w:val="center"/>
          </w:tcPr>
          <w:p>
            <w:pPr>
              <w:spacing w:line="400" w:lineRule="exact"/>
              <w:jc w:val="center"/>
              <w:rPr>
                <w:rFonts w:ascii="仿宋_GB2312" w:eastAsia="仿宋_GB2312" w:cs="宋体"/>
                <w:kern w:val="2"/>
                <w:sz w:val="24"/>
                <w:szCs w:val="24"/>
              </w:rPr>
            </w:pPr>
            <w:r>
              <w:rPr>
                <w:rFonts w:hint="eastAsia" w:ascii="仿宋_GB2312" w:hAnsi="宋体" w:eastAsia="仿宋_GB2312" w:cs="宋体"/>
                <w:kern w:val="2"/>
                <w:sz w:val="24"/>
                <w:szCs w:val="24"/>
              </w:rPr>
              <w:t>个</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1.4</w:t>
            </w:r>
            <w:r>
              <w:rPr>
                <w:rFonts w:hint="eastAsia" w:ascii="仿宋_GB2312" w:hAnsi="宋体" w:eastAsia="仿宋_GB2312" w:cs="宋体"/>
                <w:kern w:val="2"/>
                <w:sz w:val="24"/>
                <w:szCs w:val="24"/>
              </w:rPr>
              <w:t>左右</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19</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计划生育率</w:t>
            </w:r>
          </w:p>
        </w:tc>
        <w:tc>
          <w:tcPr>
            <w:tcW w:w="750"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95</w:t>
            </w:r>
            <w:r>
              <w:rPr>
                <w:rFonts w:hint="eastAsia" w:ascii="仿宋_GB2312" w:hAnsi="宋体" w:eastAsia="仿宋_GB2312" w:cs="宋体"/>
                <w:kern w:val="2"/>
                <w:sz w:val="24"/>
                <w:szCs w:val="24"/>
              </w:rPr>
              <w:t>以上</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20</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出生人口性别比</w:t>
            </w:r>
          </w:p>
        </w:tc>
        <w:tc>
          <w:tcPr>
            <w:tcW w:w="750"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972" w:type="pct"/>
            <w:vAlign w:val="center"/>
          </w:tcPr>
          <w:p>
            <w:pPr>
              <w:spacing w:line="400" w:lineRule="exact"/>
              <w:jc w:val="center"/>
              <w:rPr>
                <w:rFonts w:ascii="仿宋_GB2312" w:eastAsia="仿宋_GB2312" w:cs="宋体"/>
                <w:kern w:val="2"/>
                <w:sz w:val="24"/>
                <w:szCs w:val="24"/>
              </w:rPr>
            </w:pPr>
            <w:r>
              <w:rPr>
                <w:rFonts w:hint="eastAsia" w:ascii="仿宋_GB2312" w:hAnsi="宋体" w:eastAsia="仿宋_GB2312" w:cs="宋体"/>
                <w:kern w:val="2"/>
                <w:sz w:val="24"/>
                <w:szCs w:val="24"/>
              </w:rPr>
              <w:t>正常</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106.73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21</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婚前医学检查率</w:t>
            </w:r>
          </w:p>
        </w:tc>
        <w:tc>
          <w:tcPr>
            <w:tcW w:w="750"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80</w:t>
            </w:r>
            <w:r>
              <w:rPr>
                <w:rFonts w:hint="eastAsia" w:ascii="仿宋_GB2312" w:hAnsi="宋体" w:eastAsia="仿宋_GB2312" w:cs="宋体"/>
                <w:kern w:val="2"/>
                <w:sz w:val="24"/>
                <w:szCs w:val="24"/>
              </w:rPr>
              <w:t>以上</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90.04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22</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孕前优生检测率</w:t>
            </w:r>
          </w:p>
        </w:tc>
        <w:tc>
          <w:tcPr>
            <w:tcW w:w="750"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80</w:t>
            </w:r>
            <w:r>
              <w:rPr>
                <w:rFonts w:hint="eastAsia" w:ascii="仿宋_GB2312" w:hAnsi="宋体" w:eastAsia="仿宋_GB2312" w:cs="宋体"/>
                <w:kern w:val="2"/>
                <w:sz w:val="24"/>
                <w:szCs w:val="24"/>
              </w:rPr>
              <w:t>以上</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123.86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57"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23</w:t>
            </w:r>
          </w:p>
        </w:tc>
        <w:tc>
          <w:tcPr>
            <w:tcW w:w="2129" w:type="pct"/>
            <w:vAlign w:val="center"/>
          </w:tcPr>
          <w:p>
            <w:pPr>
              <w:spacing w:line="400" w:lineRule="exact"/>
              <w:rPr>
                <w:rFonts w:ascii="仿宋_GB2312" w:eastAsia="仿宋_GB2312" w:cs="宋体"/>
                <w:kern w:val="2"/>
                <w:sz w:val="24"/>
                <w:szCs w:val="24"/>
              </w:rPr>
            </w:pPr>
            <w:r>
              <w:rPr>
                <w:rFonts w:hint="eastAsia" w:ascii="仿宋_GB2312" w:hAnsi="宋体" w:eastAsia="仿宋_GB2312" w:cs="宋体"/>
                <w:kern w:val="2"/>
                <w:sz w:val="24"/>
                <w:szCs w:val="24"/>
              </w:rPr>
              <w:t>流动人口属地市民化服务管理率</w:t>
            </w:r>
          </w:p>
        </w:tc>
        <w:tc>
          <w:tcPr>
            <w:tcW w:w="750"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97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85</w:t>
            </w:r>
            <w:r>
              <w:rPr>
                <w:rFonts w:hint="eastAsia" w:ascii="仿宋_GB2312" w:hAnsi="宋体" w:eastAsia="仿宋_GB2312" w:cs="宋体"/>
                <w:kern w:val="2"/>
                <w:sz w:val="24"/>
                <w:szCs w:val="24"/>
              </w:rPr>
              <w:t>以上</w:t>
            </w:r>
          </w:p>
        </w:tc>
        <w:tc>
          <w:tcPr>
            <w:tcW w:w="692" w:type="pct"/>
            <w:vAlign w:val="center"/>
          </w:tcPr>
          <w:p>
            <w:pPr>
              <w:spacing w:line="400" w:lineRule="exact"/>
              <w:jc w:val="center"/>
              <w:rPr>
                <w:rFonts w:ascii="仿宋_GB2312" w:eastAsia="仿宋_GB2312" w:cs="宋体"/>
                <w:kern w:val="2"/>
                <w:sz w:val="24"/>
                <w:szCs w:val="24"/>
              </w:rPr>
            </w:pPr>
            <w:r>
              <w:rPr>
                <w:rFonts w:ascii="仿宋_GB2312" w:hAnsi="宋体" w:eastAsia="仿宋_GB2312" w:cs="宋体"/>
                <w:kern w:val="2"/>
                <w:sz w:val="24"/>
                <w:szCs w:val="24"/>
              </w:rPr>
              <w:t>90.52</w:t>
            </w:r>
          </w:p>
        </w:tc>
      </w:tr>
      <w:bookmarkEnd w:id="0"/>
    </w:tbl>
    <w:p>
      <w:pPr>
        <w:widowControl/>
        <w:spacing w:beforeLines="50" w:line="540" w:lineRule="exact"/>
        <w:ind w:firstLine="640" w:firstLineChars="200"/>
        <w:textAlignment w:val="center"/>
        <w:rPr>
          <w:rFonts w:ascii="仿宋_GB2312" w:hAnsi="仿宋" w:eastAsia="仿宋_GB2312" w:cs="仿宋"/>
          <w:sz w:val="32"/>
          <w:szCs w:val="32"/>
        </w:rPr>
      </w:pPr>
      <w:r>
        <w:rPr>
          <w:rFonts w:hint="eastAsia" w:ascii="仿宋_GB2312" w:hAnsi="仿宋" w:eastAsia="仿宋_GB2312" w:cs="仿宋"/>
          <w:sz w:val="32"/>
          <w:szCs w:val="32"/>
        </w:rPr>
        <w:t>虽然我市卫生计生工作在“十二五”期间取得了显著成绩，但还面临着多重健康问题挑战。人民群众日益增长的健康服务需求与医疗卫生事业发展现状之间的矛盾依然存在，我市卫生资源总量相对不足，资源配置不</w:t>
      </w:r>
      <w:r>
        <w:rPr>
          <w:rFonts w:hint="eastAsia" w:ascii="仿宋_GB2312" w:hAnsi="仿宋" w:eastAsia="仿宋_GB2312" w:cs="仿宋"/>
          <w:color w:val="000000"/>
          <w:sz w:val="32"/>
          <w:szCs w:val="32"/>
        </w:rPr>
        <w:t>尽均衡，</w:t>
      </w:r>
      <w:r>
        <w:rPr>
          <w:rFonts w:hint="eastAsia" w:ascii="仿宋_GB2312" w:hAnsi="仿宋" w:eastAsia="仿宋_GB2312" w:cs="仿宋"/>
          <w:sz w:val="32"/>
          <w:szCs w:val="32"/>
        </w:rPr>
        <w:t>优质医疗资源比较紧缺，基层医疗卫生服务能力有待提升，群众对看病就医的获得感不够明显。由于工业化、城镇化和人口老龄化，居民疾病谱发生较大变化，慢性病成为威胁群众健康的重要因素，重大传染病、食品安全问题和突发公共安全事件对医疗卫生服务管理产生了严峻的叠加效应。</w:t>
      </w:r>
      <w:r>
        <w:rPr>
          <w:rFonts w:hint="eastAsia" w:ascii="仿宋_GB2312" w:hAnsi="仿宋" w:eastAsia="仿宋_GB2312" w:cs="仿宋"/>
          <w:color w:val="000000"/>
          <w:sz w:val="32"/>
          <w:szCs w:val="32"/>
        </w:rPr>
        <w:t>医药卫生体制改革进入深水区，任务更加艰巨，体制机制尚需不断创新，政府投入和事业发展需要存在差距。人口生育政策的重大调整，对计划生育工作在理念、方式、机制、重点等方面提出了新的要求，对卫生计生资源承载、管理方法、服务能力等带来了更大挑战。</w:t>
      </w:r>
    </w:p>
    <w:p>
      <w:pPr>
        <w:widowControl/>
        <w:spacing w:line="540" w:lineRule="exact"/>
        <w:ind w:firstLine="642" w:firstLineChars="200"/>
        <w:textAlignment w:val="center"/>
        <w:rPr>
          <w:rFonts w:ascii="仿宋_GB2312" w:hAnsi="仿宋" w:eastAsia="仿宋_GB2312" w:cs="仿宋"/>
          <w:kern w:val="2"/>
          <w:sz w:val="32"/>
          <w:szCs w:val="32"/>
        </w:rPr>
      </w:pPr>
      <w:r>
        <w:rPr>
          <w:rFonts w:hint="eastAsia" w:ascii="楷体_GB2312" w:hAnsi="仿宋" w:eastAsia="楷体_GB2312" w:cs="仿宋"/>
          <w:b/>
          <w:kern w:val="2"/>
          <w:sz w:val="32"/>
          <w:szCs w:val="32"/>
        </w:rPr>
        <w:t>（二）面临形势</w:t>
      </w:r>
    </w:p>
    <w:p>
      <w:pPr>
        <w:widowControl/>
        <w:spacing w:line="540" w:lineRule="exact"/>
        <w:ind w:firstLine="640" w:firstLineChars="200"/>
        <w:textAlignment w:val="center"/>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三五”时期，我市卫生计生事业发展面临重大战略机遇。党的十八届五中全会作出了推进健康中国建设和促进人口均衡发展的重大战略部署，强调要深化医药卫生体制改革，实行“医疗、医保、医药”联动，推进医药分开，实行分级诊疗，建立覆盖城乡的基本医疗卫生制度和现代医院管理制度，坚持计划生育基本国策，完善人口发展战略，为卫生计生事业发展指明了方向和路径。市委</w:t>
      </w:r>
      <w:r>
        <w:rPr>
          <w:rFonts w:hint="eastAsia" w:ascii="仿宋_GB2312" w:hAnsi="仿宋" w:eastAsia="仿宋_GB2312" w:cs="仿宋"/>
          <w:sz w:val="32"/>
          <w:szCs w:val="32"/>
        </w:rPr>
        <w:t>市政府</w:t>
      </w:r>
      <w:r>
        <w:rPr>
          <w:rFonts w:hint="eastAsia" w:ascii="仿宋_GB2312" w:hAnsi="仿宋" w:eastAsia="仿宋_GB2312" w:cs="仿宋"/>
          <w:color w:val="000000"/>
          <w:sz w:val="32"/>
          <w:szCs w:val="32"/>
        </w:rPr>
        <w:t>提出“以五大发展理念引领湖州赶超发展”的总体要求，把建设“健康湖州”作为高水平全面建成小康社会的重要目标，把健全大健康服务体系列为补齐民生短板的重点内容。加快推进健康服务业发展，打造长三角“健康谷”，对我市卫生计生事业发展提出了新的要求。“互联网</w:t>
      </w:r>
      <w:r>
        <w:rPr>
          <w:rFonts w:ascii="仿宋_GB2312" w:hAnsi="仿宋_GB2312" w:eastAsia="仿宋_GB2312" w:cs="仿宋"/>
          <w:color w:val="000000"/>
          <w:sz w:val="32"/>
          <w:szCs w:val="32"/>
        </w:rPr>
        <w:t>+</w:t>
      </w:r>
      <w:r>
        <w:rPr>
          <w:rFonts w:hint="eastAsia" w:ascii="仿宋_GB2312" w:hAnsi="仿宋_GB2312" w:eastAsia="仿宋_GB2312" w:cs="仿宋"/>
          <w:color w:val="000000"/>
          <w:sz w:val="32"/>
          <w:szCs w:val="32"/>
        </w:rPr>
        <w:t>”</w:t>
      </w:r>
      <w:r>
        <w:rPr>
          <w:rFonts w:hint="eastAsia" w:ascii="仿宋_GB2312" w:hAnsi="仿宋" w:eastAsia="仿宋_GB2312" w:cs="仿宋"/>
          <w:color w:val="000000"/>
          <w:sz w:val="32"/>
          <w:szCs w:val="32"/>
        </w:rPr>
        <w:t>等信息技术新业态的发展，拓宽了智慧健康服务内涵，也为全市卫生计生事业发展创造了新的机遇。</w:t>
      </w:r>
    </w:p>
    <w:p>
      <w:pPr>
        <w:widowControl/>
        <w:spacing w:line="540" w:lineRule="exact"/>
        <w:ind w:firstLine="640" w:firstLineChars="200"/>
        <w:textAlignment w:val="center"/>
        <w:rPr>
          <w:rFonts w:ascii="黑体" w:hAnsi="仿宋" w:eastAsia="黑体" w:cs="仿宋"/>
          <w:color w:val="000000"/>
          <w:sz w:val="32"/>
          <w:szCs w:val="32"/>
        </w:rPr>
      </w:pPr>
      <w:r>
        <w:rPr>
          <w:rFonts w:hint="eastAsia" w:ascii="黑体" w:hAnsi="仿宋" w:eastAsia="黑体" w:cs="仿宋"/>
          <w:color w:val="000000"/>
          <w:sz w:val="32"/>
          <w:szCs w:val="32"/>
        </w:rPr>
        <w:t>二、指导思想、基本原则和总体目标</w:t>
      </w:r>
    </w:p>
    <w:p>
      <w:pPr>
        <w:widowControl/>
        <w:spacing w:line="540" w:lineRule="exact"/>
        <w:ind w:firstLine="629" w:firstLineChars="196"/>
        <w:textAlignment w:val="center"/>
        <w:rPr>
          <w:rFonts w:ascii="楷体_GB2312" w:hAnsi="仿宋" w:eastAsia="楷体_GB2312" w:cs="仿宋"/>
          <w:b/>
          <w:sz w:val="32"/>
          <w:szCs w:val="32"/>
        </w:rPr>
      </w:pPr>
      <w:r>
        <w:rPr>
          <w:rFonts w:hint="eastAsia" w:ascii="楷体_GB2312" w:hAnsi="仿宋" w:eastAsia="楷体_GB2312" w:cs="仿宋"/>
          <w:b/>
          <w:sz w:val="32"/>
          <w:szCs w:val="32"/>
        </w:rPr>
        <w:t>（一）指导思想</w:t>
      </w:r>
    </w:p>
    <w:p>
      <w:pPr>
        <w:widowControl/>
        <w:spacing w:line="540" w:lineRule="exact"/>
        <w:ind w:firstLine="640" w:firstLineChars="200"/>
        <w:textAlignment w:val="center"/>
        <w:rPr>
          <w:rFonts w:ascii="仿宋_GB2312" w:hAnsi="仿宋" w:eastAsia="仿宋_GB2312" w:cs="仿宋"/>
          <w:sz w:val="32"/>
          <w:szCs w:val="32"/>
        </w:rPr>
      </w:pPr>
      <w:r>
        <w:rPr>
          <w:rFonts w:hint="eastAsia" w:ascii="仿宋_GB2312" w:hAnsi="仿宋" w:eastAsia="仿宋_GB2312" w:cs="仿宋"/>
          <w:sz w:val="32"/>
          <w:szCs w:val="32"/>
        </w:rPr>
        <w:t>以邓小平理论、“三个代表”重要思想和科学发展观为指导，深入贯彻习近平总书记系列重要讲话精神，以五大发展理念引领湖州赶超发展为要求，坚持“以基层为重点，以改革创新为动力，预防为主，中西医并重，把健康融入所有政策，人民共建共享”的新时期卫生与健康工作方针，坚持计划生育基本国策。以建设“健康湖州”、打造长三角“健康谷”为目标，以“补短板、强基础、优服务、建机制”为主线，深化医药卫生体制改革，优化医疗卫生服务体系，完善</w:t>
      </w:r>
      <w:r>
        <w:rPr>
          <w:rFonts w:hint="eastAsia" w:ascii="仿宋_GB2312" w:hAnsi="仿宋" w:eastAsia="仿宋_GB2312" w:cs="仿宋"/>
          <w:color w:val="000000"/>
          <w:sz w:val="32"/>
          <w:szCs w:val="32"/>
        </w:rPr>
        <w:t>计划生育服务管理，强化人才学科和信息化支撑，</w:t>
      </w:r>
      <w:r>
        <w:rPr>
          <w:rFonts w:hint="eastAsia" w:ascii="仿宋_GB2312" w:hAnsi="仿宋" w:eastAsia="仿宋_GB2312" w:cs="仿宋"/>
          <w:sz w:val="32"/>
          <w:szCs w:val="32"/>
        </w:rPr>
        <w:t>全面推进依法行政，切实加强党的建设，着力提升人民群众健康水平，努力促进人口均衡发展，为加快建设现代化生态型滨湖大城市、高水平全面建成小康社会提供坚强的健康保障。</w:t>
      </w:r>
    </w:p>
    <w:p>
      <w:pPr>
        <w:widowControl/>
        <w:spacing w:line="540" w:lineRule="exact"/>
        <w:ind w:firstLine="629" w:firstLineChars="196"/>
        <w:textAlignment w:val="center"/>
        <w:rPr>
          <w:rFonts w:ascii="仿宋_GB2312" w:hAnsi="仿宋" w:eastAsia="仿宋_GB2312" w:cs="仿宋"/>
          <w:sz w:val="32"/>
          <w:szCs w:val="32"/>
        </w:rPr>
      </w:pPr>
      <w:r>
        <w:rPr>
          <w:rFonts w:hint="eastAsia" w:ascii="楷体_GB2312" w:hAnsi="仿宋" w:eastAsia="楷体_GB2312" w:cs="仿宋"/>
          <w:b/>
          <w:sz w:val="32"/>
          <w:szCs w:val="32"/>
        </w:rPr>
        <w:t>（二）基本原则</w:t>
      </w:r>
    </w:p>
    <w:p>
      <w:pPr>
        <w:widowControl/>
        <w:spacing w:line="540" w:lineRule="exact"/>
        <w:ind w:firstLine="629" w:firstLineChars="196"/>
        <w:textAlignment w:val="center"/>
        <w:rPr>
          <w:rFonts w:ascii="仿宋_GB2312" w:hAnsi="仿宋" w:eastAsia="仿宋_GB2312" w:cs="仿宋"/>
          <w:sz w:val="32"/>
          <w:szCs w:val="32"/>
        </w:rPr>
      </w:pPr>
      <w:r>
        <w:rPr>
          <w:rFonts w:ascii="仿宋_GB2312" w:hAnsi="仿宋" w:eastAsia="仿宋_GB2312" w:cs="仿宋"/>
          <w:b/>
          <w:sz w:val="32"/>
          <w:szCs w:val="32"/>
        </w:rPr>
        <w:t>1.</w:t>
      </w:r>
      <w:r>
        <w:rPr>
          <w:rFonts w:hint="eastAsia" w:ascii="仿宋_GB2312" w:hAnsi="仿宋" w:eastAsia="仿宋_GB2312" w:cs="仿宋"/>
          <w:b/>
          <w:sz w:val="32"/>
          <w:szCs w:val="32"/>
        </w:rPr>
        <w:t>立足改革创新。</w:t>
      </w:r>
      <w:r>
        <w:rPr>
          <w:rFonts w:hint="eastAsia" w:ascii="仿宋_GB2312" w:hAnsi="仿宋" w:eastAsia="仿宋_GB2312" w:cs="仿宋"/>
          <w:sz w:val="32"/>
          <w:szCs w:val="32"/>
        </w:rPr>
        <w:t>突出问题导向和改革导向，勇于创新，攻坚克难，在深化改革中加快制度创新和服务模式转变，用改革的办法解决发展中的困难和问题。</w:t>
      </w:r>
    </w:p>
    <w:p>
      <w:pPr>
        <w:widowControl/>
        <w:spacing w:line="540" w:lineRule="exact"/>
        <w:textAlignment w:val="center"/>
        <w:rPr>
          <w:rFonts w:ascii="仿宋_GB2312" w:hAnsi="仿宋" w:eastAsia="仿宋_GB2312" w:cs="仿宋"/>
          <w:sz w:val="32"/>
          <w:szCs w:val="32"/>
        </w:rPr>
      </w:pPr>
      <w:r>
        <w:rPr>
          <w:rFonts w:ascii="仿宋_GB2312" w:hAnsi="仿宋" w:eastAsia="仿宋_GB2312" w:cs="仿宋"/>
          <w:b/>
          <w:sz w:val="32"/>
          <w:szCs w:val="32"/>
        </w:rPr>
        <w:t xml:space="preserve">    2.</w:t>
      </w:r>
      <w:r>
        <w:rPr>
          <w:rFonts w:hint="eastAsia" w:ascii="仿宋_GB2312" w:hAnsi="仿宋" w:eastAsia="仿宋_GB2312" w:cs="仿宋"/>
          <w:b/>
          <w:sz w:val="32"/>
          <w:szCs w:val="32"/>
        </w:rPr>
        <w:t>立足城乡统筹。</w:t>
      </w:r>
      <w:r>
        <w:rPr>
          <w:rFonts w:hint="eastAsia" w:ascii="仿宋_GB2312" w:hAnsi="仿宋" w:eastAsia="仿宋_GB2312" w:cs="仿宋"/>
          <w:sz w:val="32"/>
          <w:szCs w:val="32"/>
        </w:rPr>
        <w:t>发挥我市城乡统筹的优势，坚持城乡一体规划，着力增强基层医疗卫生服务能力，提高健康服务均等化水平，推动城乡居民健康水平稳步提升。</w:t>
      </w:r>
    </w:p>
    <w:p>
      <w:pPr>
        <w:widowControl/>
        <w:spacing w:line="540" w:lineRule="exact"/>
        <w:ind w:firstLine="629" w:firstLineChars="196"/>
        <w:textAlignment w:val="center"/>
        <w:rPr>
          <w:rFonts w:ascii="仿宋_GB2312" w:hAnsi="仿宋" w:eastAsia="仿宋_GB2312" w:cs="仿宋"/>
          <w:sz w:val="32"/>
          <w:szCs w:val="32"/>
        </w:rPr>
      </w:pPr>
      <w:r>
        <w:rPr>
          <w:rFonts w:ascii="仿宋_GB2312" w:hAnsi="仿宋" w:eastAsia="仿宋_GB2312" w:cs="仿宋"/>
          <w:b/>
          <w:sz w:val="32"/>
          <w:szCs w:val="32"/>
        </w:rPr>
        <w:t>3.</w:t>
      </w:r>
      <w:r>
        <w:rPr>
          <w:rFonts w:hint="eastAsia" w:ascii="仿宋_GB2312" w:hAnsi="仿宋" w:eastAsia="仿宋_GB2312" w:cs="仿宋"/>
          <w:b/>
          <w:sz w:val="32"/>
          <w:szCs w:val="32"/>
        </w:rPr>
        <w:t>立足多元发展。</w:t>
      </w:r>
      <w:r>
        <w:rPr>
          <w:rFonts w:hint="eastAsia" w:ascii="仿宋_GB2312" w:hAnsi="仿宋" w:eastAsia="仿宋_GB2312" w:cs="仿宋"/>
          <w:sz w:val="32"/>
          <w:szCs w:val="32"/>
        </w:rPr>
        <w:t>坚持政府主导和发挥市场机制作用相结合，积极鼓励社会资本办医，大力发展健康服务业，有效满足广大群众对健康服务的多层次和多样化需求。</w:t>
      </w:r>
    </w:p>
    <w:p>
      <w:pPr>
        <w:widowControl/>
        <w:spacing w:line="540" w:lineRule="exact"/>
        <w:ind w:firstLine="600"/>
        <w:textAlignment w:val="center"/>
        <w:rPr>
          <w:rFonts w:ascii="仿宋_GB2312" w:hAnsi="仿宋" w:eastAsia="仿宋_GB2312" w:cs="仿宋"/>
          <w:sz w:val="32"/>
          <w:szCs w:val="32"/>
        </w:rPr>
      </w:pPr>
      <w:r>
        <w:rPr>
          <w:rFonts w:ascii="仿宋_GB2312" w:hAnsi="仿宋" w:eastAsia="仿宋_GB2312" w:cs="仿宋"/>
          <w:b/>
          <w:sz w:val="32"/>
          <w:szCs w:val="32"/>
        </w:rPr>
        <w:t>4.</w:t>
      </w:r>
      <w:r>
        <w:rPr>
          <w:rFonts w:hint="eastAsia" w:ascii="仿宋_GB2312" w:hAnsi="仿宋" w:eastAsia="仿宋_GB2312" w:cs="仿宋"/>
          <w:b/>
          <w:sz w:val="32"/>
          <w:szCs w:val="32"/>
        </w:rPr>
        <w:t>立足务实有效。</w:t>
      </w:r>
      <w:r>
        <w:rPr>
          <w:rFonts w:hint="eastAsia" w:ascii="仿宋_GB2312" w:hAnsi="仿宋" w:eastAsia="仿宋_GB2312" w:cs="仿宋"/>
          <w:sz w:val="32"/>
          <w:szCs w:val="32"/>
        </w:rPr>
        <w:t>以群众满意为目标，按照“公平、可及、共享”的要求，完善卫生计生政策、工作举措和实现路径，着力维护好人民群众的健康权益和计划生育权利，切实增强广大群众的获得感。</w:t>
      </w:r>
    </w:p>
    <w:p>
      <w:pPr>
        <w:widowControl/>
        <w:spacing w:line="540" w:lineRule="exact"/>
        <w:ind w:firstLine="600"/>
        <w:textAlignment w:val="center"/>
        <w:rPr>
          <w:rFonts w:ascii="仿宋_GB2312" w:hAnsi="仿宋" w:eastAsia="仿宋_GB2312" w:cs="仿宋"/>
          <w:sz w:val="32"/>
          <w:szCs w:val="32"/>
        </w:rPr>
      </w:pPr>
      <w:r>
        <w:rPr>
          <w:rFonts w:ascii="仿宋_GB2312" w:hAnsi="仿宋" w:eastAsia="仿宋_GB2312" w:cs="仿宋"/>
          <w:b/>
          <w:sz w:val="32"/>
          <w:szCs w:val="32"/>
        </w:rPr>
        <w:t>5.</w:t>
      </w:r>
      <w:r>
        <w:rPr>
          <w:rFonts w:hint="eastAsia" w:ascii="仿宋_GB2312" w:hAnsi="仿宋" w:eastAsia="仿宋_GB2312" w:cs="仿宋"/>
          <w:b/>
          <w:sz w:val="32"/>
          <w:szCs w:val="32"/>
        </w:rPr>
        <w:t>立足健康发展。</w:t>
      </w:r>
      <w:r>
        <w:rPr>
          <w:rFonts w:hint="eastAsia" w:ascii="仿宋_GB2312" w:hAnsi="仿宋" w:eastAsia="仿宋_GB2312" w:cs="仿宋"/>
          <w:sz w:val="32"/>
          <w:szCs w:val="32"/>
        </w:rPr>
        <w:t>坚持以“创新、协调、绿色、开放、共享”的发展理念为引领，以“补短板、强基础、优服务、建机制”为主线，不断优化资源结构，推动卫生计生事业健康发展。</w:t>
      </w:r>
    </w:p>
    <w:p>
      <w:pPr>
        <w:widowControl/>
        <w:spacing w:line="540" w:lineRule="exact"/>
        <w:ind w:firstLine="629" w:firstLineChars="196"/>
        <w:textAlignment w:val="center"/>
        <w:rPr>
          <w:rFonts w:ascii="仿宋_GB2312" w:hAnsi="仿宋" w:eastAsia="仿宋_GB2312" w:cs="仿宋"/>
          <w:sz w:val="32"/>
          <w:szCs w:val="32"/>
        </w:rPr>
      </w:pPr>
      <w:r>
        <w:rPr>
          <w:rFonts w:hint="eastAsia" w:ascii="楷体_GB2312" w:hAnsi="仿宋" w:eastAsia="楷体_GB2312" w:cs="仿宋"/>
          <w:b/>
          <w:sz w:val="32"/>
          <w:szCs w:val="32"/>
        </w:rPr>
        <w:t>（三）总体目标</w:t>
      </w:r>
    </w:p>
    <w:p>
      <w:pPr>
        <w:spacing w:line="540" w:lineRule="exact"/>
        <w:ind w:firstLine="640" w:firstLineChars="200"/>
        <w:rPr>
          <w:rFonts w:ascii="仿宋_GB2312" w:hAnsi="Calibri" w:eastAsia="仿宋_GB2312"/>
          <w:kern w:val="2"/>
          <w:sz w:val="32"/>
          <w:szCs w:val="32"/>
        </w:rPr>
      </w:pPr>
      <w:r>
        <w:rPr>
          <w:rFonts w:hint="eastAsia" w:ascii="仿宋_GB2312" w:hAnsi="Calibri" w:eastAsia="仿宋_GB2312"/>
          <w:kern w:val="2"/>
          <w:sz w:val="32"/>
          <w:szCs w:val="32"/>
        </w:rPr>
        <w:t>在新一轮发展中积极探索湖州特色，形成湖州经验，厚植湖州优势，树立湖州形象，促进健康事业和健康产业协调发展。至</w:t>
      </w:r>
      <w:r>
        <w:rPr>
          <w:rFonts w:ascii="仿宋_GB2312" w:hAnsi="Calibri" w:eastAsia="仿宋_GB2312"/>
          <w:kern w:val="2"/>
          <w:sz w:val="32"/>
          <w:szCs w:val="32"/>
        </w:rPr>
        <w:t>2020</w:t>
      </w:r>
      <w:r>
        <w:rPr>
          <w:rFonts w:hint="eastAsia" w:ascii="仿宋_GB2312" w:hAnsi="Calibri" w:eastAsia="仿宋_GB2312"/>
          <w:kern w:val="2"/>
          <w:sz w:val="32"/>
          <w:szCs w:val="32"/>
        </w:rPr>
        <w:t>年，提供更加完善、更高水平、覆盖城乡的基本医疗卫生和人口健康服务，人群主要健康指标达到或接近高收入国家水平，“健康湖州”建设成果有效显现。</w:t>
      </w:r>
    </w:p>
    <w:p>
      <w:pPr>
        <w:spacing w:line="540" w:lineRule="exact"/>
        <w:rPr>
          <w:rFonts w:ascii="仿宋_GB2312" w:hAnsi="仿宋" w:eastAsia="仿宋_GB2312" w:cs="仿宋"/>
          <w:color w:val="000000"/>
          <w:kern w:val="2"/>
          <w:sz w:val="32"/>
          <w:szCs w:val="32"/>
        </w:rPr>
      </w:pPr>
      <w:r>
        <w:rPr>
          <w:rFonts w:ascii="仿宋_GB2312" w:hAnsi="仿宋" w:eastAsia="仿宋_GB2312" w:cs="仿宋"/>
          <w:b/>
          <w:color w:val="000000"/>
          <w:kern w:val="2"/>
          <w:sz w:val="32"/>
          <w:szCs w:val="32"/>
        </w:rPr>
        <w:t xml:space="preserve">    1.</w:t>
      </w:r>
      <w:r>
        <w:rPr>
          <w:rFonts w:hint="eastAsia" w:ascii="仿宋_GB2312" w:hAnsi="仿宋" w:eastAsia="仿宋_GB2312" w:cs="仿宋"/>
          <w:b/>
          <w:color w:val="000000"/>
          <w:kern w:val="2"/>
          <w:sz w:val="32"/>
          <w:szCs w:val="32"/>
        </w:rPr>
        <w:t>健康水平更加提升。</w:t>
      </w:r>
      <w:r>
        <w:rPr>
          <w:rFonts w:hint="eastAsia" w:ascii="仿宋_GB2312" w:hAnsi="仿宋" w:eastAsia="仿宋_GB2312" w:cs="仿宋"/>
          <w:color w:val="000000"/>
          <w:kern w:val="2"/>
          <w:sz w:val="32"/>
          <w:szCs w:val="32"/>
        </w:rPr>
        <w:t>主要健康指标高于全省平均水平。降低疾病负担，至“十三五”期末居民个人现金支出占卫生总费用的比重不高于</w:t>
      </w:r>
      <w:r>
        <w:rPr>
          <w:rFonts w:ascii="仿宋_GB2312" w:hAnsi="仿宋" w:eastAsia="仿宋_GB2312" w:cs="仿宋"/>
          <w:color w:val="000000"/>
          <w:kern w:val="2"/>
          <w:sz w:val="32"/>
          <w:szCs w:val="32"/>
        </w:rPr>
        <w:t>30%</w:t>
      </w:r>
      <w:r>
        <w:rPr>
          <w:rFonts w:hint="eastAsia" w:ascii="仿宋_GB2312" w:hAnsi="仿宋" w:eastAsia="仿宋_GB2312" w:cs="仿宋"/>
          <w:color w:val="000000"/>
          <w:kern w:val="2"/>
          <w:sz w:val="32"/>
          <w:szCs w:val="32"/>
        </w:rPr>
        <w:t>。居民健康素养明显提高。</w:t>
      </w:r>
    </w:p>
    <w:p>
      <w:pPr>
        <w:spacing w:line="540" w:lineRule="exact"/>
        <w:rPr>
          <w:rFonts w:ascii="仿宋_GB2312" w:hAnsi="仿宋" w:eastAsia="仿宋_GB2312" w:cs="仿宋"/>
          <w:color w:val="000000"/>
          <w:kern w:val="2"/>
          <w:sz w:val="32"/>
          <w:szCs w:val="32"/>
        </w:rPr>
      </w:pPr>
      <w:r>
        <w:rPr>
          <w:rFonts w:ascii="仿宋_GB2312" w:hAnsi="仿宋" w:eastAsia="仿宋_GB2312" w:cs="仿宋"/>
          <w:b/>
          <w:color w:val="000000"/>
          <w:kern w:val="2"/>
          <w:sz w:val="32"/>
          <w:szCs w:val="32"/>
        </w:rPr>
        <w:t xml:space="preserve">    2.</w:t>
      </w:r>
      <w:r>
        <w:rPr>
          <w:rFonts w:hint="eastAsia" w:ascii="仿宋_GB2312" w:hAnsi="仿宋" w:eastAsia="仿宋_GB2312" w:cs="仿宋"/>
          <w:b/>
          <w:color w:val="000000"/>
          <w:kern w:val="2"/>
          <w:sz w:val="32"/>
          <w:szCs w:val="32"/>
        </w:rPr>
        <w:t>人口发展更加均衡。</w:t>
      </w:r>
      <w:r>
        <w:rPr>
          <w:rFonts w:hint="eastAsia" w:ascii="仿宋_GB2312" w:hAnsi="仿宋" w:eastAsia="仿宋_GB2312" w:cs="仿宋"/>
          <w:color w:val="000000"/>
          <w:kern w:val="2"/>
          <w:sz w:val="32"/>
          <w:szCs w:val="32"/>
        </w:rPr>
        <w:t>稳妥实施“全面两孩”政策，</w:t>
      </w:r>
      <w:r>
        <w:rPr>
          <w:rFonts w:hint="eastAsia" w:ascii="仿宋_GB2312" w:hAnsi="仿宋" w:eastAsia="仿宋_GB2312" w:cs="仿宋"/>
          <w:color w:val="000000"/>
          <w:kern w:val="2"/>
          <w:sz w:val="32"/>
          <w:szCs w:val="32"/>
          <w:lang w:val="zh-CN"/>
        </w:rPr>
        <w:t>适当提高生育水平</w:t>
      </w:r>
      <w:r>
        <w:rPr>
          <w:rFonts w:hint="eastAsia" w:ascii="仿宋_GB2312" w:hAnsi="仿宋" w:eastAsia="仿宋_GB2312" w:cs="仿宋"/>
          <w:color w:val="000000"/>
          <w:kern w:val="2"/>
          <w:sz w:val="32"/>
          <w:szCs w:val="32"/>
        </w:rPr>
        <w:t>。提倡优生优育，降低出生人口缺陷发生率。加强综合治理，确保人口性别比保持正常。</w:t>
      </w:r>
    </w:p>
    <w:p>
      <w:pPr>
        <w:widowControl/>
        <w:spacing w:line="540" w:lineRule="exact"/>
        <w:ind w:firstLine="642" w:firstLineChars="200"/>
        <w:textAlignment w:val="center"/>
        <w:rPr>
          <w:rFonts w:ascii="仿宋_GB2312" w:hAnsi="仿宋" w:eastAsia="仿宋_GB2312" w:cs="仿宋"/>
          <w:color w:val="000000"/>
          <w:sz w:val="32"/>
          <w:szCs w:val="32"/>
        </w:rPr>
      </w:pPr>
      <w:r>
        <w:rPr>
          <w:rFonts w:ascii="仿宋_GB2312" w:hAnsi="仿宋" w:eastAsia="仿宋_GB2312" w:cs="仿宋"/>
          <w:b/>
          <w:color w:val="000000"/>
          <w:sz w:val="32"/>
          <w:szCs w:val="32"/>
        </w:rPr>
        <w:t>3.</w:t>
      </w:r>
      <w:r>
        <w:rPr>
          <w:rFonts w:hint="eastAsia" w:ascii="仿宋_GB2312" w:hAnsi="仿宋" w:eastAsia="仿宋_GB2312" w:cs="仿宋"/>
          <w:b/>
          <w:color w:val="000000"/>
          <w:sz w:val="32"/>
          <w:szCs w:val="32"/>
        </w:rPr>
        <w:t>服务体系更加完善。</w:t>
      </w:r>
      <w:r>
        <w:rPr>
          <w:rFonts w:hint="eastAsia" w:ascii="仿宋_GB2312" w:hAnsi="仿宋" w:eastAsia="仿宋_GB2312" w:cs="仿宋"/>
          <w:color w:val="000000"/>
          <w:sz w:val="32"/>
          <w:szCs w:val="32"/>
        </w:rPr>
        <w:t>重点卫生资源指标达到或超过全省平均水平。城乡基本医疗和公共卫生资源总量不断增加，结构更加合理，布局更加优化，</w:t>
      </w:r>
      <w:r>
        <w:rPr>
          <w:rFonts w:hint="eastAsia" w:ascii="仿宋_GB2312" w:hAnsi="仿宋" w:eastAsia="仿宋_GB2312" w:cs="仿宋"/>
          <w:sz w:val="32"/>
          <w:szCs w:val="32"/>
        </w:rPr>
        <w:t>多层次医疗卫生服务体系更加完善。</w:t>
      </w:r>
    </w:p>
    <w:p>
      <w:pPr>
        <w:widowControl/>
        <w:spacing w:line="540" w:lineRule="exact"/>
        <w:ind w:firstLine="642" w:firstLineChars="200"/>
        <w:textAlignment w:val="center"/>
        <w:rPr>
          <w:rFonts w:ascii="仿宋_GB2312" w:hAnsi="仿宋" w:eastAsia="仿宋_GB2312" w:cs="仿宋"/>
          <w:sz w:val="32"/>
          <w:szCs w:val="32"/>
        </w:rPr>
      </w:pPr>
      <w:r>
        <w:rPr>
          <w:rFonts w:ascii="仿宋_GB2312" w:hAnsi="仿宋" w:eastAsia="仿宋_GB2312" w:cs="仿宋"/>
          <w:b/>
          <w:color w:val="000000"/>
          <w:sz w:val="32"/>
          <w:szCs w:val="32"/>
        </w:rPr>
        <w:t>4.</w:t>
      </w:r>
      <w:r>
        <w:rPr>
          <w:rFonts w:hint="eastAsia" w:ascii="仿宋_GB2312" w:hAnsi="仿宋" w:eastAsia="仿宋_GB2312" w:cs="仿宋"/>
          <w:b/>
          <w:color w:val="000000"/>
          <w:sz w:val="32"/>
          <w:szCs w:val="32"/>
        </w:rPr>
        <w:t>服务能力更加增强。</w:t>
      </w:r>
      <w:r>
        <w:rPr>
          <w:rFonts w:hint="eastAsia" w:ascii="仿宋_GB2312" w:hAnsi="仿宋" w:eastAsia="仿宋_GB2312" w:cs="仿宋"/>
          <w:sz w:val="32"/>
          <w:szCs w:val="32"/>
        </w:rPr>
        <w:t>提升医疗服务能级，扩大我市在长三角中部区域的医疗辐射力。健全基层医疗服务网络，提升基层卫生计生服务能力。完善卫生应急综合保障机制。</w:t>
      </w:r>
    </w:p>
    <w:p>
      <w:pPr>
        <w:widowControl/>
        <w:spacing w:line="540" w:lineRule="exact"/>
        <w:ind w:firstLine="642" w:firstLineChars="200"/>
        <w:textAlignment w:val="center"/>
        <w:rPr>
          <w:rFonts w:ascii="仿宋_GB2312" w:hAnsi="仿宋" w:eastAsia="仿宋_GB2312" w:cs="仿宋"/>
          <w:sz w:val="32"/>
          <w:szCs w:val="32"/>
        </w:rPr>
      </w:pPr>
      <w:r>
        <w:rPr>
          <w:rFonts w:ascii="仿宋_GB2312" w:hAnsi="仿宋" w:eastAsia="仿宋_GB2312" w:cs="仿宋"/>
          <w:b/>
          <w:color w:val="000000"/>
          <w:sz w:val="32"/>
          <w:szCs w:val="32"/>
        </w:rPr>
        <w:t>5.</w:t>
      </w:r>
      <w:r>
        <w:rPr>
          <w:rFonts w:hint="eastAsia" w:ascii="仿宋_GB2312" w:hAnsi="仿宋" w:eastAsia="仿宋_GB2312" w:cs="仿宋"/>
          <w:b/>
          <w:color w:val="000000"/>
          <w:sz w:val="32"/>
          <w:szCs w:val="32"/>
        </w:rPr>
        <w:t>公共服务更加均等。</w:t>
      </w:r>
      <w:r>
        <w:rPr>
          <w:rFonts w:hint="eastAsia" w:ascii="仿宋_GB2312" w:hAnsi="仿宋" w:eastAsia="仿宋_GB2312" w:cs="仿宋"/>
          <w:sz w:val="32"/>
          <w:szCs w:val="32"/>
        </w:rPr>
        <w:t>不断增加公共卫生服务经费投入，适当扩展基本公共卫生计生服务内容，提高公共卫生计生服务的公平性和可及性。</w:t>
      </w:r>
    </w:p>
    <w:p>
      <w:pPr>
        <w:spacing w:line="540" w:lineRule="exact"/>
        <w:ind w:firstLine="642" w:firstLineChars="200"/>
        <w:rPr>
          <w:rFonts w:ascii="仿宋_GB2312" w:hAnsi="仿宋" w:eastAsia="仿宋_GB2312" w:cs="仿宋"/>
          <w:kern w:val="2"/>
          <w:sz w:val="32"/>
          <w:szCs w:val="32"/>
        </w:rPr>
      </w:pPr>
      <w:r>
        <w:rPr>
          <w:rFonts w:ascii="仿宋_GB2312" w:hAnsi="仿宋" w:eastAsia="仿宋_GB2312" w:cs="仿宋"/>
          <w:b/>
          <w:color w:val="000000"/>
          <w:kern w:val="2"/>
          <w:sz w:val="32"/>
          <w:szCs w:val="32"/>
        </w:rPr>
        <w:t>6.</w:t>
      </w:r>
      <w:r>
        <w:rPr>
          <w:rFonts w:hint="eastAsia" w:ascii="仿宋_GB2312" w:hAnsi="仿宋" w:eastAsia="仿宋_GB2312" w:cs="仿宋"/>
          <w:b/>
          <w:color w:val="000000"/>
          <w:kern w:val="2"/>
          <w:sz w:val="32"/>
          <w:szCs w:val="32"/>
        </w:rPr>
        <w:t>社会群众更加满意。</w:t>
      </w:r>
      <w:r>
        <w:rPr>
          <w:rFonts w:hint="eastAsia" w:ascii="仿宋_GB2312" w:hAnsi="仿宋" w:eastAsia="仿宋_GB2312" w:cs="仿宋"/>
          <w:kern w:val="2"/>
          <w:sz w:val="32"/>
          <w:szCs w:val="32"/>
        </w:rPr>
        <w:t>加强党风廉政和医德医风建设，充分调动广大员工的积极性，构建和谐医患关系，提高社会满意度，展现卫生计生系统良好形象。</w:t>
      </w:r>
    </w:p>
    <w:p>
      <w:pPr>
        <w:widowControl/>
        <w:spacing w:line="540" w:lineRule="exact"/>
        <w:ind w:firstLine="640" w:firstLineChars="200"/>
        <w:textAlignment w:val="center"/>
        <w:rPr>
          <w:rFonts w:ascii="黑体" w:hAnsi="仿宋" w:eastAsia="黑体" w:cs="仿宋"/>
          <w:color w:val="000000"/>
          <w:sz w:val="32"/>
          <w:szCs w:val="32"/>
        </w:rPr>
      </w:pPr>
      <w:r>
        <w:rPr>
          <w:rFonts w:hint="eastAsia" w:ascii="黑体" w:hAnsi="仿宋" w:eastAsia="黑体" w:cs="仿宋"/>
          <w:sz w:val="32"/>
          <w:szCs w:val="32"/>
        </w:rPr>
        <w:t>三、</w:t>
      </w:r>
      <w:r>
        <w:rPr>
          <w:rFonts w:hint="eastAsia" w:ascii="黑体" w:hAnsi="仿宋" w:eastAsia="黑体" w:cs="仿宋"/>
          <w:color w:val="000000"/>
          <w:sz w:val="32"/>
          <w:szCs w:val="32"/>
        </w:rPr>
        <w:t>主要任务</w:t>
      </w:r>
    </w:p>
    <w:p>
      <w:pPr>
        <w:spacing w:line="540" w:lineRule="exact"/>
        <w:ind w:firstLine="481" w:firstLineChars="150"/>
        <w:rPr>
          <w:rFonts w:ascii="仿宋_GB2312" w:hAnsi="仿宋" w:eastAsia="仿宋_GB2312" w:cs="仿宋"/>
          <w:color w:val="000000"/>
          <w:kern w:val="2"/>
          <w:sz w:val="32"/>
          <w:szCs w:val="32"/>
        </w:rPr>
      </w:pPr>
      <w:r>
        <w:rPr>
          <w:rFonts w:hint="eastAsia" w:ascii="楷体_GB2312" w:hAnsi="仿宋" w:eastAsia="楷体_GB2312" w:cs="仿宋"/>
          <w:b/>
          <w:color w:val="000000"/>
          <w:kern w:val="2"/>
          <w:sz w:val="32"/>
          <w:szCs w:val="32"/>
        </w:rPr>
        <w:t>（一）深化医药卫生体制改革，实施医疗卫生体制机制创新工程。</w:t>
      </w:r>
      <w:r>
        <w:rPr>
          <w:rFonts w:hint="eastAsia" w:ascii="仿宋_GB2312" w:hAnsi="仿宋" w:eastAsia="仿宋_GB2312" w:cs="仿宋"/>
          <w:b/>
          <w:color w:val="000000"/>
          <w:kern w:val="2"/>
          <w:sz w:val="32"/>
          <w:szCs w:val="32"/>
        </w:rPr>
        <w:t>一是加快构建分级诊疗制度。</w:t>
      </w:r>
      <w:r>
        <w:rPr>
          <w:rFonts w:hint="eastAsia" w:ascii="仿宋_GB2312" w:eastAsia="仿宋_GB2312"/>
          <w:kern w:val="2"/>
          <w:sz w:val="32"/>
          <w:szCs w:val="32"/>
        </w:rPr>
        <w:t>完善分级诊疗服务体系，明确各级医疗机构的功能定位，</w:t>
      </w:r>
      <w:r>
        <w:rPr>
          <w:rFonts w:hint="eastAsia" w:ascii="仿宋_GB2312" w:hAnsi="仿宋" w:eastAsia="仿宋_GB2312" w:cs="仿宋"/>
          <w:color w:val="000000"/>
          <w:kern w:val="2"/>
          <w:sz w:val="32"/>
          <w:szCs w:val="32"/>
        </w:rPr>
        <w:t>健全医疗卫生机构分工协作机制，有序推进“基层首诊、双向转诊、急慢分治、上</w:t>
      </w:r>
      <w:r>
        <w:rPr>
          <w:rFonts w:hint="eastAsia" w:ascii="仿宋_GB2312" w:eastAsia="仿宋_GB2312"/>
          <w:kern w:val="2"/>
          <w:sz w:val="32"/>
          <w:szCs w:val="32"/>
        </w:rPr>
        <w:t>下联动”的分级诊疗制度建设。以常见病、多发病、慢性病分级诊疗为突破口，不断完善双向转诊工作机制。调整</w:t>
      </w:r>
      <w:r>
        <w:rPr>
          <w:rFonts w:hint="eastAsia" w:ascii="仿宋_GB2312" w:hAnsi="仿宋" w:eastAsia="仿宋_GB2312" w:cs="仿宋"/>
          <w:color w:val="000000"/>
          <w:kern w:val="2"/>
          <w:sz w:val="32"/>
          <w:szCs w:val="32"/>
        </w:rPr>
        <w:t>完善医保差别化支付</w:t>
      </w:r>
      <w:r>
        <w:rPr>
          <w:rFonts w:hint="eastAsia" w:ascii="仿宋_GB2312" w:eastAsia="仿宋_GB2312"/>
          <w:kern w:val="2"/>
          <w:sz w:val="32"/>
          <w:szCs w:val="32"/>
        </w:rPr>
        <w:t>政策，发挥医保对医疗服务供需双方的引导作用，采取多种形式，加大宣传力度，使群众自觉养成小病到基层首诊的习惯。到</w:t>
      </w:r>
      <w:r>
        <w:rPr>
          <w:rFonts w:ascii="仿宋_GB2312" w:eastAsia="仿宋_GB2312"/>
          <w:kern w:val="2"/>
          <w:sz w:val="32"/>
          <w:szCs w:val="32"/>
        </w:rPr>
        <w:t>2020</w:t>
      </w:r>
      <w:r>
        <w:rPr>
          <w:rFonts w:hint="eastAsia" w:ascii="仿宋_GB2312" w:eastAsia="仿宋_GB2312"/>
          <w:kern w:val="2"/>
          <w:sz w:val="32"/>
          <w:szCs w:val="32"/>
        </w:rPr>
        <w:t>年，基层医疗卫生机构诊疗量占县域内总诊疗量的比率达到</w:t>
      </w:r>
      <w:r>
        <w:rPr>
          <w:rFonts w:ascii="仿宋_GB2312" w:eastAsia="仿宋_GB2312"/>
          <w:kern w:val="2"/>
          <w:sz w:val="32"/>
          <w:szCs w:val="32"/>
        </w:rPr>
        <w:t>70%</w:t>
      </w:r>
      <w:r>
        <w:rPr>
          <w:rFonts w:hint="eastAsia" w:ascii="仿宋_GB2312" w:eastAsia="仿宋_GB2312"/>
          <w:kern w:val="2"/>
          <w:sz w:val="32"/>
          <w:szCs w:val="32"/>
        </w:rPr>
        <w:t>以上。</w:t>
      </w:r>
      <w:r>
        <w:rPr>
          <w:rFonts w:hint="eastAsia" w:ascii="仿宋_GB2312" w:hAnsi="仿宋" w:eastAsia="仿宋_GB2312" w:cs="仿宋"/>
          <w:b/>
          <w:color w:val="000000"/>
          <w:kern w:val="2"/>
          <w:sz w:val="32"/>
          <w:szCs w:val="32"/>
        </w:rPr>
        <w:t>二是深化公立医院改革。</w:t>
      </w:r>
      <w:r>
        <w:rPr>
          <w:rFonts w:hint="eastAsia" w:ascii="仿宋_GB2312" w:hAnsi="仿宋" w:eastAsia="仿宋_GB2312" w:cs="仿宋"/>
          <w:color w:val="000000"/>
          <w:kern w:val="2"/>
          <w:sz w:val="32"/>
          <w:szCs w:val="32"/>
        </w:rPr>
        <w:t>落实政府办医责任，实施“医疗、医保、医药”联动改革。积极探索公立医院管理体制改革，组建湖州市医院发展管理中心，统一履行公立医院举办者和出资人职责。加快推进医疗服务价格、人事薪酬、绩效目标考核、医保支付以及投融资等方面的改革。</w:t>
      </w:r>
      <w:r>
        <w:rPr>
          <w:rFonts w:hint="eastAsia" w:ascii="仿宋_GB2312" w:eastAsia="仿宋_GB2312"/>
          <w:kern w:val="2"/>
          <w:sz w:val="32"/>
          <w:szCs w:val="32"/>
        </w:rPr>
        <w:t>调</w:t>
      </w:r>
      <w:r>
        <w:rPr>
          <w:rFonts w:hint="eastAsia" w:ascii="仿宋_GB2312" w:hAnsi="仿宋" w:eastAsia="仿宋_GB2312" w:cs="仿宋"/>
          <w:color w:val="000000"/>
          <w:kern w:val="2"/>
          <w:sz w:val="32"/>
          <w:szCs w:val="32"/>
        </w:rPr>
        <w:t>整完善公立医院补偿机制，建立维护公益性、调动积极性、保障可持续的运行新机制。加快建立现代医院管理制度，完善法人治理结构，落实医院人事管理、绩效考核、内部分配等运营管理自主权，推进公立医院目标责任制、院长任期制和年薪制、总会计师委派制等改革试点。改革药械采购供应机制，探索实施药械供需主体竞价等多种交易方式和政府监管服务相结合的阳光采购新模式，进一步降低药械产品的采购价格。巩固和完善基本药物制度，</w:t>
      </w:r>
      <w:r>
        <w:rPr>
          <w:rFonts w:hint="eastAsia" w:ascii="仿宋_GB2312" w:eastAsia="仿宋_GB2312"/>
          <w:kern w:val="2"/>
          <w:sz w:val="32"/>
          <w:szCs w:val="32"/>
        </w:rPr>
        <w:t>规范基本药物临床应用</w:t>
      </w:r>
      <w:r>
        <w:rPr>
          <w:rFonts w:hint="eastAsia" w:ascii="仿宋_GB2312" w:hAnsi="仿宋" w:eastAsia="仿宋_GB2312" w:cs="仿宋"/>
          <w:color w:val="000000"/>
          <w:kern w:val="2"/>
          <w:sz w:val="32"/>
          <w:szCs w:val="32"/>
        </w:rPr>
        <w:t>，</w:t>
      </w:r>
      <w:r>
        <w:rPr>
          <w:rFonts w:hint="eastAsia" w:ascii="仿宋_GB2312" w:eastAsia="仿宋_GB2312"/>
          <w:kern w:val="2"/>
          <w:sz w:val="32"/>
          <w:szCs w:val="32"/>
        </w:rPr>
        <w:t>不断提高基本药物使用比例。</w:t>
      </w:r>
      <w:r>
        <w:rPr>
          <w:rFonts w:hint="eastAsia" w:ascii="仿宋_GB2312" w:eastAsia="仿宋_GB2312"/>
          <w:b/>
          <w:kern w:val="2"/>
          <w:sz w:val="32"/>
          <w:szCs w:val="32"/>
        </w:rPr>
        <w:t>三</w:t>
      </w:r>
      <w:r>
        <w:rPr>
          <w:rFonts w:hint="eastAsia" w:ascii="仿宋_GB2312" w:hAnsi="仿宋" w:eastAsia="仿宋_GB2312" w:cs="仿宋"/>
          <w:b/>
          <w:color w:val="000000"/>
          <w:kern w:val="2"/>
          <w:sz w:val="32"/>
          <w:szCs w:val="32"/>
        </w:rPr>
        <w:t>是大力发展健康服务业。</w:t>
      </w:r>
      <w:r>
        <w:rPr>
          <w:rFonts w:hint="eastAsia" w:ascii="仿宋_GB2312" w:hAnsi="仿宋" w:eastAsia="仿宋_GB2312" w:cs="仿宋"/>
          <w:color w:val="000000"/>
          <w:kern w:val="2"/>
          <w:sz w:val="32"/>
          <w:szCs w:val="32"/>
        </w:rPr>
        <w:t>严格控制公立医院规模和特需医疗服务比例，“十三五”期间政府不再举办新的综合性医院，规划期末民营医院床位数达到</w:t>
      </w:r>
      <w:r>
        <w:rPr>
          <w:rFonts w:ascii="仿宋_GB2312" w:hAnsi="仿宋" w:eastAsia="仿宋_GB2312" w:cs="仿宋"/>
          <w:color w:val="000000"/>
          <w:kern w:val="2"/>
          <w:sz w:val="32"/>
          <w:szCs w:val="32"/>
        </w:rPr>
        <w:t>4000</w:t>
      </w:r>
      <w:r>
        <w:rPr>
          <w:rFonts w:hint="eastAsia" w:ascii="仿宋_GB2312" w:hAnsi="仿宋" w:eastAsia="仿宋_GB2312" w:cs="仿宋"/>
          <w:color w:val="000000"/>
          <w:kern w:val="2"/>
          <w:sz w:val="32"/>
          <w:szCs w:val="32"/>
        </w:rPr>
        <w:t>张以上。落实社会办医扶持政策，支持社会资本举办医疗机构和第三方诊疗机构，鼓励社会力量以多种形式参与公立医院改革，引导民营医疗机构向特色化、规模化和优质化发展，推进医养、医健、医体等健康服务新业态的融合发展，加快促进形成多元办医格局。完善医师多点执业政策，促进医务人员尤其是高端人才在不同所有制医疗机构之间的双向有序流动。</w:t>
      </w:r>
    </w:p>
    <w:p>
      <w:pPr>
        <w:spacing w:line="540" w:lineRule="exact"/>
        <w:ind w:firstLine="642" w:firstLineChars="200"/>
        <w:rPr>
          <w:rFonts w:ascii="仿宋_GB2312" w:hAnsi="仿宋" w:eastAsia="仿宋_GB2312" w:cs="仿宋"/>
          <w:color w:val="000000"/>
          <w:kern w:val="2"/>
          <w:sz w:val="32"/>
          <w:szCs w:val="32"/>
        </w:rPr>
      </w:pPr>
      <w:r>
        <w:rPr>
          <w:rFonts w:hint="eastAsia" w:ascii="楷体_GB2312" w:hAnsi="仿宋" w:eastAsia="楷体_GB2312" w:cs="仿宋"/>
          <w:b/>
          <w:color w:val="000000"/>
          <w:kern w:val="2"/>
          <w:sz w:val="32"/>
          <w:szCs w:val="32"/>
        </w:rPr>
        <w:t>（二）贯彻落实“全面两孩”政策，实施计划生育服务管理提升工程。</w:t>
      </w:r>
      <w:r>
        <w:rPr>
          <w:rFonts w:hint="eastAsia" w:ascii="仿宋_GB2312" w:hAnsi="仿宋" w:eastAsia="仿宋_GB2312" w:cs="仿宋"/>
          <w:b/>
          <w:kern w:val="2"/>
          <w:sz w:val="32"/>
          <w:szCs w:val="32"/>
        </w:rPr>
        <w:t>一是改革完善计划生育管理</w:t>
      </w:r>
      <w:r>
        <w:rPr>
          <w:rFonts w:hint="eastAsia" w:ascii="仿宋_GB2312" w:hAnsi="仿宋" w:eastAsia="仿宋_GB2312" w:cs="仿宋"/>
          <w:b/>
          <w:color w:val="000000"/>
          <w:kern w:val="2"/>
          <w:sz w:val="32"/>
          <w:szCs w:val="32"/>
        </w:rPr>
        <w:t>。</w:t>
      </w:r>
      <w:r>
        <w:rPr>
          <w:rFonts w:hint="eastAsia" w:ascii="仿宋_GB2312" w:hAnsi="仿宋" w:eastAsia="仿宋_GB2312"/>
          <w:kern w:val="2"/>
          <w:sz w:val="32"/>
          <w:szCs w:val="32"/>
        </w:rPr>
        <w:t>坚持计划生育基本国策，稳妥实施“全面两孩”政策，适当提高生育水平，促进全市人口均衡发展。</w:t>
      </w:r>
      <w:r>
        <w:rPr>
          <w:rFonts w:hint="eastAsia" w:ascii="仿宋_GB2312" w:hAnsi="仿宋" w:eastAsia="仿宋_GB2312" w:cs="仿宋"/>
          <w:color w:val="000000"/>
          <w:kern w:val="2"/>
          <w:sz w:val="32"/>
          <w:szCs w:val="32"/>
        </w:rPr>
        <w:t>坚持和完善计划生育目标管理责任制和“一票否决”制，</w:t>
      </w:r>
      <w:r>
        <w:rPr>
          <w:rFonts w:hint="eastAsia" w:ascii="仿宋_GB2312" w:hAnsi="仿宋" w:eastAsia="仿宋_GB2312"/>
          <w:kern w:val="2"/>
          <w:sz w:val="32"/>
          <w:szCs w:val="32"/>
        </w:rPr>
        <w:t>统筹推进计划生育工作支持体系和治理机制的综合改革</w:t>
      </w:r>
      <w:r>
        <w:rPr>
          <w:rFonts w:hint="eastAsia" w:ascii="仿宋_GB2312" w:hAnsi="仿宋" w:eastAsia="仿宋_GB2312" w:cs="仿宋"/>
          <w:color w:val="000000"/>
          <w:kern w:val="2"/>
          <w:sz w:val="32"/>
          <w:szCs w:val="32"/>
        </w:rPr>
        <w:t>，落实乡镇卫生计生工作机构，合理配备工作人员。全面实行计划生育登记服务制度，建立集生育登记、技术服务、人口基础信息采集、妇幼保健、宣教咨询等职能于一体的综合服务管理平台，强化出生人口监测、预警和信息共享。加强综合治理，规范社会抚养费征收管理。</w:t>
      </w:r>
      <w:r>
        <w:rPr>
          <w:rFonts w:hint="eastAsia" w:ascii="仿宋_GB2312" w:hAnsi="仿宋" w:eastAsia="仿宋_GB2312" w:cs="仿宋"/>
          <w:b/>
          <w:color w:val="000000"/>
          <w:kern w:val="2"/>
          <w:sz w:val="32"/>
          <w:szCs w:val="32"/>
        </w:rPr>
        <w:t>二是加强妇幼健康体系建设。</w:t>
      </w:r>
      <w:r>
        <w:rPr>
          <w:rFonts w:hint="eastAsia" w:ascii="仿宋_GB2312" w:hAnsi="仿宋" w:eastAsia="仿宋_GB2312" w:cs="仿宋"/>
          <w:color w:val="000000"/>
          <w:kern w:val="2"/>
          <w:sz w:val="32"/>
          <w:szCs w:val="32"/>
        </w:rPr>
        <w:t>完善妇幼健康四级服务网络，加强县区妇幼保健机构建设，加快推进县区、乡镇卫生计生服务资源整合，着力增强基层妇幼保健与计划生育技术服务能力。加强孕产妇与新生儿危急重症救治能力建设，完善转诊网络，降低孕产妇和新生儿死亡率。实施生殖健康促进项目，落实孕前优生健康检查，加强孕产期保健服务，强化出生缺陷干预，提高出生人口素质。注重</w:t>
      </w:r>
      <w:r>
        <w:rPr>
          <w:rFonts w:hint="eastAsia" w:ascii="仿宋_GB2312" w:hAnsi="仿宋" w:eastAsia="仿宋_GB2312" w:cs="仿宋"/>
          <w:kern w:val="2"/>
          <w:sz w:val="32"/>
          <w:szCs w:val="32"/>
        </w:rPr>
        <w:t>“优生优育优教”</w:t>
      </w:r>
      <w:r>
        <w:rPr>
          <w:rFonts w:hint="eastAsia" w:ascii="仿宋_GB2312" w:hAnsi="仿宋" w:eastAsia="仿宋_GB2312" w:cs="仿宋"/>
          <w:color w:val="000000"/>
          <w:kern w:val="2"/>
          <w:sz w:val="32"/>
          <w:szCs w:val="32"/>
        </w:rPr>
        <w:t>知识宣传教育，目标人群“优生优育优教”知识普及率达到</w:t>
      </w:r>
      <w:r>
        <w:rPr>
          <w:rFonts w:ascii="仿宋_GB2312" w:hAnsi="仿宋" w:eastAsia="仿宋_GB2312" w:cs="仿宋"/>
          <w:color w:val="000000"/>
          <w:kern w:val="2"/>
          <w:sz w:val="32"/>
          <w:szCs w:val="32"/>
        </w:rPr>
        <w:t>80%</w:t>
      </w:r>
      <w:r>
        <w:rPr>
          <w:rFonts w:hint="eastAsia" w:ascii="仿宋_GB2312" w:hAnsi="仿宋" w:eastAsia="仿宋_GB2312" w:cs="仿宋"/>
          <w:color w:val="000000"/>
          <w:kern w:val="2"/>
          <w:sz w:val="32"/>
          <w:szCs w:val="32"/>
        </w:rPr>
        <w:t>以上。</w:t>
      </w:r>
      <w:r>
        <w:rPr>
          <w:rFonts w:hint="eastAsia" w:ascii="仿宋_GB2312" w:hAnsi="仿宋" w:eastAsia="仿宋_GB2312" w:cs="仿宋"/>
          <w:b/>
          <w:color w:val="000000"/>
          <w:kern w:val="2"/>
          <w:sz w:val="32"/>
          <w:szCs w:val="32"/>
        </w:rPr>
        <w:t>三是提升计划生育家庭发展能力。</w:t>
      </w:r>
      <w:r>
        <w:rPr>
          <w:rFonts w:hint="eastAsia" w:ascii="仿宋_GB2312" w:hAnsi="仿宋" w:eastAsia="仿宋_GB2312" w:cs="仿宋"/>
          <w:color w:val="000000"/>
          <w:kern w:val="2"/>
          <w:sz w:val="32"/>
          <w:szCs w:val="32"/>
        </w:rPr>
        <w:t>落实计划生育帮扶政策，建立长效帮扶机制，深入推进“幸福家庭”创建活动，全面落实计生家庭奖励扶助、特别扶助等惠民政策。加大计生特殊家庭经济扶助力度，建立动态增长和多方筹措机制，优先解决计生家庭在生活照料、养老保障、大病医疗、精神慰藉等实际困难。充分发挥计划生育协会的生力军作用，加强各级计划生育协会组织和能力建设，探索以项目运作、购买服务等方式鼓励支持各级计生协会做强宣传服务、生育关怀、青春健康促进、帮扶维权等公益品牌。</w:t>
      </w:r>
    </w:p>
    <w:p>
      <w:pPr>
        <w:spacing w:line="540" w:lineRule="exact"/>
        <w:ind w:firstLine="642" w:firstLineChars="200"/>
        <w:rPr>
          <w:rFonts w:ascii="仿宋_GB2312" w:hAnsi="仿宋" w:eastAsia="仿宋_GB2312" w:cs="仿宋"/>
          <w:color w:val="000000"/>
          <w:kern w:val="2"/>
          <w:sz w:val="32"/>
          <w:szCs w:val="32"/>
        </w:rPr>
      </w:pPr>
      <w:r>
        <w:rPr>
          <w:rFonts w:hint="eastAsia" w:ascii="楷体_GB2312" w:hAnsi="仿宋" w:eastAsia="楷体_GB2312" w:cs="仿宋"/>
          <w:b/>
          <w:color w:val="000000"/>
          <w:kern w:val="2"/>
          <w:sz w:val="32"/>
          <w:szCs w:val="32"/>
        </w:rPr>
        <w:t>（三）坚持预防为主，实施公共卫生安全保障工程。</w:t>
      </w:r>
      <w:r>
        <w:rPr>
          <w:rFonts w:hint="eastAsia" w:ascii="仿宋_GB2312" w:hAnsi="仿宋" w:eastAsia="仿宋_GB2312" w:cs="仿宋"/>
          <w:b/>
          <w:color w:val="000000"/>
          <w:kern w:val="2"/>
          <w:sz w:val="32"/>
          <w:szCs w:val="32"/>
        </w:rPr>
        <w:t>一是提高基本公共卫生计生服务均等化水平。</w:t>
      </w:r>
      <w:r>
        <w:rPr>
          <w:rFonts w:hint="eastAsia" w:ascii="仿宋_GB2312" w:hAnsi="仿宋" w:eastAsia="仿宋_GB2312" w:cs="仿宋"/>
          <w:kern w:val="2"/>
          <w:sz w:val="32"/>
          <w:szCs w:val="32"/>
        </w:rPr>
        <w:t>政府足额保障公共卫生机构运行经费</w:t>
      </w:r>
      <w:r>
        <w:rPr>
          <w:rFonts w:hint="eastAsia" w:ascii="仿宋_GB2312" w:hAnsi="仿宋" w:eastAsia="仿宋_GB2312" w:cs="仿宋"/>
          <w:b/>
          <w:color w:val="000000"/>
          <w:kern w:val="2"/>
          <w:sz w:val="32"/>
          <w:szCs w:val="32"/>
        </w:rPr>
        <w:t>，</w:t>
      </w:r>
      <w:r>
        <w:rPr>
          <w:rFonts w:hint="eastAsia" w:ascii="仿宋_GB2312" w:hAnsi="仿宋" w:eastAsia="仿宋_GB2312" w:cs="仿宋"/>
          <w:color w:val="000000"/>
          <w:kern w:val="2"/>
          <w:sz w:val="32"/>
          <w:szCs w:val="32"/>
        </w:rPr>
        <w:t>逐步提高人均基本公共卫生服务经费政府补助标准。调整完善基本公共卫生和重大公共卫生服务项目，鼓励有条件的县区根据本区域疾病谱变化和干预效果等因素，在国家和省确定的公共卫生服务项目基础上增加“</w:t>
      </w:r>
      <w:r>
        <w:rPr>
          <w:rFonts w:ascii="仿宋_GB2312" w:hAnsi="仿宋" w:eastAsia="仿宋_GB2312" w:cs="仿宋"/>
          <w:color w:val="000000"/>
          <w:kern w:val="2"/>
          <w:sz w:val="32"/>
          <w:szCs w:val="32"/>
        </w:rPr>
        <w:t>X</w:t>
      </w:r>
      <w:r>
        <w:rPr>
          <w:rFonts w:hint="eastAsia" w:ascii="仿宋_GB2312" w:hAnsi="仿宋" w:eastAsia="仿宋_GB2312" w:cs="仿宋"/>
          <w:color w:val="000000"/>
          <w:kern w:val="2"/>
          <w:sz w:val="32"/>
          <w:szCs w:val="32"/>
        </w:rPr>
        <w:t>”公共卫生服务项目。逐步剥离公共卫生机构的临床业务。继续实施扩大国家免疫规划。</w:t>
      </w:r>
      <w:r>
        <w:rPr>
          <w:rFonts w:hint="eastAsia" w:ascii="仿宋_GB2312" w:hAnsi="仿宋" w:eastAsia="仿宋_GB2312" w:cs="仿宋"/>
          <w:kern w:val="2"/>
          <w:sz w:val="32"/>
          <w:szCs w:val="32"/>
        </w:rPr>
        <w:t>“十三五”期末</w:t>
      </w:r>
      <w:r>
        <w:rPr>
          <w:rFonts w:hint="eastAsia" w:ascii="仿宋_GB2312" w:hAnsi="仿宋" w:eastAsia="仿宋_GB2312" w:cs="仿宋"/>
          <w:color w:val="000000"/>
          <w:kern w:val="2"/>
          <w:sz w:val="32"/>
          <w:szCs w:val="32"/>
        </w:rPr>
        <w:t>，流动人口目标人群基本公共卫生计生服务覆盖率达到</w:t>
      </w:r>
      <w:r>
        <w:rPr>
          <w:rFonts w:ascii="仿宋_GB2312" w:hAnsi="仿宋" w:eastAsia="仿宋_GB2312" w:cs="仿宋"/>
          <w:color w:val="000000"/>
          <w:kern w:val="2"/>
          <w:sz w:val="32"/>
          <w:szCs w:val="32"/>
        </w:rPr>
        <w:t>90%,</w:t>
      </w:r>
      <w:r>
        <w:rPr>
          <w:rFonts w:hint="eastAsia" w:ascii="仿宋_GB2312" w:hAnsi="仿宋" w:eastAsia="仿宋_GB2312" w:cs="仿宋"/>
          <w:color w:val="000000"/>
          <w:kern w:val="2"/>
          <w:sz w:val="32"/>
          <w:szCs w:val="32"/>
        </w:rPr>
        <w:t>流动儿童预防接种率达到</w:t>
      </w:r>
      <w:r>
        <w:rPr>
          <w:rFonts w:ascii="仿宋_GB2312" w:hAnsi="仿宋" w:eastAsia="仿宋_GB2312" w:cs="仿宋"/>
          <w:color w:val="000000"/>
          <w:kern w:val="2"/>
          <w:sz w:val="32"/>
          <w:szCs w:val="32"/>
        </w:rPr>
        <w:t>95%</w:t>
      </w:r>
      <w:r>
        <w:rPr>
          <w:rFonts w:hint="eastAsia" w:ascii="仿宋_GB2312" w:hAnsi="仿宋" w:eastAsia="仿宋_GB2312" w:cs="仿宋"/>
          <w:color w:val="000000"/>
          <w:kern w:val="2"/>
          <w:sz w:val="32"/>
          <w:szCs w:val="32"/>
        </w:rPr>
        <w:t>，全员流动人口信息入库率达到</w:t>
      </w:r>
      <w:r>
        <w:rPr>
          <w:rFonts w:ascii="仿宋_GB2312" w:hAnsi="仿宋" w:eastAsia="仿宋_GB2312" w:cs="仿宋"/>
          <w:color w:val="000000"/>
          <w:kern w:val="2"/>
          <w:sz w:val="32"/>
          <w:szCs w:val="32"/>
        </w:rPr>
        <w:t>90%</w:t>
      </w:r>
      <w:r>
        <w:rPr>
          <w:rFonts w:hint="eastAsia" w:ascii="仿宋_GB2312" w:hAnsi="仿宋" w:eastAsia="仿宋_GB2312" w:cs="仿宋"/>
          <w:color w:val="000000"/>
          <w:kern w:val="2"/>
          <w:sz w:val="32"/>
          <w:szCs w:val="32"/>
        </w:rPr>
        <w:t>。</w:t>
      </w:r>
      <w:r>
        <w:rPr>
          <w:rFonts w:hint="eastAsia" w:ascii="仿宋_GB2312" w:hAnsi="仿宋" w:eastAsia="仿宋_GB2312" w:cs="仿宋"/>
          <w:b/>
          <w:color w:val="000000"/>
          <w:kern w:val="2"/>
          <w:sz w:val="32"/>
          <w:szCs w:val="32"/>
        </w:rPr>
        <w:t>二是增强重点疾病预防控制和食品安全风险检测能力。</w:t>
      </w:r>
      <w:r>
        <w:rPr>
          <w:rFonts w:hint="eastAsia" w:ascii="仿宋_GB2312" w:hAnsi="仿宋" w:eastAsia="仿宋_GB2312" w:cs="仿宋"/>
          <w:color w:val="000000"/>
          <w:kern w:val="2"/>
          <w:sz w:val="32"/>
          <w:szCs w:val="32"/>
        </w:rPr>
        <w:t>加强各级疾控中心基础设施和实验室检测能力建设，健全实验室监测网络，市区两级疾控中心实验室资源实行共享，市疾控中心具备全标准的水质检测能力。构建心脑血管、糖尿病、肿瘤等主要慢性病防治网络，主动干预并有效遏制慢性非传染性疾病的上升势头。设立湖州市精神卫生中心，加快形成市精神卫生中心</w:t>
      </w:r>
      <w:r>
        <w:rPr>
          <w:rFonts w:ascii="仿宋_GB2312" w:hAnsi="仿宋" w:eastAsia="仿宋_GB2312" w:cs="仿宋"/>
          <w:color w:val="000000"/>
          <w:kern w:val="2"/>
          <w:sz w:val="32"/>
          <w:szCs w:val="32"/>
        </w:rPr>
        <w:t>—</w:t>
      </w:r>
      <w:r>
        <w:rPr>
          <w:rFonts w:hint="eastAsia" w:ascii="仿宋_GB2312" w:hAnsi="仿宋" w:eastAsia="仿宋_GB2312" w:cs="仿宋"/>
          <w:color w:val="000000"/>
          <w:kern w:val="2"/>
          <w:sz w:val="32"/>
          <w:szCs w:val="32"/>
        </w:rPr>
        <w:t>县区精防机构</w:t>
      </w:r>
      <w:r>
        <w:rPr>
          <w:rFonts w:ascii="仿宋_GB2312" w:hAnsi="仿宋" w:eastAsia="仿宋_GB2312" w:cs="仿宋"/>
          <w:color w:val="000000"/>
          <w:kern w:val="2"/>
          <w:sz w:val="32"/>
          <w:szCs w:val="32"/>
        </w:rPr>
        <w:t>—</w:t>
      </w:r>
      <w:r>
        <w:rPr>
          <w:rFonts w:hint="eastAsia" w:ascii="仿宋_GB2312" w:hAnsi="仿宋" w:eastAsia="仿宋_GB2312" w:cs="仿宋"/>
          <w:color w:val="000000"/>
          <w:kern w:val="2"/>
          <w:sz w:val="32"/>
          <w:szCs w:val="32"/>
        </w:rPr>
        <w:t>社区卫生服务中心三级精神卫生技术服务网络。完善食品安全风险监测评估制度，提高市县两级食品安全风险检测机构检测能力，“十三五”期末，辖区内每千人口年食品安全风险监测样品数不低于</w:t>
      </w:r>
      <w:r>
        <w:rPr>
          <w:rFonts w:ascii="仿宋_GB2312" w:hAnsi="仿宋" w:eastAsia="仿宋_GB2312" w:cs="仿宋"/>
          <w:color w:val="000000"/>
          <w:kern w:val="2"/>
          <w:sz w:val="32"/>
          <w:szCs w:val="32"/>
        </w:rPr>
        <w:t>1</w:t>
      </w:r>
      <w:r>
        <w:rPr>
          <w:rFonts w:hint="eastAsia" w:ascii="仿宋_GB2312" w:hAnsi="仿宋" w:eastAsia="仿宋_GB2312" w:cs="仿宋"/>
          <w:color w:val="000000"/>
          <w:kern w:val="2"/>
          <w:sz w:val="32"/>
          <w:szCs w:val="32"/>
        </w:rPr>
        <w:t>件。</w:t>
      </w:r>
      <w:r>
        <w:rPr>
          <w:rFonts w:hint="eastAsia" w:ascii="仿宋_GB2312" w:hAnsi="仿宋" w:eastAsia="仿宋_GB2312" w:cs="仿宋"/>
          <w:b/>
          <w:color w:val="000000"/>
          <w:kern w:val="2"/>
          <w:sz w:val="32"/>
          <w:szCs w:val="32"/>
        </w:rPr>
        <w:t>三是完善</w:t>
      </w:r>
      <w:r>
        <w:rPr>
          <w:rFonts w:hint="eastAsia" w:ascii="仿宋_GB2312" w:eastAsia="仿宋_GB2312"/>
          <w:b/>
          <w:kern w:val="2"/>
          <w:sz w:val="32"/>
          <w:szCs w:val="32"/>
          <w:shd w:val="clear" w:color="auto" w:fill="FFFFFF"/>
        </w:rPr>
        <w:t>卫生应急和血液安全保障体系。</w:t>
      </w:r>
      <w:r>
        <w:rPr>
          <w:rFonts w:hint="eastAsia" w:ascii="仿宋_GB2312" w:eastAsia="仿宋_GB2312"/>
          <w:kern w:val="2"/>
          <w:sz w:val="32"/>
          <w:szCs w:val="32"/>
          <w:shd w:val="clear" w:color="auto" w:fill="FFFFFF"/>
        </w:rPr>
        <w:t>建设</w:t>
      </w:r>
      <w:r>
        <w:rPr>
          <w:rFonts w:hint="eastAsia" w:ascii="仿宋_GB2312" w:hAnsi="仿宋" w:eastAsia="仿宋_GB2312" w:cs="仿宋"/>
          <w:color w:val="000000"/>
          <w:kern w:val="2"/>
          <w:sz w:val="32"/>
          <w:szCs w:val="32"/>
        </w:rPr>
        <w:t>突发事件紧急医学救援、突发急性传染病防控和重大活动医疗卫生安全保障三位一体的卫生应急救援体系，完善卫生应急管理网络，成立市级卫生应急救援队，加快卫生应急救援中心（应急基地）建设。建立卫生计生、公安、消防、农林、市场监管等部门协作的综合应对机制，提升重大传染病、突发公共卫生事件和自然灾害等公共事故灾害的应急处理能力。完善无偿献血宣传招募长效机制，强化血液质量和安全管理，促进临床科学合理用血，各县根据实际需要设置独立建制的中心血库，各区设置献血服务站。</w:t>
      </w:r>
      <w:r>
        <w:rPr>
          <w:rFonts w:hint="eastAsia" w:ascii="仿宋_GB2312" w:hAnsi="仿宋" w:eastAsia="仿宋_GB2312" w:cs="仿宋"/>
          <w:b/>
          <w:color w:val="000000"/>
          <w:kern w:val="2"/>
          <w:sz w:val="32"/>
          <w:szCs w:val="32"/>
        </w:rPr>
        <w:t>四是深入开展爱国卫生运动。</w:t>
      </w:r>
      <w:r>
        <w:rPr>
          <w:rFonts w:hint="eastAsia" w:ascii="仿宋_GB2312" w:hAnsi="仿宋" w:eastAsia="仿宋_GB2312" w:cs="仿宋"/>
          <w:color w:val="000000"/>
          <w:kern w:val="2"/>
          <w:sz w:val="32"/>
          <w:szCs w:val="32"/>
        </w:rPr>
        <w:t>实施“健康城市”行动计划，加强健康教育与促进体系建设</w:t>
      </w:r>
      <w:r>
        <w:rPr>
          <w:rFonts w:hint="eastAsia" w:ascii="仿宋_GB2312" w:eastAsia="仿宋_GB2312"/>
          <w:kern w:val="2"/>
          <w:sz w:val="32"/>
          <w:szCs w:val="32"/>
        </w:rPr>
        <w:t>，</w:t>
      </w:r>
      <w:r>
        <w:rPr>
          <w:rFonts w:hint="eastAsia" w:ascii="仿宋_GB2312" w:hAnsi="仿宋" w:eastAsia="仿宋_GB2312" w:cs="仿宋"/>
          <w:color w:val="000000"/>
          <w:kern w:val="2"/>
          <w:sz w:val="32"/>
          <w:szCs w:val="32"/>
        </w:rPr>
        <w:t>完善“健康湖州”</w:t>
      </w:r>
      <w:r>
        <w:rPr>
          <w:rFonts w:hint="eastAsia" w:ascii="仿宋_GB2312" w:eastAsia="仿宋_GB2312"/>
          <w:kern w:val="2"/>
          <w:sz w:val="32"/>
          <w:szCs w:val="32"/>
        </w:rPr>
        <w:t>传播平台，</w:t>
      </w:r>
      <w:r>
        <w:rPr>
          <w:rFonts w:hint="eastAsia" w:ascii="仿宋_GB2312" w:hAnsi="仿宋" w:eastAsia="仿宋_GB2312" w:cs="仿宋"/>
          <w:color w:val="000000"/>
          <w:kern w:val="2"/>
          <w:sz w:val="32"/>
          <w:szCs w:val="32"/>
        </w:rPr>
        <w:t>倡导健康生活新方式，提高全民健康素养。全面推进城乡环境卫生整洁行动，完善国家卫生城市长效管理机制，提高城市社区和农村爱国卫生创建水平。“十三五”期末，全市国家卫生乡镇比例达到</w:t>
      </w:r>
      <w:r>
        <w:rPr>
          <w:rFonts w:ascii="仿宋_GB2312" w:hAnsi="仿宋" w:eastAsia="仿宋_GB2312" w:cs="仿宋"/>
          <w:color w:val="000000"/>
          <w:kern w:val="2"/>
          <w:sz w:val="32"/>
          <w:szCs w:val="32"/>
        </w:rPr>
        <w:t>25%</w:t>
      </w:r>
      <w:r>
        <w:rPr>
          <w:rFonts w:hint="eastAsia" w:ascii="仿宋_GB2312" w:hAnsi="仿宋" w:eastAsia="仿宋_GB2312" w:cs="仿宋"/>
          <w:color w:val="000000"/>
          <w:kern w:val="2"/>
          <w:sz w:val="32"/>
          <w:szCs w:val="32"/>
        </w:rPr>
        <w:t>以上，省级卫生乡镇比例达到</w:t>
      </w:r>
      <w:r>
        <w:rPr>
          <w:rFonts w:ascii="仿宋_GB2312" w:hAnsi="仿宋" w:eastAsia="仿宋_GB2312" w:cs="仿宋"/>
          <w:color w:val="000000"/>
          <w:kern w:val="2"/>
          <w:sz w:val="32"/>
          <w:szCs w:val="32"/>
        </w:rPr>
        <w:t>85%</w:t>
      </w:r>
      <w:r>
        <w:rPr>
          <w:rFonts w:hint="eastAsia" w:ascii="仿宋_GB2312" w:hAnsi="仿宋" w:eastAsia="仿宋_GB2312" w:cs="仿宋"/>
          <w:color w:val="000000"/>
          <w:kern w:val="2"/>
          <w:sz w:val="32"/>
          <w:szCs w:val="32"/>
        </w:rPr>
        <w:t>以上。</w:t>
      </w:r>
    </w:p>
    <w:p>
      <w:pPr>
        <w:spacing w:line="540" w:lineRule="exact"/>
        <w:ind w:firstLine="642" w:firstLineChars="200"/>
        <w:rPr>
          <w:rFonts w:ascii="仿宋_GB2312" w:hAnsi="仿宋" w:eastAsia="仿宋_GB2312" w:cs="仿宋"/>
          <w:color w:val="000000"/>
          <w:kern w:val="2"/>
          <w:sz w:val="32"/>
          <w:szCs w:val="32"/>
        </w:rPr>
      </w:pPr>
      <w:r>
        <w:rPr>
          <w:rFonts w:hint="eastAsia" w:ascii="楷体_GB2312" w:hAnsi="仿宋" w:eastAsia="楷体_GB2312" w:cs="仿宋"/>
          <w:b/>
          <w:color w:val="000000"/>
          <w:kern w:val="2"/>
          <w:sz w:val="32"/>
          <w:szCs w:val="32"/>
        </w:rPr>
        <w:t>（四）加强基层卫生综合改革，实施基层卫生服务创优工程。</w:t>
      </w:r>
      <w:r>
        <w:rPr>
          <w:rFonts w:hint="eastAsia" w:ascii="仿宋_GB2312" w:hAnsi="仿宋" w:eastAsia="仿宋_GB2312" w:cs="仿宋"/>
          <w:b/>
          <w:color w:val="000000"/>
          <w:kern w:val="2"/>
          <w:sz w:val="32"/>
          <w:szCs w:val="32"/>
        </w:rPr>
        <w:t>一是转变基层卫生服务模式。</w:t>
      </w:r>
      <w:r>
        <w:rPr>
          <w:rFonts w:hint="eastAsia" w:ascii="仿宋_GB2312" w:hAnsi="仿宋" w:eastAsia="仿宋_GB2312" w:cs="仿宋"/>
          <w:color w:val="000000"/>
          <w:kern w:val="2"/>
          <w:sz w:val="32"/>
          <w:szCs w:val="32"/>
        </w:rPr>
        <w:t>从以公共卫生和疾病管理为主转向综合健康管理服务模式，探索建立覆盖居民全生命周期的健康管理服务体系，打造</w:t>
      </w:r>
      <w:r>
        <w:rPr>
          <w:rFonts w:ascii="仿宋_GB2312" w:hAnsi="仿宋" w:eastAsia="仿宋_GB2312" w:cs="仿宋"/>
          <w:color w:val="000000"/>
          <w:kern w:val="2"/>
          <w:sz w:val="32"/>
          <w:szCs w:val="32"/>
        </w:rPr>
        <w:t xml:space="preserve"> </w:t>
      </w:r>
      <w:r>
        <w:rPr>
          <w:rFonts w:hint="eastAsia" w:ascii="仿宋_GB2312" w:hAnsi="仿宋" w:eastAsia="仿宋_GB2312" w:cs="仿宋"/>
          <w:color w:val="000000"/>
          <w:kern w:val="2"/>
          <w:sz w:val="32"/>
          <w:szCs w:val="32"/>
        </w:rPr>
        <w:t>“</w:t>
      </w:r>
      <w:r>
        <w:rPr>
          <w:rFonts w:ascii="仿宋_GB2312" w:hAnsi="仿宋" w:eastAsia="仿宋_GB2312" w:cs="仿宋"/>
          <w:color w:val="000000"/>
          <w:kern w:val="2"/>
          <w:sz w:val="32"/>
          <w:szCs w:val="32"/>
        </w:rPr>
        <w:t>20</w:t>
      </w:r>
      <w:r>
        <w:rPr>
          <w:rFonts w:hint="eastAsia" w:ascii="仿宋_GB2312" w:hAnsi="仿宋" w:eastAsia="仿宋_GB2312" w:cs="仿宋"/>
          <w:color w:val="000000"/>
          <w:kern w:val="2"/>
          <w:sz w:val="32"/>
          <w:szCs w:val="32"/>
        </w:rPr>
        <w:t>分钟健康管理服务圈”，加快建立健康守门人制度。鼓励在社区和企事业单位内布点“健康小屋”。全面推行责任医师签约服务，制定全科医师团队签约服务“政策包”，明确服务内容和服务标准，完善签约服务筹资机制，动态调整服务项目价格收费。发挥医保政策对责任医生的激励约束作用，让责任医生成为群众的“健康守门人”。“十三五”期末，全市目标人群规范签约服务覆盖率达到</w:t>
      </w:r>
      <w:r>
        <w:rPr>
          <w:rFonts w:ascii="仿宋_GB2312" w:hAnsi="仿宋" w:eastAsia="仿宋_GB2312" w:cs="仿宋"/>
          <w:color w:val="000000"/>
          <w:kern w:val="2"/>
          <w:sz w:val="32"/>
          <w:szCs w:val="32"/>
        </w:rPr>
        <w:t>50%</w:t>
      </w:r>
      <w:r>
        <w:rPr>
          <w:rFonts w:hint="eastAsia" w:ascii="仿宋_GB2312" w:hAnsi="仿宋" w:eastAsia="仿宋_GB2312" w:cs="仿宋"/>
          <w:color w:val="000000"/>
          <w:kern w:val="2"/>
          <w:sz w:val="32"/>
          <w:szCs w:val="32"/>
        </w:rPr>
        <w:t>。</w:t>
      </w:r>
      <w:r>
        <w:rPr>
          <w:rFonts w:hint="eastAsia" w:ascii="仿宋_GB2312" w:hAnsi="仿宋" w:eastAsia="仿宋_GB2312" w:cs="仿宋"/>
          <w:b/>
          <w:color w:val="000000"/>
          <w:kern w:val="2"/>
          <w:sz w:val="32"/>
          <w:szCs w:val="32"/>
        </w:rPr>
        <w:t>二是强化基层医疗服务功能。</w:t>
      </w:r>
      <w:r>
        <w:rPr>
          <w:rFonts w:hint="eastAsia" w:ascii="仿宋_GB2312" w:eastAsia="仿宋_GB2312"/>
          <w:kern w:val="2"/>
          <w:sz w:val="32"/>
          <w:szCs w:val="32"/>
          <w:shd w:val="clear" w:color="auto" w:fill="FFFFFF"/>
        </w:rPr>
        <w:t>从财政投入、设施设备、人才培养、资源共享和业务协同等方面探索建立“市区共建，县乡共建”机制，</w:t>
      </w:r>
      <w:r>
        <w:rPr>
          <w:rFonts w:hint="eastAsia" w:ascii="仿宋_GB2312" w:eastAsia="仿宋_GB2312"/>
          <w:kern w:val="2"/>
          <w:sz w:val="32"/>
          <w:szCs w:val="32"/>
        </w:rPr>
        <w:t>加强基层医疗</w:t>
      </w:r>
      <w:r>
        <w:rPr>
          <w:rFonts w:hint="eastAsia" w:ascii="仿宋_GB2312" w:eastAsia="仿宋_GB2312"/>
          <w:kern w:val="2"/>
          <w:sz w:val="32"/>
          <w:szCs w:val="32"/>
          <w:shd w:val="clear" w:color="auto" w:fill="FFFFFF"/>
        </w:rPr>
        <w:t>卫生机构标准化建设，夯实基层卫生工作基础。实施“中心镇卫生院医疗服务功能完善行动计划”，重点加强基层特色科室（专科）建设，着力</w:t>
      </w:r>
      <w:r>
        <w:rPr>
          <w:rFonts w:hint="eastAsia" w:ascii="仿宋_GB2312" w:hAnsi="仿宋" w:eastAsia="仿宋_GB2312" w:cs="仿宋"/>
          <w:color w:val="000000"/>
          <w:kern w:val="2"/>
          <w:sz w:val="32"/>
          <w:szCs w:val="32"/>
        </w:rPr>
        <w:t>增强基层医疗服务能力</w:t>
      </w:r>
      <w:r>
        <w:rPr>
          <w:rFonts w:hint="eastAsia" w:ascii="仿宋_GB2312" w:eastAsia="仿宋_GB2312"/>
          <w:kern w:val="2"/>
          <w:sz w:val="32"/>
          <w:szCs w:val="32"/>
          <w:shd w:val="clear" w:color="auto" w:fill="FFFFFF"/>
        </w:rPr>
        <w:t>。</w:t>
      </w:r>
      <w:r>
        <w:rPr>
          <w:rFonts w:hint="eastAsia" w:ascii="仿宋_GB2312" w:hAnsi="仿宋" w:eastAsia="仿宋_GB2312" w:cs="仿宋"/>
          <w:color w:val="000000"/>
          <w:kern w:val="2"/>
          <w:sz w:val="32"/>
          <w:szCs w:val="32"/>
        </w:rPr>
        <w:t>“十三五”期末，甲等乡镇卫生院数量达到</w:t>
      </w:r>
      <w:r>
        <w:rPr>
          <w:rFonts w:ascii="仿宋_GB2312" w:hAnsi="仿宋" w:eastAsia="仿宋_GB2312" w:cs="仿宋"/>
          <w:color w:val="000000"/>
          <w:kern w:val="2"/>
          <w:sz w:val="32"/>
          <w:szCs w:val="32"/>
        </w:rPr>
        <w:t>1/3</w:t>
      </w:r>
      <w:r>
        <w:rPr>
          <w:rFonts w:hint="eastAsia" w:ascii="仿宋_GB2312" w:hAnsi="仿宋" w:eastAsia="仿宋_GB2312" w:cs="仿宋"/>
          <w:color w:val="000000"/>
          <w:kern w:val="2"/>
          <w:sz w:val="32"/>
          <w:szCs w:val="32"/>
        </w:rPr>
        <w:t>以上，每千常住人口基层卫生人员数达到</w:t>
      </w:r>
      <w:r>
        <w:rPr>
          <w:rFonts w:ascii="仿宋_GB2312" w:hAnsi="仿宋" w:eastAsia="仿宋_GB2312" w:cs="仿宋"/>
          <w:color w:val="000000"/>
          <w:kern w:val="2"/>
          <w:sz w:val="32"/>
          <w:szCs w:val="32"/>
        </w:rPr>
        <w:t>3.5</w:t>
      </w:r>
      <w:r>
        <w:rPr>
          <w:rFonts w:hint="eastAsia" w:ascii="仿宋_GB2312" w:hAnsi="仿宋" w:eastAsia="仿宋_GB2312" w:cs="仿宋"/>
          <w:color w:val="000000"/>
          <w:kern w:val="2"/>
          <w:sz w:val="32"/>
          <w:szCs w:val="32"/>
        </w:rPr>
        <w:t>人，城乡每万居民拥有</w:t>
      </w:r>
      <w:r>
        <w:rPr>
          <w:rFonts w:ascii="仿宋_GB2312" w:hAnsi="仿宋" w:eastAsia="仿宋_GB2312" w:cs="仿宋"/>
          <w:color w:val="000000"/>
          <w:kern w:val="2"/>
          <w:sz w:val="32"/>
          <w:szCs w:val="32"/>
        </w:rPr>
        <w:t>2</w:t>
      </w:r>
      <w:r>
        <w:rPr>
          <w:rFonts w:hint="eastAsia" w:ascii="仿宋_GB2312" w:hAnsi="仿宋" w:eastAsia="仿宋_GB2312" w:cs="仿宋"/>
          <w:color w:val="000000"/>
          <w:kern w:val="2"/>
          <w:sz w:val="32"/>
          <w:szCs w:val="32"/>
        </w:rPr>
        <w:t>名以上合格的全科医生。</w:t>
      </w:r>
      <w:r>
        <w:rPr>
          <w:rFonts w:hint="eastAsia" w:ascii="仿宋_GB2312" w:hAnsi="仿宋" w:eastAsia="仿宋_GB2312" w:cs="仿宋"/>
          <w:b/>
          <w:color w:val="000000"/>
          <w:kern w:val="2"/>
          <w:sz w:val="32"/>
          <w:szCs w:val="32"/>
        </w:rPr>
        <w:t>三是创新基层卫生服务机构运行机制。</w:t>
      </w:r>
      <w:r>
        <w:rPr>
          <w:rFonts w:hint="eastAsia" w:ascii="仿宋_GB2312" w:eastAsia="仿宋_GB2312"/>
          <w:kern w:val="2"/>
          <w:sz w:val="32"/>
          <w:szCs w:val="32"/>
          <w:shd w:val="clear" w:color="auto" w:fill="FFFFFF"/>
        </w:rPr>
        <w:t>探索建立中心城区社区卫生服务功能“平台化”运行机制，</w:t>
      </w:r>
      <w:r>
        <w:rPr>
          <w:rFonts w:hint="eastAsia" w:ascii="仿宋_GB2312" w:hAnsi="仿宋" w:eastAsia="仿宋_GB2312" w:cs="仿宋"/>
          <w:color w:val="000000"/>
          <w:kern w:val="2"/>
          <w:sz w:val="32"/>
          <w:szCs w:val="32"/>
        </w:rPr>
        <w:t>社区卫生服务中心成为基本医疗、基本公共卫生、全科医师（执业医师）执业和绩效管理等综合服务平台。平台可采用政府购买服务等方式实现对基层卫生服务资源的有效配置。落实政府对基层卫生的投入政策，建立“以服务质量为核心、多劳多得、优绩优酬”的绩效考核激励机制，努力提高基层医务人员工作积极性。基层医疗卫生机构全面实行财务集中管理核算。</w:t>
      </w:r>
    </w:p>
    <w:p>
      <w:pPr>
        <w:spacing w:line="540" w:lineRule="exact"/>
        <w:ind w:firstLine="642" w:firstLineChars="200"/>
        <w:rPr>
          <w:rFonts w:ascii="仿宋_GB2312" w:hAnsi="仿宋" w:eastAsia="仿宋_GB2312" w:cs="仿宋"/>
          <w:color w:val="000000"/>
          <w:kern w:val="2"/>
          <w:sz w:val="32"/>
          <w:szCs w:val="32"/>
        </w:rPr>
      </w:pPr>
      <w:r>
        <w:rPr>
          <w:rFonts w:hint="eastAsia" w:ascii="楷体_GB2312" w:hAnsi="仿宋" w:eastAsia="楷体_GB2312" w:cs="仿宋"/>
          <w:b/>
          <w:color w:val="000000"/>
          <w:kern w:val="2"/>
          <w:sz w:val="32"/>
          <w:szCs w:val="32"/>
        </w:rPr>
        <w:t>（五）统筹医疗卫生资源配置，实施医疗卫生资源布局优化工程。</w:t>
      </w:r>
      <w:r>
        <w:rPr>
          <w:rFonts w:hint="eastAsia" w:ascii="仿宋_GB2312" w:hAnsi="仿宋" w:eastAsia="仿宋_GB2312" w:cs="仿宋"/>
          <w:b/>
          <w:color w:val="000000"/>
          <w:kern w:val="2"/>
          <w:sz w:val="32"/>
          <w:szCs w:val="32"/>
        </w:rPr>
        <w:t>一是加强医疗资源调控。</w:t>
      </w:r>
      <w:r>
        <w:rPr>
          <w:rFonts w:hint="eastAsia" w:ascii="仿宋_GB2312" w:hAnsi="仿宋" w:eastAsia="仿宋_GB2312" w:cs="仿宋"/>
          <w:color w:val="000000"/>
          <w:kern w:val="2"/>
          <w:sz w:val="32"/>
          <w:szCs w:val="32"/>
        </w:rPr>
        <w:t>“十三五”期末，我市千人床位数达到</w:t>
      </w:r>
      <w:r>
        <w:rPr>
          <w:rFonts w:ascii="仿宋_GB2312" w:hAnsi="仿宋" w:eastAsia="仿宋_GB2312" w:cs="仿宋"/>
          <w:color w:val="000000"/>
          <w:kern w:val="2"/>
          <w:sz w:val="32"/>
          <w:szCs w:val="32"/>
        </w:rPr>
        <w:t>5.91</w:t>
      </w:r>
      <w:r>
        <w:rPr>
          <w:rFonts w:hint="eastAsia" w:ascii="仿宋_GB2312" w:hAnsi="仿宋" w:eastAsia="仿宋_GB2312" w:cs="仿宋"/>
          <w:color w:val="000000"/>
          <w:kern w:val="2"/>
          <w:sz w:val="32"/>
          <w:szCs w:val="32"/>
        </w:rPr>
        <w:t>张，千人执业（助理）医师数</w:t>
      </w:r>
      <w:r>
        <w:rPr>
          <w:rFonts w:ascii="仿宋_GB2312" w:hAnsi="仿宋" w:eastAsia="仿宋_GB2312" w:cs="仿宋"/>
          <w:color w:val="000000"/>
          <w:kern w:val="2"/>
          <w:sz w:val="32"/>
          <w:szCs w:val="32"/>
        </w:rPr>
        <w:t>2.75</w:t>
      </w:r>
      <w:r>
        <w:rPr>
          <w:rFonts w:hint="eastAsia" w:ascii="仿宋_GB2312" w:hAnsi="仿宋" w:eastAsia="仿宋_GB2312" w:cs="仿宋"/>
          <w:color w:val="000000"/>
          <w:kern w:val="2"/>
          <w:sz w:val="32"/>
          <w:szCs w:val="32"/>
        </w:rPr>
        <w:t>人，千人注册护士数</w:t>
      </w:r>
      <w:r>
        <w:rPr>
          <w:rFonts w:ascii="仿宋_GB2312" w:hAnsi="仿宋" w:eastAsia="仿宋_GB2312" w:cs="仿宋"/>
          <w:color w:val="000000"/>
          <w:kern w:val="2"/>
          <w:sz w:val="32"/>
          <w:szCs w:val="32"/>
        </w:rPr>
        <w:t>3.09</w:t>
      </w:r>
      <w:r>
        <w:rPr>
          <w:rFonts w:hint="eastAsia" w:ascii="仿宋_GB2312" w:hAnsi="仿宋" w:eastAsia="仿宋_GB2312" w:cs="仿宋"/>
          <w:color w:val="000000"/>
          <w:kern w:val="2"/>
          <w:sz w:val="32"/>
          <w:szCs w:val="32"/>
        </w:rPr>
        <w:t>人，各类医疗卫生机构的人力资源配置达到《湖州市区域卫生规划（</w:t>
      </w:r>
      <w:r>
        <w:rPr>
          <w:rFonts w:ascii="仿宋_GB2312" w:hAnsi="仿宋" w:eastAsia="仿宋_GB2312" w:cs="仿宋"/>
          <w:color w:val="000000"/>
          <w:kern w:val="2"/>
          <w:sz w:val="32"/>
          <w:szCs w:val="32"/>
        </w:rPr>
        <w:t>2016-2020</w:t>
      </w:r>
      <w:r>
        <w:rPr>
          <w:rFonts w:hint="eastAsia" w:ascii="仿宋_GB2312" w:hAnsi="仿宋" w:eastAsia="仿宋_GB2312" w:cs="仿宋"/>
          <w:color w:val="000000"/>
          <w:kern w:val="2"/>
          <w:sz w:val="32"/>
          <w:szCs w:val="32"/>
        </w:rPr>
        <w:t>年）》的标准。严格控制城市公立医院总体规模和单体规模，严禁举债超标准装修和超常规配备大型医用设备。按照资源共享和阶梯配置的原则，加强大型医用设备配置规划和准入管理，成立大型设备诊查中心，建立“共享、共用、共管”机制。</w:t>
      </w:r>
      <w:r>
        <w:rPr>
          <w:rFonts w:hint="eastAsia" w:ascii="仿宋_GB2312" w:hAnsi="仿宋" w:eastAsia="仿宋_GB2312" w:cs="仿宋"/>
          <w:b/>
          <w:color w:val="000000"/>
          <w:kern w:val="2"/>
          <w:sz w:val="32"/>
          <w:szCs w:val="32"/>
        </w:rPr>
        <w:t>二是优化医疗资源布局。</w:t>
      </w:r>
      <w:r>
        <w:rPr>
          <w:rFonts w:hint="eastAsia" w:ascii="仿宋_GB2312" w:hAnsi="仿宋" w:eastAsia="仿宋_GB2312" w:cs="仿宋"/>
          <w:color w:val="000000"/>
          <w:kern w:val="2"/>
          <w:sz w:val="32"/>
          <w:szCs w:val="32"/>
        </w:rPr>
        <w:t>按“调存量、优增量、补短板”的原则，调整优化城市医疗资源布局，推动优质医疗资源向城市</w:t>
      </w:r>
      <w:r>
        <w:rPr>
          <w:rFonts w:hint="eastAsia" w:ascii="仿宋_GB2312" w:eastAsia="仿宋_GB2312"/>
          <w:kern w:val="2"/>
          <w:sz w:val="32"/>
          <w:szCs w:val="32"/>
        </w:rPr>
        <w:t>新区和基层延伸转移。</w:t>
      </w:r>
      <w:r>
        <w:rPr>
          <w:rFonts w:hint="eastAsia" w:ascii="仿宋_GB2312" w:hAnsi="仿宋" w:eastAsia="仿宋_GB2312" w:cs="仿宋"/>
          <w:color w:val="000000"/>
          <w:kern w:val="2"/>
          <w:sz w:val="32"/>
          <w:szCs w:val="32"/>
        </w:rPr>
        <w:t>政府对医疗资源的新增投入优先支持儿童、老年等医疗服务紧缺领域，加快推进依托现有医疗资源建设湖州市儿童医院的前期研究，筹建湖州市老年医学中心。鼓励和支持社会力量举办康复、老年医疗护理等供给短缺的专科医疗机构。市中心医院创建区域医疗中心并完成迁建，市第一人民医院创建三级甲等综合性医院，县级人民医院全部达到三级乙等综合性医院标准，区级人民医院基本达到三级乙等综合性医院标准。省小城市培育试点镇和市政府确定重点发展中心镇的卫生院达到甲等乡镇卫生院标准。</w:t>
      </w:r>
      <w:r>
        <w:rPr>
          <w:rFonts w:hint="eastAsia" w:ascii="仿宋_GB2312" w:hAnsi="仿宋" w:eastAsia="仿宋_GB2312" w:cs="仿宋"/>
          <w:b/>
          <w:color w:val="000000"/>
          <w:kern w:val="2"/>
          <w:sz w:val="32"/>
          <w:szCs w:val="32"/>
        </w:rPr>
        <w:t>三是推进优质资源纵向流动。</w:t>
      </w:r>
      <w:r>
        <w:rPr>
          <w:rFonts w:hint="eastAsia" w:ascii="仿宋_GB2312" w:hAnsi="仿宋" w:eastAsia="仿宋_GB2312" w:cs="仿宋"/>
          <w:color w:val="000000"/>
          <w:kern w:val="2"/>
          <w:sz w:val="32"/>
          <w:szCs w:val="32"/>
        </w:rPr>
        <w:t>全面深化“双下沉、两提升”工作，鼓励市县级公立医院以组建医疗集团、医疗联合体、业务托管等方式实现医疗资源逐级下沉和纵向整合。完善县乡村卫生一体化管理</w:t>
      </w:r>
      <w:r>
        <w:rPr>
          <w:rFonts w:hint="eastAsia" w:ascii="仿宋_GB2312" w:eastAsia="仿宋_GB2312"/>
          <w:kern w:val="2"/>
          <w:sz w:val="32"/>
          <w:szCs w:val="32"/>
        </w:rPr>
        <w:t>，鼓励县级医院对基层医疗卫生机构实行人财物统一管理和业务融合</w:t>
      </w:r>
      <w:r>
        <w:rPr>
          <w:rFonts w:hint="eastAsia" w:ascii="仿宋_GB2312" w:hAnsi="仿宋" w:eastAsia="仿宋_GB2312" w:cs="仿宋"/>
          <w:color w:val="000000"/>
          <w:kern w:val="2"/>
          <w:sz w:val="32"/>
          <w:szCs w:val="32"/>
        </w:rPr>
        <w:t>。加</w:t>
      </w:r>
      <w:r>
        <w:rPr>
          <w:rFonts w:hint="eastAsia" w:ascii="仿宋_GB2312" w:eastAsia="仿宋_GB2312"/>
          <w:kern w:val="2"/>
          <w:sz w:val="32"/>
          <w:szCs w:val="32"/>
        </w:rPr>
        <w:t>快推进区域影像、检验、心电等共享中心建设，带动基层医疗卫生服务能力的提升。</w:t>
      </w:r>
      <w:r>
        <w:rPr>
          <w:rFonts w:hint="eastAsia" w:ascii="仿宋_GB2312" w:hAnsi="仿宋" w:eastAsia="仿宋_GB2312" w:cs="仿宋"/>
          <w:b/>
          <w:color w:val="000000"/>
          <w:kern w:val="2"/>
          <w:sz w:val="32"/>
          <w:szCs w:val="32"/>
        </w:rPr>
        <w:t>四是加强院前急救体系建设。</w:t>
      </w:r>
      <w:r>
        <w:rPr>
          <w:rFonts w:hint="eastAsia" w:ascii="仿宋_GB2312" w:hAnsi="仿宋" w:eastAsia="仿宋_GB2312" w:cs="仿宋"/>
          <w:color w:val="000000"/>
          <w:kern w:val="2"/>
          <w:sz w:val="32"/>
          <w:szCs w:val="32"/>
        </w:rPr>
        <w:t>建成覆盖城乡、实时联网的</w:t>
      </w:r>
      <w:r>
        <w:rPr>
          <w:rFonts w:ascii="仿宋_GB2312" w:hAnsi="仿宋" w:eastAsia="仿宋_GB2312" w:cs="仿宋"/>
          <w:color w:val="000000"/>
          <w:kern w:val="2"/>
          <w:sz w:val="32"/>
          <w:szCs w:val="32"/>
        </w:rPr>
        <w:t>120</w:t>
      </w:r>
      <w:r>
        <w:rPr>
          <w:rFonts w:hint="eastAsia" w:ascii="仿宋_GB2312" w:hAnsi="仿宋" w:eastAsia="仿宋_GB2312" w:cs="仿宋"/>
          <w:color w:val="000000"/>
          <w:kern w:val="2"/>
          <w:sz w:val="32"/>
          <w:szCs w:val="32"/>
        </w:rPr>
        <w:t>信息指挥调度系统，在部分社区卫生服务中心设置急救分站和应急物资储备分中心，落实就近急救原则，院前急救平均反应时间缩短至</w:t>
      </w:r>
      <w:r>
        <w:rPr>
          <w:rFonts w:ascii="仿宋_GB2312" w:hAnsi="仿宋" w:eastAsia="仿宋_GB2312" w:cs="仿宋"/>
          <w:color w:val="000000"/>
          <w:kern w:val="2"/>
          <w:sz w:val="32"/>
          <w:szCs w:val="32"/>
        </w:rPr>
        <w:t>10</w:t>
      </w:r>
      <w:r>
        <w:rPr>
          <w:rFonts w:hint="eastAsia" w:ascii="仿宋_GB2312" w:hAnsi="仿宋" w:eastAsia="仿宋_GB2312" w:cs="仿宋"/>
          <w:color w:val="000000"/>
          <w:kern w:val="2"/>
          <w:sz w:val="32"/>
          <w:szCs w:val="32"/>
        </w:rPr>
        <w:t>分钟以内。加强院前急救队伍建设，提升急救装备水平，配置急救流动医院，提高对危急重症患者和突发事件的紧急医学救援能力。大力推广普及急救知识。</w:t>
      </w:r>
    </w:p>
    <w:p>
      <w:pPr>
        <w:spacing w:line="540" w:lineRule="exact"/>
        <w:ind w:firstLine="642" w:firstLineChars="200"/>
        <w:rPr>
          <w:rFonts w:ascii="仿宋_GB2312" w:hAnsi="仿宋" w:eastAsia="仿宋_GB2312" w:cs="仿宋"/>
          <w:color w:val="000000"/>
          <w:kern w:val="2"/>
          <w:sz w:val="32"/>
          <w:szCs w:val="32"/>
        </w:rPr>
      </w:pPr>
      <w:r>
        <w:rPr>
          <w:rFonts w:hint="eastAsia" w:ascii="楷体_GB2312" w:hAnsi="仿宋" w:eastAsia="楷体_GB2312" w:cs="仿宋"/>
          <w:b/>
          <w:color w:val="000000"/>
          <w:kern w:val="2"/>
          <w:sz w:val="32"/>
          <w:szCs w:val="32"/>
        </w:rPr>
        <w:t>（六）推进中医药事业发展，实施中医药健康服务深化工程。</w:t>
      </w:r>
      <w:r>
        <w:rPr>
          <w:rFonts w:hint="eastAsia" w:ascii="仿宋_GB2312" w:hAnsi="仿宋" w:eastAsia="仿宋_GB2312" w:cs="仿宋"/>
          <w:b/>
          <w:color w:val="000000"/>
          <w:kern w:val="2"/>
          <w:sz w:val="32"/>
          <w:szCs w:val="32"/>
        </w:rPr>
        <w:t>一是完善中医医疗服务体系。</w:t>
      </w:r>
      <w:r>
        <w:rPr>
          <w:rFonts w:hint="eastAsia" w:ascii="仿宋_GB2312" w:hAnsi="仿宋" w:eastAsia="仿宋_GB2312" w:cs="仿宋"/>
          <w:color w:val="000000"/>
          <w:kern w:val="2"/>
          <w:sz w:val="32"/>
          <w:szCs w:val="32"/>
        </w:rPr>
        <w:t>健全以市中医院为龙头，各县区级中医（中西医结合）医院为支撑，基层医疗机构为基础，综合性医院中医科和社会办中医医疗机构为补充的中医药服务体系，实现城乡中医药服务网络的有效覆盖。改扩建市中医院。</w:t>
      </w:r>
      <w:r>
        <w:rPr>
          <w:rFonts w:hint="eastAsia" w:ascii="仿宋_GB2312" w:hAnsi="仿宋" w:eastAsia="仿宋_GB2312" w:cs="仿宋"/>
          <w:b/>
          <w:color w:val="000000"/>
          <w:kern w:val="2"/>
          <w:sz w:val="32"/>
          <w:szCs w:val="32"/>
        </w:rPr>
        <w:t>二是加强中医学科和人才队伍建设。</w:t>
      </w:r>
      <w:r>
        <w:rPr>
          <w:rFonts w:hint="eastAsia" w:ascii="仿宋_GB2312" w:hAnsi="仿宋" w:eastAsia="仿宋_GB2312" w:cs="仿宋"/>
          <w:color w:val="000000"/>
          <w:kern w:val="2"/>
          <w:sz w:val="32"/>
          <w:szCs w:val="32"/>
        </w:rPr>
        <w:t>继续实施中医药“三名”工程，培育一批中医临床重点专科和特色专科，积极争创国家和省级中医药重点学科。加强名老中医药专家的学术研究和临床传承，推进中医住院医师规范化培训和培训基地建设工作。制定并实施基层中医药服务能力提升工程三年行动计划。</w:t>
      </w:r>
      <w:r>
        <w:rPr>
          <w:rFonts w:hint="eastAsia" w:ascii="仿宋_GB2312" w:hAnsi="仿宋" w:eastAsia="仿宋_GB2312" w:cs="仿宋"/>
          <w:b/>
          <w:color w:val="000000"/>
          <w:kern w:val="2"/>
          <w:sz w:val="32"/>
          <w:szCs w:val="32"/>
        </w:rPr>
        <w:t>三是拓展中医药预防保健服务内涵。</w:t>
      </w:r>
      <w:r>
        <w:rPr>
          <w:rFonts w:hint="eastAsia" w:ascii="仿宋_GB2312" w:hAnsi="仿宋" w:eastAsia="仿宋_GB2312" w:cs="仿宋"/>
          <w:color w:val="000000"/>
          <w:kern w:val="2"/>
          <w:sz w:val="32"/>
          <w:szCs w:val="32"/>
        </w:rPr>
        <w:t>推广中医药适宜技术，普及中医药健康知识，提高中医药服务知晓率和满意率。依托各级“治未病”中心开展中医健康体检、体质辨识等中医药健康干预服务。推动“中医药</w:t>
      </w:r>
      <w:r>
        <w:rPr>
          <w:rFonts w:ascii="仿宋_GB2312" w:hAnsi="仿宋" w:eastAsia="仿宋_GB2312" w:cs="仿宋"/>
          <w:color w:val="000000"/>
          <w:kern w:val="2"/>
          <w:sz w:val="32"/>
          <w:szCs w:val="32"/>
        </w:rPr>
        <w:t>+</w:t>
      </w:r>
      <w:r>
        <w:rPr>
          <w:rFonts w:hint="eastAsia" w:ascii="仿宋_GB2312" w:hAnsi="仿宋" w:eastAsia="仿宋_GB2312" w:cs="仿宋"/>
          <w:color w:val="000000"/>
          <w:kern w:val="2"/>
          <w:sz w:val="32"/>
          <w:szCs w:val="32"/>
        </w:rPr>
        <w:t>”工程，探索中医药和健康保健、养生养老、护理康复、慢性病管理、运动旅游等业态结合的发展新模式，满足群众多层次的中医药健康服务需求。</w:t>
      </w:r>
    </w:p>
    <w:p>
      <w:pPr>
        <w:spacing w:line="540" w:lineRule="exact"/>
        <w:ind w:firstLine="629" w:firstLineChars="196"/>
        <w:rPr>
          <w:rFonts w:ascii="仿宋_GB2312" w:hAnsi="仿宋" w:eastAsia="仿宋_GB2312" w:cs="仿宋"/>
          <w:color w:val="FF0000"/>
          <w:kern w:val="2"/>
          <w:sz w:val="32"/>
          <w:szCs w:val="32"/>
        </w:rPr>
      </w:pPr>
      <w:r>
        <w:rPr>
          <w:rFonts w:hint="eastAsia" w:ascii="楷体_GB2312" w:hAnsi="仿宋" w:eastAsia="楷体_GB2312" w:cs="仿宋"/>
          <w:b/>
          <w:color w:val="000000"/>
          <w:kern w:val="2"/>
          <w:sz w:val="32"/>
          <w:szCs w:val="32"/>
        </w:rPr>
        <w:t>（七）加强可持续发展能力建设，实施科教人才支撑工程。</w:t>
      </w:r>
      <w:r>
        <w:rPr>
          <w:rFonts w:hint="eastAsia" w:ascii="仿宋_GB2312" w:hAnsi="仿宋" w:eastAsia="仿宋_GB2312" w:cs="仿宋"/>
          <w:b/>
          <w:color w:val="000000"/>
          <w:kern w:val="2"/>
          <w:sz w:val="32"/>
          <w:szCs w:val="32"/>
        </w:rPr>
        <w:t>一是加强人才队伍体系建设。</w:t>
      </w:r>
      <w:r>
        <w:rPr>
          <w:rFonts w:hint="eastAsia" w:ascii="仿宋_GB2312" w:hAnsi="仿宋" w:eastAsia="仿宋_GB2312" w:cs="仿宋"/>
          <w:color w:val="000000"/>
          <w:kern w:val="2"/>
          <w:sz w:val="32"/>
          <w:szCs w:val="32"/>
        </w:rPr>
        <w:t>加大高层次医学人才引进、遴选和培养力度，海外高层次等医学人才的引进有新突破。制定临床医学、公共卫生、卫生管理等领域的英才选拔和培养计划，培育一批在省内有影响力的中青年学术带头人。拓宽渠道多层次推进全科、儿科、特检、护理等医学实用型紧缺人才和复合型公共卫生人才培养</w:t>
      </w:r>
      <w:r>
        <w:rPr>
          <w:rFonts w:hint="eastAsia" w:ascii="仿宋_GB2312" w:eastAsia="仿宋_GB2312"/>
          <w:kern w:val="2"/>
          <w:sz w:val="32"/>
          <w:szCs w:val="32"/>
        </w:rPr>
        <w:t>。</w:t>
      </w:r>
      <w:r>
        <w:rPr>
          <w:rFonts w:hint="eastAsia" w:ascii="仿宋_GB2312" w:hAnsi="仿宋" w:eastAsia="仿宋_GB2312" w:cs="仿宋"/>
          <w:color w:val="000000"/>
          <w:kern w:val="2"/>
          <w:sz w:val="32"/>
          <w:szCs w:val="32"/>
        </w:rPr>
        <w:t>推进县域医疗卫生人员县管乡用、乡招村用、统筹使用和柔性流动。落实国家关于护士配备的标准，切实保障护士待遇。优化人才发展环境，建立符合医疗卫生行业特点的薪酬制度，完善编制管理、职称评审、岗位设置、教育培训和职业发展等政策。</w:t>
      </w:r>
      <w:r>
        <w:rPr>
          <w:rFonts w:hint="eastAsia" w:ascii="仿宋_GB2312" w:hAnsi="仿宋" w:eastAsia="仿宋_GB2312" w:cs="仿宋"/>
          <w:b/>
          <w:color w:val="000000"/>
          <w:kern w:val="2"/>
          <w:sz w:val="32"/>
          <w:szCs w:val="32"/>
        </w:rPr>
        <w:t>二是加强重点学科建设。</w:t>
      </w:r>
      <w:r>
        <w:rPr>
          <w:rFonts w:hint="eastAsia" w:ascii="仿宋_GB2312" w:hAnsi="仿宋" w:eastAsia="仿宋_GB2312" w:cs="仿宋"/>
          <w:color w:val="000000"/>
          <w:kern w:val="2"/>
          <w:sz w:val="32"/>
          <w:szCs w:val="32"/>
        </w:rPr>
        <w:t>按照“创优扶强、学科交融、区域均衡”的原则开展医学重点学科建设。深化我市与浙江大学的医学合作，加强与上海、台湾等知名医学机构的交流合作，依托区域专病中心、重点医学实验室等平台，加快推进医学科技创新，促进重点学科进位升级。“十三五”期间，争创</w:t>
      </w:r>
      <w:r>
        <w:rPr>
          <w:rFonts w:ascii="仿宋_GB2312" w:hAnsi="仿宋" w:eastAsia="仿宋_GB2312" w:cs="仿宋"/>
          <w:color w:val="000000"/>
          <w:kern w:val="2"/>
          <w:sz w:val="32"/>
          <w:szCs w:val="32"/>
        </w:rPr>
        <w:t>2</w:t>
      </w:r>
      <w:r>
        <w:rPr>
          <w:rFonts w:hint="eastAsia" w:ascii="仿宋_GB2312" w:hAnsi="仿宋" w:eastAsia="仿宋_GB2312" w:cs="仿宋"/>
          <w:color w:val="000000"/>
          <w:kern w:val="2"/>
          <w:sz w:val="32"/>
          <w:szCs w:val="32"/>
        </w:rPr>
        <w:t>个以上省医学重点专科，并以此为龙头开展学科集群建设，扩大对周边苏皖区域的医疗辐射能力。扶持儿科、康复等薄弱学科建设，加强县级龙头学科和非公立医疗机构临床特色学科建设，提升县级医院和非公立医疗机构医疗服务能力，新增龙头学科</w:t>
      </w:r>
      <w:r>
        <w:rPr>
          <w:rFonts w:ascii="仿宋_GB2312" w:hAnsi="仿宋" w:eastAsia="仿宋_GB2312" w:cs="仿宋"/>
          <w:color w:val="000000"/>
          <w:kern w:val="2"/>
          <w:sz w:val="32"/>
          <w:szCs w:val="32"/>
        </w:rPr>
        <w:t>8</w:t>
      </w:r>
      <w:r>
        <w:rPr>
          <w:rFonts w:hint="eastAsia" w:ascii="仿宋_GB2312" w:hAnsi="仿宋" w:eastAsia="仿宋_GB2312" w:cs="仿宋"/>
          <w:color w:val="000000"/>
          <w:kern w:val="2"/>
          <w:sz w:val="32"/>
          <w:szCs w:val="32"/>
        </w:rPr>
        <w:t>个，特色学科</w:t>
      </w:r>
      <w:r>
        <w:rPr>
          <w:rFonts w:ascii="仿宋_GB2312" w:hAnsi="仿宋" w:eastAsia="仿宋_GB2312" w:cs="仿宋"/>
          <w:color w:val="000000"/>
          <w:kern w:val="2"/>
          <w:sz w:val="32"/>
          <w:szCs w:val="32"/>
        </w:rPr>
        <w:t>3</w:t>
      </w:r>
      <w:r>
        <w:rPr>
          <w:rFonts w:hint="eastAsia" w:ascii="仿宋_GB2312" w:hAnsi="仿宋" w:eastAsia="仿宋_GB2312" w:cs="仿宋"/>
          <w:color w:val="000000"/>
          <w:kern w:val="2"/>
          <w:sz w:val="32"/>
          <w:szCs w:val="32"/>
        </w:rPr>
        <w:t>个。</w:t>
      </w:r>
      <w:r>
        <w:rPr>
          <w:rFonts w:hint="eastAsia" w:ascii="仿宋_GB2312" w:hAnsi="仿宋" w:eastAsia="仿宋_GB2312" w:cs="仿宋"/>
          <w:b/>
          <w:color w:val="000000"/>
          <w:kern w:val="2"/>
          <w:sz w:val="32"/>
          <w:szCs w:val="32"/>
        </w:rPr>
        <w:t>三是加强医学教育体系建设。</w:t>
      </w:r>
      <w:r>
        <w:rPr>
          <w:rFonts w:hint="eastAsia" w:ascii="仿宋_GB2312" w:hAnsi="仿宋" w:eastAsia="仿宋_GB2312" w:cs="仿宋"/>
          <w:color w:val="000000"/>
          <w:kern w:val="2"/>
          <w:sz w:val="32"/>
          <w:szCs w:val="32"/>
        </w:rPr>
        <w:t>充分发挥湖州师范学院医学院的医教协同优势，进一步提升医学教育水平。加强医学职业技术教育，扩大全科医学、康复、护理等社会急需专业建设。继续开展广覆盖、多层次的医学继续教育，提高专业技术人员的岗位业务能力。实施“住院医师规范化培训示范提升计划”，</w:t>
      </w:r>
      <w:bookmarkStart w:id="1" w:name="OLE_LINK3"/>
      <w:bookmarkStart w:id="2" w:name="OLE_LINK2"/>
      <w:r>
        <w:rPr>
          <w:rFonts w:hint="eastAsia" w:ascii="仿宋_GB2312" w:hAnsi="仿宋" w:eastAsia="仿宋_GB2312" w:cs="仿宋"/>
          <w:color w:val="000000"/>
          <w:kern w:val="2"/>
          <w:sz w:val="32"/>
          <w:szCs w:val="32"/>
        </w:rPr>
        <w:t>“十三五”期间，全市新增国家级培训基地</w:t>
      </w:r>
      <w:r>
        <w:rPr>
          <w:rFonts w:ascii="仿宋_GB2312" w:hAnsi="仿宋" w:eastAsia="仿宋_GB2312" w:cs="仿宋"/>
          <w:color w:val="000000"/>
          <w:kern w:val="2"/>
          <w:sz w:val="32"/>
          <w:szCs w:val="32"/>
        </w:rPr>
        <w:t>1</w:t>
      </w:r>
      <w:r>
        <w:rPr>
          <w:rFonts w:hint="eastAsia" w:ascii="仿宋_GB2312" w:hAnsi="仿宋" w:eastAsia="仿宋_GB2312" w:cs="仿宋"/>
          <w:color w:val="000000"/>
          <w:kern w:val="2"/>
          <w:sz w:val="32"/>
          <w:szCs w:val="32"/>
        </w:rPr>
        <w:t>个，培训住院医师</w:t>
      </w:r>
      <w:r>
        <w:rPr>
          <w:rFonts w:ascii="仿宋_GB2312" w:hAnsi="仿宋" w:eastAsia="仿宋_GB2312" w:cs="仿宋"/>
          <w:color w:val="000000"/>
          <w:kern w:val="2"/>
          <w:sz w:val="32"/>
          <w:szCs w:val="32"/>
        </w:rPr>
        <w:t>1000</w:t>
      </w:r>
      <w:r>
        <w:rPr>
          <w:rFonts w:hint="eastAsia" w:ascii="仿宋_GB2312" w:hAnsi="仿宋" w:eastAsia="仿宋_GB2312" w:cs="仿宋"/>
          <w:color w:val="000000"/>
          <w:kern w:val="2"/>
          <w:sz w:val="32"/>
          <w:szCs w:val="32"/>
        </w:rPr>
        <w:t>人。</w:t>
      </w:r>
    </w:p>
    <w:p>
      <w:pPr>
        <w:spacing w:line="540" w:lineRule="exact"/>
        <w:ind w:firstLine="642" w:firstLineChars="200"/>
        <w:rPr>
          <w:rFonts w:ascii="仿宋_GB2312" w:hAnsi="仿宋" w:eastAsia="仿宋_GB2312" w:cs="仿宋"/>
          <w:color w:val="000000"/>
          <w:kern w:val="2"/>
          <w:sz w:val="32"/>
          <w:szCs w:val="32"/>
        </w:rPr>
      </w:pPr>
      <w:r>
        <w:rPr>
          <w:rFonts w:hint="eastAsia" w:ascii="楷体_GB2312" w:hAnsi="仿宋" w:eastAsia="楷体_GB2312" w:cs="仿宋"/>
          <w:b/>
          <w:color w:val="000000"/>
          <w:kern w:val="2"/>
          <w:sz w:val="32"/>
          <w:szCs w:val="32"/>
        </w:rPr>
        <w:t>（八）加快推进信息化工作，</w:t>
      </w:r>
      <w:r>
        <w:rPr>
          <w:rFonts w:hint="eastAsia" w:ascii="楷体_GB2312" w:hAnsi="仿宋" w:eastAsia="楷体_GB2312" w:cs="仿宋"/>
          <w:b/>
          <w:kern w:val="2"/>
          <w:sz w:val="32"/>
          <w:szCs w:val="32"/>
        </w:rPr>
        <w:t>实施智慧健康服务拓展工程。</w:t>
      </w:r>
      <w:r>
        <w:rPr>
          <w:rFonts w:hint="eastAsia" w:ascii="仿宋_GB2312" w:hAnsi="仿宋" w:eastAsia="仿宋_GB2312" w:cs="仿宋"/>
          <w:b/>
          <w:color w:val="000000"/>
          <w:kern w:val="2"/>
          <w:sz w:val="32"/>
          <w:szCs w:val="32"/>
        </w:rPr>
        <w:t>一是完善平台基础。</w:t>
      </w:r>
      <w:r>
        <w:rPr>
          <w:rFonts w:hint="eastAsia" w:ascii="仿宋_GB2312" w:hAnsi="仿宋" w:eastAsia="仿宋_GB2312" w:cs="仿宋"/>
          <w:color w:val="000000"/>
          <w:kern w:val="2"/>
          <w:sz w:val="32"/>
          <w:szCs w:val="32"/>
        </w:rPr>
        <w:t>建立健全市、县（区）两级人口健康信息平台以及电子健康档案、电子病历、全员人口信息、卫生计生资源四个基础数据库，为跨县区、跨机构的健康信息共享协同和面向居民的智慧健康服务提供支撑。加快建成统一、高速、稳定的湖州健康信息专网。</w:t>
      </w:r>
      <w:r>
        <w:rPr>
          <w:rFonts w:hint="eastAsia" w:ascii="仿宋_GB2312" w:hAnsi="仿宋" w:eastAsia="仿宋_GB2312" w:cs="仿宋"/>
          <w:b/>
          <w:color w:val="000000"/>
          <w:kern w:val="2"/>
          <w:sz w:val="32"/>
          <w:szCs w:val="32"/>
        </w:rPr>
        <w:t>二是强化数据应用。</w:t>
      </w:r>
      <w:r>
        <w:rPr>
          <w:rFonts w:hint="eastAsia" w:ascii="仿宋_GB2312" w:hAnsi="仿宋" w:eastAsia="仿宋_GB2312" w:cs="仿宋"/>
          <w:color w:val="000000"/>
          <w:kern w:val="2"/>
          <w:sz w:val="32"/>
          <w:szCs w:val="32"/>
        </w:rPr>
        <w:t>以四个数据库为基础，运用“互联网</w:t>
      </w:r>
      <w:r>
        <w:rPr>
          <w:rFonts w:ascii="仿宋_GB2312" w:hAnsi="仿宋" w:eastAsia="仿宋_GB2312" w:cs="仿宋"/>
          <w:color w:val="000000"/>
          <w:kern w:val="2"/>
          <w:sz w:val="32"/>
          <w:szCs w:val="32"/>
        </w:rPr>
        <w:t>+</w:t>
      </w:r>
      <w:r>
        <w:rPr>
          <w:rFonts w:hint="eastAsia" w:ascii="仿宋_GB2312" w:hAnsi="仿宋" w:eastAsia="仿宋_GB2312" w:cs="仿宋"/>
          <w:color w:val="000000"/>
          <w:kern w:val="2"/>
          <w:sz w:val="32"/>
          <w:szCs w:val="32"/>
        </w:rPr>
        <w:t>”技术，完善“健康湖州”服务门户建设，探索居民健康管理新模式。推进人口健康信息与婚姻、医保和养老等信息进行交换共享，提高管理和服务效率。注重健康信息分析运用，发挥大数据对健康管理、分级诊疗、预约诊疗、远程医疗、精准医疗等工作的支撑和服务作用。</w:t>
      </w:r>
      <w:r>
        <w:rPr>
          <w:rFonts w:hint="eastAsia" w:ascii="仿宋_GB2312" w:hAnsi="仿宋" w:eastAsia="仿宋_GB2312" w:cs="仿宋"/>
          <w:b/>
          <w:color w:val="000000"/>
          <w:kern w:val="2"/>
          <w:sz w:val="32"/>
          <w:szCs w:val="32"/>
        </w:rPr>
        <w:t>三是注重业务协同。</w:t>
      </w:r>
      <w:r>
        <w:rPr>
          <w:rFonts w:hint="eastAsia" w:ascii="仿宋_GB2312" w:hAnsi="仿宋" w:eastAsia="仿宋_GB2312" w:cs="仿宋"/>
          <w:color w:val="000000"/>
          <w:kern w:val="2"/>
          <w:sz w:val="32"/>
          <w:szCs w:val="32"/>
        </w:rPr>
        <w:t>推进“智慧医院”建计划生育设，利用信息化手段优化医院诊治和费用结算等业务流程，改善患者就医体验。加强公共卫生、医疗服务、药械管理、、综合管理等业务信息系统的共享协同。运用云计算、移动互联和物联网等新信息技术拓展智慧健康服务领域和服务内涵。鼓励引进智能健康医学装备，为居民提供个性化健康管理信息服务。</w:t>
      </w:r>
      <w:r>
        <w:rPr>
          <w:rFonts w:hint="eastAsia" w:ascii="仿宋_GB2312" w:hAnsi="仿宋" w:eastAsia="仿宋_GB2312" w:cs="仿宋"/>
          <w:b/>
          <w:color w:val="000000"/>
          <w:kern w:val="2"/>
          <w:sz w:val="32"/>
          <w:szCs w:val="32"/>
        </w:rPr>
        <w:t>四是加强信息安全。</w:t>
      </w:r>
      <w:r>
        <w:rPr>
          <w:rFonts w:hint="eastAsia" w:ascii="仿宋_GB2312" w:hAnsi="仿宋" w:eastAsia="仿宋_GB2312" w:cs="仿宋"/>
          <w:color w:val="000000"/>
          <w:kern w:val="2"/>
          <w:sz w:val="32"/>
          <w:szCs w:val="32"/>
        </w:rPr>
        <w:t>推进信息安全等级保护工作，强化信息系统安全保障。健全信息安全应急处置预案，强化信息安全监管和培训，推广数字证书的实际应用，逐步实现电子签名在人口健康信息化中的广泛应用。</w:t>
      </w:r>
    </w:p>
    <w:bookmarkEnd w:id="1"/>
    <w:bookmarkEnd w:id="2"/>
    <w:p>
      <w:pPr>
        <w:spacing w:line="540" w:lineRule="exact"/>
        <w:ind w:firstLine="629" w:firstLineChars="196"/>
        <w:rPr>
          <w:rFonts w:ascii="仿宋_GB2312" w:hAnsi="仿宋" w:eastAsia="仿宋_GB2312" w:cs="仿宋"/>
          <w:color w:val="000000"/>
          <w:kern w:val="2"/>
          <w:sz w:val="32"/>
          <w:szCs w:val="32"/>
        </w:rPr>
      </w:pPr>
      <w:r>
        <w:rPr>
          <w:rFonts w:hint="eastAsia" w:ascii="楷体_GB2312" w:hAnsi="仿宋" w:eastAsia="楷体_GB2312" w:cs="仿宋"/>
          <w:b/>
          <w:color w:val="000000"/>
          <w:kern w:val="2"/>
          <w:sz w:val="32"/>
          <w:szCs w:val="32"/>
        </w:rPr>
        <w:t>（九）提升全行业管理水平，实施依法治理强化工程。</w:t>
      </w:r>
      <w:r>
        <w:rPr>
          <w:rFonts w:hint="eastAsia" w:ascii="仿宋_GB2312" w:hAnsi="仿宋" w:eastAsia="仿宋_GB2312" w:cs="仿宋"/>
          <w:b/>
          <w:color w:val="000000"/>
          <w:kern w:val="2"/>
          <w:sz w:val="32"/>
          <w:szCs w:val="32"/>
        </w:rPr>
        <w:t>一是全面推进依法行政。</w:t>
      </w:r>
      <w:r>
        <w:rPr>
          <w:rFonts w:hint="eastAsia" w:ascii="仿宋_GB2312" w:hAnsi="仿宋" w:eastAsia="仿宋_GB2312" w:cs="仿宋"/>
          <w:color w:val="000000"/>
          <w:kern w:val="2"/>
          <w:sz w:val="32"/>
          <w:szCs w:val="32"/>
        </w:rPr>
        <w:t>制定系统“十三五”普法规划。深入开展卫生计生法治宣传教育，提高岗位管理和执法人员的依法行政意识和业务工作能力。严格执行行政权力清单和责任清单。健全依法决策机制，提升行政决策的科学性和规范性。深化行政审批制度改革，推进县区“两集中、两到位”改革，实现卫生计生行政审批公开、透明、高效、便捷。按照简政放权要求，适时下放审批项目。</w:t>
      </w:r>
      <w:r>
        <w:rPr>
          <w:rFonts w:hint="eastAsia" w:ascii="仿宋_GB2312" w:hAnsi="仿宋" w:eastAsia="仿宋_GB2312" w:cs="仿宋"/>
          <w:b/>
          <w:color w:val="000000"/>
          <w:kern w:val="2"/>
          <w:sz w:val="32"/>
          <w:szCs w:val="32"/>
        </w:rPr>
        <w:t>二是加强综合监督执法。</w:t>
      </w:r>
      <w:r>
        <w:rPr>
          <w:rFonts w:hint="eastAsia" w:ascii="仿宋_GB2312" w:hAnsi="仿宋" w:eastAsia="仿宋_GB2312" w:cs="仿宋"/>
          <w:color w:val="000000"/>
          <w:kern w:val="2"/>
          <w:sz w:val="32"/>
          <w:szCs w:val="32"/>
        </w:rPr>
        <w:t>推进集公共卫生、医疗服务和计划生育等于一体的综合执法，构建“全面覆盖、分级管理、层层履职、责任到人”的网格化监督体系。建立监督快速实验室，加强现场快速检测设备配备。依法依规开展非法行医、公共场所卫生、学校卫生、饮用水卫生等监督执法，依法查处“两非”案件和违法生育行为。</w:t>
      </w:r>
      <w:r>
        <w:rPr>
          <w:rFonts w:hint="eastAsia" w:ascii="仿宋_GB2312" w:hAnsi="仿宋" w:eastAsia="仿宋_GB2312" w:cs="仿宋"/>
          <w:b/>
          <w:color w:val="000000"/>
          <w:kern w:val="2"/>
          <w:sz w:val="32"/>
          <w:szCs w:val="32"/>
        </w:rPr>
        <w:t>三是强化行业管理。</w:t>
      </w:r>
      <w:r>
        <w:rPr>
          <w:rFonts w:hint="eastAsia" w:ascii="仿宋_GB2312" w:hAnsi="仿宋" w:eastAsia="仿宋_GB2312" w:cs="仿宋"/>
          <w:color w:val="000000"/>
          <w:kern w:val="2"/>
          <w:sz w:val="32"/>
          <w:szCs w:val="32"/>
        </w:rPr>
        <w:t>加强对医疗服务监管，规范医疗机构设置和人员准入管理，建立医疗机构开办评审评价体系，支持有条件的养老机构开展医疗服务。完善医疗质量控制评价体系，大力推行临床路径，提升医疗质量管理水平。强化对医务人员执业行为的监管，完善医务人员评价制度，遏制不合理医疗行为。推动医疗机构信息公开，主动接受社会监督。发挥社会组织活力，逐步将项目评审、执业评价等职能委托或移交给社会组织办理。推进志愿者服务工作向专业化和社会化发展。</w:t>
      </w:r>
    </w:p>
    <w:p>
      <w:pPr>
        <w:pBdr>
          <w:bottom w:val="single" w:color="FFFFFF" w:sz="4" w:space="31"/>
        </w:pBdr>
        <w:tabs>
          <w:tab w:val="left" w:pos="1440"/>
        </w:tabs>
        <w:spacing w:line="540" w:lineRule="exact"/>
        <w:ind w:firstLine="642" w:firstLineChars="200"/>
        <w:rPr>
          <w:rFonts w:ascii="仿宋_GB2312" w:hAnsi="仿宋" w:eastAsia="仿宋_GB2312" w:cs="仿宋_GB2312"/>
          <w:color w:val="000000"/>
          <w:kern w:val="2"/>
          <w:sz w:val="32"/>
          <w:szCs w:val="32"/>
          <w:shd w:val="clear" w:color="auto" w:fill="FFFFFF"/>
        </w:rPr>
      </w:pPr>
      <w:r>
        <w:rPr>
          <w:rFonts w:hint="eastAsia" w:ascii="楷体_GB2312" w:hAnsi="仿宋" w:eastAsia="楷体_GB2312" w:cs="仿宋"/>
          <w:b/>
          <w:color w:val="000000"/>
          <w:kern w:val="2"/>
          <w:sz w:val="32"/>
          <w:szCs w:val="32"/>
        </w:rPr>
        <w:t>（十）坚持全面从严治党，实施党的建设凝聚力工程。</w:t>
      </w:r>
      <w:r>
        <w:rPr>
          <w:rFonts w:hint="eastAsia" w:ascii="仿宋_GB2312" w:hAnsi="仿宋" w:eastAsia="仿宋_GB2312" w:cs="仿宋"/>
          <w:b/>
          <w:color w:val="000000"/>
          <w:kern w:val="2"/>
          <w:sz w:val="32"/>
          <w:szCs w:val="32"/>
        </w:rPr>
        <w:t>一是切实加强基层组织建设。</w:t>
      </w:r>
      <w:r>
        <w:rPr>
          <w:rFonts w:hint="eastAsia" w:ascii="仿宋_GB2312" w:hAnsi="仿宋" w:eastAsia="仿宋_GB2312" w:cs="仿宋_GB2312"/>
          <w:color w:val="000000"/>
          <w:kern w:val="2"/>
          <w:sz w:val="32"/>
          <w:szCs w:val="32"/>
          <w:shd w:val="clear" w:color="auto" w:fill="FFFFFF"/>
        </w:rPr>
        <w:t>全面落实党要管党、从严治党的要求</w:t>
      </w:r>
      <w:r>
        <w:rPr>
          <w:rFonts w:hint="eastAsia" w:ascii="仿宋_GB2312" w:hAnsi="仿宋" w:eastAsia="仿宋_GB2312" w:cs="仿宋_GB2312"/>
          <w:kern w:val="2"/>
          <w:sz w:val="32"/>
          <w:szCs w:val="32"/>
          <w:shd w:val="clear" w:color="auto" w:fill="FFFFFF"/>
        </w:rPr>
        <w:t>，扎实推进“基层党组织示范点”创建，着力增强基层党组织的凝聚力和战斗力。</w:t>
      </w:r>
      <w:r>
        <w:rPr>
          <w:rFonts w:hint="eastAsia" w:ascii="仿宋_GB2312" w:hAnsi="仿宋" w:eastAsia="仿宋_GB2312" w:cs="仿宋_GB2312"/>
          <w:color w:val="000000"/>
          <w:kern w:val="2"/>
          <w:sz w:val="32"/>
          <w:szCs w:val="32"/>
          <w:shd w:val="clear" w:color="auto" w:fill="FFFFFF"/>
        </w:rPr>
        <w:t>认真开展</w:t>
      </w:r>
      <w:r>
        <w:rPr>
          <w:rFonts w:hint="eastAsia" w:ascii="仿宋_GB2312" w:eastAsia="仿宋_GB2312"/>
          <w:color w:val="000000"/>
          <w:kern w:val="2"/>
          <w:sz w:val="32"/>
          <w:szCs w:val="32"/>
        </w:rPr>
        <w:t>年度主题教育活动</w:t>
      </w:r>
      <w:r>
        <w:rPr>
          <w:rFonts w:hint="eastAsia" w:ascii="仿宋_GB2312" w:hAnsi="仿宋" w:eastAsia="仿宋_GB2312" w:cs="仿宋_GB2312"/>
          <w:color w:val="000000"/>
          <w:kern w:val="2"/>
          <w:sz w:val="32"/>
          <w:szCs w:val="32"/>
          <w:shd w:val="clear" w:color="auto" w:fill="FFFFFF"/>
        </w:rPr>
        <w:t>，提升党员干部的政治意识、大局意识、核心意识和看齐意识，发挥</w:t>
      </w:r>
      <w:r>
        <w:rPr>
          <w:rFonts w:hint="eastAsia" w:ascii="仿宋_GB2312" w:hAnsi="仿宋" w:eastAsia="仿宋_GB2312" w:cs="仿宋_GB2312"/>
          <w:kern w:val="2"/>
          <w:sz w:val="32"/>
          <w:szCs w:val="32"/>
          <w:shd w:val="clear" w:color="auto" w:fill="FFFFFF"/>
        </w:rPr>
        <w:t>党员干部的先锋模范和示范引领作用</w:t>
      </w:r>
      <w:r>
        <w:rPr>
          <w:rFonts w:hint="eastAsia" w:ascii="仿宋_GB2312" w:hAnsi="仿宋" w:eastAsia="仿宋_GB2312" w:cs="仿宋_GB2312"/>
          <w:color w:val="000000"/>
          <w:kern w:val="2"/>
          <w:sz w:val="32"/>
          <w:szCs w:val="32"/>
          <w:shd w:val="clear" w:color="auto" w:fill="FFFFFF"/>
        </w:rPr>
        <w:t>。选优配强基层党组织领导班子，按照“湖州好干部示范引领标准”加强干部队伍建设。</w:t>
      </w:r>
      <w:r>
        <w:rPr>
          <w:rFonts w:hint="eastAsia" w:ascii="仿宋_GB2312" w:hAnsi="仿宋" w:eastAsia="仿宋_GB2312" w:cs="仿宋_GB2312"/>
          <w:kern w:val="2"/>
          <w:sz w:val="32"/>
          <w:szCs w:val="32"/>
          <w:shd w:val="clear" w:color="auto" w:fill="FFFFFF"/>
        </w:rPr>
        <w:t>统筹推进统战、群团、宣传、精神文明等工作。</w:t>
      </w:r>
      <w:r>
        <w:rPr>
          <w:rFonts w:hint="eastAsia" w:ascii="仿宋_GB2312" w:hAnsi="仿宋" w:eastAsia="仿宋_GB2312" w:cs="仿宋"/>
          <w:b/>
          <w:color w:val="000000"/>
          <w:kern w:val="2"/>
          <w:sz w:val="32"/>
          <w:szCs w:val="32"/>
        </w:rPr>
        <w:t>二是严格落实“两个责任”。</w:t>
      </w:r>
      <w:r>
        <w:rPr>
          <w:rFonts w:hint="eastAsia" w:ascii="仿宋_GB2312" w:eastAsia="仿宋_GB2312"/>
          <w:kern w:val="2"/>
          <w:sz w:val="32"/>
          <w:szCs w:val="32"/>
        </w:rPr>
        <w:t>全面加强党风廉政建设，层层落实主体责任和“一岗双责”，严格执行“三重一大”集体决策、主要领导“五不直接分管”、重大事项报告、重要岗位定期轮岗等制度，推进党风廉政建设常态化和长效化。完善惩防体系和</w:t>
      </w:r>
      <w:r>
        <w:rPr>
          <w:rFonts w:hint="eastAsia" w:ascii="仿宋_GB2312" w:hAnsi="仿宋" w:eastAsia="仿宋_GB2312" w:cs="仿宋_GB2312"/>
          <w:kern w:val="2"/>
          <w:sz w:val="32"/>
          <w:szCs w:val="32"/>
          <w:shd w:val="clear" w:color="auto" w:fill="FFFFFF"/>
        </w:rPr>
        <w:t>阳光工程建设，</w:t>
      </w:r>
      <w:r>
        <w:rPr>
          <w:rFonts w:hint="eastAsia" w:ascii="仿宋_GB2312" w:eastAsia="仿宋_GB2312"/>
          <w:kern w:val="2"/>
          <w:sz w:val="32"/>
          <w:szCs w:val="32"/>
        </w:rPr>
        <w:t>加强对系统内重点领域、重点环节和重点人员监管和党风廉政的宣传教育。加大纪检监察工作力度，强化监督、执纪和问责职能，切实把纪律和规矩挺在法律前面。</w:t>
      </w:r>
      <w:r>
        <w:rPr>
          <w:rFonts w:hint="eastAsia" w:ascii="仿宋_GB2312" w:hAnsi="仿宋" w:eastAsia="仿宋_GB2312" w:cs="仿宋"/>
          <w:b/>
          <w:color w:val="000000"/>
          <w:kern w:val="2"/>
          <w:sz w:val="32"/>
          <w:szCs w:val="32"/>
        </w:rPr>
        <w:t>三是狠抓行业作风建设。</w:t>
      </w:r>
      <w:r>
        <w:rPr>
          <w:rFonts w:hint="eastAsia" w:ascii="仿宋_GB2312" w:hAnsi="仿宋" w:eastAsia="仿宋_GB2312" w:cs="仿宋_GB2312"/>
          <w:kern w:val="2"/>
          <w:sz w:val="32"/>
          <w:szCs w:val="32"/>
          <w:shd w:val="clear" w:color="auto" w:fill="FFFFFF"/>
        </w:rPr>
        <w:t>按照“管行业必须管行风”的要求，深入开展主题教育活动，切实转变工作作风，创新服务模式，改进服务环境，提升群众满意度。加强医务人员医德医风教育，严厉查处</w:t>
      </w:r>
      <w:r>
        <w:rPr>
          <w:rFonts w:hint="eastAsia" w:ascii="仿宋_GB2312" w:hAnsi="仿宋" w:eastAsia="仿宋_GB2312" w:cs="仿宋_GB2312"/>
          <w:color w:val="000000"/>
          <w:kern w:val="2"/>
          <w:sz w:val="32"/>
          <w:szCs w:val="32"/>
          <w:shd w:val="clear" w:color="auto" w:fill="FFFFFF"/>
        </w:rPr>
        <w:t>医药购销领域商业贿赂行为</w:t>
      </w:r>
      <w:r>
        <w:rPr>
          <w:rFonts w:hint="eastAsia" w:ascii="仿宋_GB2312" w:hAnsi="仿宋" w:eastAsia="仿宋_GB2312" w:cs="仿宋_GB2312"/>
          <w:kern w:val="2"/>
          <w:sz w:val="32"/>
          <w:szCs w:val="32"/>
          <w:shd w:val="clear" w:color="auto" w:fill="FFFFFF"/>
        </w:rPr>
        <w:t>，遏制行业不正之风</w:t>
      </w:r>
      <w:r>
        <w:rPr>
          <w:rFonts w:hint="eastAsia" w:ascii="仿宋_GB2312" w:hAnsi="仿宋" w:eastAsia="仿宋_GB2312" w:cs="仿宋_GB2312"/>
          <w:color w:val="000000"/>
          <w:kern w:val="2"/>
          <w:sz w:val="32"/>
          <w:szCs w:val="32"/>
          <w:shd w:val="clear" w:color="auto" w:fill="FFFFFF"/>
        </w:rPr>
        <w:t>。广泛宣传典型人物和先进事迹，大力弘扬救死扶伤的职业精神，切实提升卫生计生行业的良好形象。</w:t>
      </w:r>
    </w:p>
    <w:p>
      <w:pPr>
        <w:pBdr>
          <w:bottom w:val="single" w:color="FFFFFF" w:sz="4" w:space="31"/>
        </w:pBdr>
        <w:tabs>
          <w:tab w:val="left" w:pos="1440"/>
        </w:tabs>
        <w:spacing w:line="540" w:lineRule="exact"/>
        <w:ind w:firstLine="640" w:firstLineChars="200"/>
        <w:rPr>
          <w:rFonts w:ascii="黑体" w:hAnsi="仿宋" w:eastAsia="黑体" w:cs="仿宋"/>
          <w:color w:val="000000"/>
          <w:kern w:val="2"/>
          <w:sz w:val="32"/>
          <w:szCs w:val="32"/>
        </w:rPr>
      </w:pPr>
      <w:r>
        <w:rPr>
          <w:rFonts w:hint="eastAsia" w:ascii="黑体" w:hAnsi="仿宋" w:eastAsia="黑体" w:cs="仿宋"/>
          <w:kern w:val="2"/>
          <w:sz w:val="32"/>
          <w:szCs w:val="32"/>
        </w:rPr>
        <w:t>四、</w:t>
      </w:r>
      <w:r>
        <w:rPr>
          <w:rFonts w:hint="eastAsia" w:ascii="黑体" w:hAnsi="仿宋" w:eastAsia="黑体" w:cs="仿宋"/>
          <w:color w:val="000000"/>
          <w:kern w:val="2"/>
          <w:sz w:val="32"/>
          <w:szCs w:val="32"/>
        </w:rPr>
        <w:t>保障措施</w:t>
      </w:r>
    </w:p>
    <w:p>
      <w:pPr>
        <w:pBdr>
          <w:bottom w:val="single" w:color="FFFFFF" w:sz="4" w:space="31"/>
        </w:pBdr>
        <w:tabs>
          <w:tab w:val="left" w:pos="1440"/>
        </w:tabs>
        <w:spacing w:line="540" w:lineRule="exact"/>
        <w:ind w:firstLine="642" w:firstLineChars="200"/>
        <w:rPr>
          <w:rFonts w:ascii="仿宋_GB2312" w:hAnsi="仿宋" w:eastAsia="仿宋_GB2312" w:cs="仿宋"/>
          <w:color w:val="000000"/>
          <w:kern w:val="2"/>
          <w:sz w:val="32"/>
          <w:szCs w:val="32"/>
        </w:rPr>
      </w:pPr>
      <w:r>
        <w:rPr>
          <w:rFonts w:hint="eastAsia" w:ascii="楷体_GB2312" w:hAnsi="仿宋" w:eastAsia="楷体_GB2312" w:cs="仿宋"/>
          <w:b/>
          <w:color w:val="000000"/>
          <w:kern w:val="2"/>
          <w:sz w:val="32"/>
          <w:szCs w:val="32"/>
        </w:rPr>
        <w:t>（一）加强组织领导。</w:t>
      </w:r>
      <w:r>
        <w:rPr>
          <w:rFonts w:hint="eastAsia" w:ascii="仿宋_GB2312" w:hAnsi="仿宋" w:eastAsia="仿宋_GB2312" w:cs="仿宋"/>
          <w:color w:val="000000"/>
          <w:kern w:val="2"/>
          <w:sz w:val="32"/>
          <w:szCs w:val="32"/>
        </w:rPr>
        <w:t>卫生计生事业发展对我市在“十三五”期末高水平全面建成小康社会、促进经济社会可持续发展、实现“一市五区”的战略目标具有重要意义和作用，各级政府必须统一思想，提高认识，加强领导，科学部署，精心组织规划的实施，不断促进我市卫生计生事业健康发展。</w:t>
      </w:r>
    </w:p>
    <w:p>
      <w:pPr>
        <w:pBdr>
          <w:bottom w:val="single" w:color="FFFFFF" w:sz="4" w:space="31"/>
        </w:pBdr>
        <w:tabs>
          <w:tab w:val="left" w:pos="1440"/>
        </w:tabs>
        <w:spacing w:line="540" w:lineRule="exact"/>
        <w:ind w:firstLine="642" w:firstLineChars="200"/>
        <w:rPr>
          <w:rFonts w:ascii="仿宋_GB2312" w:hAnsi="仿宋" w:eastAsia="仿宋_GB2312" w:cs="仿宋"/>
          <w:color w:val="000000"/>
          <w:kern w:val="2"/>
          <w:sz w:val="32"/>
          <w:szCs w:val="32"/>
        </w:rPr>
      </w:pPr>
      <w:r>
        <w:rPr>
          <w:rFonts w:hint="eastAsia" w:ascii="楷体_GB2312" w:hAnsi="仿宋" w:eastAsia="楷体_GB2312" w:cs="仿宋"/>
          <w:b/>
          <w:color w:val="000000"/>
          <w:kern w:val="2"/>
          <w:sz w:val="32"/>
          <w:szCs w:val="32"/>
        </w:rPr>
        <w:t>（二）加大投入力度。</w:t>
      </w:r>
      <w:r>
        <w:rPr>
          <w:rFonts w:hint="eastAsia" w:ascii="仿宋_GB2312" w:hAnsi="仿宋" w:eastAsia="仿宋_GB2312" w:cs="仿宋"/>
          <w:color w:val="000000"/>
          <w:kern w:val="2"/>
          <w:sz w:val="32"/>
          <w:szCs w:val="32"/>
        </w:rPr>
        <w:t>完善政府主导的多元卫生筹资机制，强化政府投入责任，拓展筹资渠道，积极引导社会资本参与健康服务产业建设。“十三五”期间，政府卫生计生投入增长幅度要高</w:t>
      </w:r>
      <w:r>
        <w:rPr>
          <w:rFonts w:hint="eastAsia" w:ascii="仿宋_GB2312" w:hAnsi="仿宋" w:eastAsia="仿宋_GB2312" w:cs="仿宋"/>
          <w:kern w:val="2"/>
          <w:sz w:val="32"/>
          <w:szCs w:val="32"/>
        </w:rPr>
        <w:t>于经常性财政支出的增长幅度，政府卫生计</w:t>
      </w:r>
      <w:r>
        <w:rPr>
          <w:rFonts w:hint="eastAsia" w:ascii="仿宋_GB2312" w:hAnsi="仿宋" w:eastAsia="仿宋_GB2312" w:cs="仿宋"/>
          <w:color w:val="000000"/>
          <w:kern w:val="2"/>
          <w:sz w:val="32"/>
          <w:szCs w:val="32"/>
        </w:rPr>
        <w:t>生投入占经常性财政支出比重逐步提高，居民个人现金卫生支出占卫生总费用比例</w:t>
      </w:r>
      <w:r>
        <w:rPr>
          <w:rFonts w:hint="eastAsia" w:ascii="仿宋_GB2312" w:hAnsi="仿宋" w:eastAsia="仿宋_GB2312" w:cs="仿宋"/>
          <w:kern w:val="2"/>
          <w:sz w:val="32"/>
          <w:szCs w:val="32"/>
        </w:rPr>
        <w:t>不高于</w:t>
      </w:r>
      <w:r>
        <w:rPr>
          <w:rFonts w:ascii="仿宋_GB2312" w:hAnsi="仿宋" w:eastAsia="仿宋_GB2312" w:cs="仿宋"/>
          <w:color w:val="000000"/>
          <w:kern w:val="2"/>
          <w:sz w:val="32"/>
          <w:szCs w:val="32"/>
        </w:rPr>
        <w:t>30%</w:t>
      </w:r>
      <w:r>
        <w:rPr>
          <w:rFonts w:hint="eastAsia" w:ascii="仿宋_GB2312" w:hAnsi="仿宋" w:eastAsia="仿宋_GB2312" w:cs="仿宋"/>
          <w:color w:val="000000"/>
          <w:kern w:val="2"/>
          <w:sz w:val="32"/>
          <w:szCs w:val="32"/>
        </w:rPr>
        <w:t>。</w:t>
      </w:r>
    </w:p>
    <w:p>
      <w:pPr>
        <w:pBdr>
          <w:bottom w:val="single" w:color="FFFFFF" w:sz="4" w:space="31"/>
        </w:pBdr>
        <w:tabs>
          <w:tab w:val="left" w:pos="1440"/>
        </w:tabs>
        <w:spacing w:line="560" w:lineRule="exact"/>
        <w:ind w:firstLine="642" w:firstLineChars="200"/>
        <w:rPr>
          <w:rFonts w:ascii="仿宋_GB2312" w:hAnsi="仿宋" w:eastAsia="仿宋_GB2312" w:cs="仿宋"/>
          <w:color w:val="000000"/>
          <w:kern w:val="2"/>
          <w:sz w:val="32"/>
          <w:szCs w:val="32"/>
        </w:rPr>
      </w:pPr>
      <w:r>
        <w:rPr>
          <w:rFonts w:hint="eastAsia" w:ascii="楷体_GB2312" w:hAnsi="仿宋" w:eastAsia="楷体_GB2312" w:cs="仿宋"/>
          <w:b/>
          <w:color w:val="000000"/>
          <w:kern w:val="2"/>
          <w:sz w:val="32"/>
          <w:szCs w:val="32"/>
        </w:rPr>
        <w:t>（三）完善工作机制。</w:t>
      </w:r>
      <w:r>
        <w:rPr>
          <w:rFonts w:hint="eastAsia" w:ascii="仿宋_GB2312" w:hAnsi="仿宋" w:eastAsia="仿宋_GB2312" w:cs="仿宋"/>
          <w:color w:val="000000"/>
          <w:kern w:val="2"/>
          <w:sz w:val="32"/>
          <w:szCs w:val="32"/>
        </w:rPr>
        <w:t>树立规划的指导性、权威性和严肃性，完善分工协作机制。坚持以“规划带项目，项目带资金”，确保规划的顺利实施和有序推进。建立督查督办制度，将重要工作和重点指标分解至各县区、责任单位，推动规划有效落实。建立科学的评估制度，定期对规划的实施进行阶段性评估，及时调整完善配套政策措施，确保各项规划目标的全面实现。</w:t>
      </w:r>
    </w:p>
    <w:p>
      <w:pPr>
        <w:pBdr>
          <w:bottom w:val="single" w:color="FFFFFF" w:sz="4" w:space="31"/>
        </w:pBdr>
        <w:tabs>
          <w:tab w:val="left" w:pos="1440"/>
        </w:tabs>
        <w:spacing w:line="560" w:lineRule="exact"/>
        <w:ind w:firstLine="640" w:firstLineChars="200"/>
        <w:rPr>
          <w:rFonts w:ascii="仿宋_GB2312" w:hAnsi="仿宋" w:eastAsia="仿宋_GB2312" w:cs="仿宋"/>
          <w:color w:val="000000"/>
          <w:kern w:val="2"/>
          <w:sz w:val="32"/>
          <w:szCs w:val="32"/>
        </w:rPr>
      </w:pPr>
    </w:p>
    <w:p>
      <w:pPr>
        <w:pBdr>
          <w:bottom w:val="single" w:color="FFFFFF" w:sz="4" w:space="31"/>
        </w:pBdr>
        <w:tabs>
          <w:tab w:val="left" w:pos="1440"/>
        </w:tabs>
        <w:spacing w:line="560" w:lineRule="exact"/>
        <w:ind w:firstLine="640" w:firstLineChars="200"/>
        <w:rPr>
          <w:rFonts w:ascii="仿宋_GB2312" w:hAnsi="仿宋" w:eastAsia="仿宋_GB2312" w:cs="仿宋"/>
          <w:color w:val="000000"/>
          <w:spacing w:val="-6"/>
          <w:kern w:val="2"/>
          <w:sz w:val="32"/>
          <w:szCs w:val="32"/>
        </w:rPr>
      </w:pPr>
      <w:r>
        <w:rPr>
          <w:rFonts w:hint="eastAsia" w:ascii="仿宋_GB2312" w:hAnsi="仿宋" w:eastAsia="仿宋_GB2312" w:cs="仿宋"/>
          <w:color w:val="000000"/>
          <w:kern w:val="2"/>
          <w:sz w:val="32"/>
          <w:szCs w:val="32"/>
        </w:rPr>
        <w:t>附表：</w:t>
      </w:r>
      <w:r>
        <w:rPr>
          <w:rFonts w:ascii="仿宋_GB2312" w:hAnsi="仿宋" w:eastAsia="仿宋_GB2312" w:cs="仿宋"/>
          <w:color w:val="000000"/>
          <w:spacing w:val="-6"/>
          <w:kern w:val="2"/>
          <w:sz w:val="32"/>
          <w:szCs w:val="32"/>
        </w:rPr>
        <w:t>1.</w:t>
      </w:r>
      <w:r>
        <w:rPr>
          <w:rFonts w:hint="eastAsia" w:ascii="仿宋_GB2312" w:hAnsi="仿宋" w:eastAsia="仿宋_GB2312" w:cs="仿宋"/>
          <w:color w:val="000000"/>
          <w:spacing w:val="-6"/>
          <w:kern w:val="2"/>
          <w:sz w:val="32"/>
          <w:szCs w:val="32"/>
        </w:rPr>
        <w:t>湖州市卫生计生事业发展“十三五”规划指标体系</w:t>
      </w:r>
    </w:p>
    <w:p>
      <w:pPr>
        <w:pBdr>
          <w:bottom w:val="single" w:color="FFFFFF" w:sz="4" w:space="31"/>
        </w:pBdr>
        <w:tabs>
          <w:tab w:val="left" w:pos="1440"/>
        </w:tabs>
        <w:spacing w:line="560" w:lineRule="exact"/>
        <w:ind w:firstLine="640" w:firstLineChars="200"/>
        <w:rPr>
          <w:rFonts w:ascii="仿宋_GB2312" w:hAnsi="仿宋" w:eastAsia="仿宋_GB2312" w:cs="仿宋"/>
          <w:color w:val="000000"/>
          <w:kern w:val="2"/>
          <w:sz w:val="32"/>
          <w:szCs w:val="32"/>
        </w:rPr>
      </w:pPr>
      <w:r>
        <w:rPr>
          <w:rFonts w:ascii="仿宋_GB2312" w:hAnsi="仿宋" w:eastAsia="仿宋_GB2312" w:cs="仿宋"/>
          <w:color w:val="000000"/>
          <w:kern w:val="2"/>
          <w:sz w:val="32"/>
          <w:szCs w:val="32"/>
        </w:rPr>
        <w:t xml:space="preserve">      2.</w:t>
      </w:r>
      <w:r>
        <w:rPr>
          <w:rFonts w:hint="eastAsia" w:ascii="仿宋_GB2312" w:hAnsi="仿宋" w:eastAsia="仿宋_GB2312" w:cs="仿宋"/>
          <w:color w:val="000000"/>
          <w:kern w:val="2"/>
          <w:sz w:val="32"/>
          <w:szCs w:val="32"/>
        </w:rPr>
        <w:t>湖州市“十三五”卫生计生事业发展规划重大基</w:t>
      </w:r>
    </w:p>
    <w:p>
      <w:pPr>
        <w:pBdr>
          <w:bottom w:val="single" w:color="FFFFFF" w:sz="4" w:space="31"/>
        </w:pBdr>
        <w:tabs>
          <w:tab w:val="left" w:pos="1440"/>
        </w:tabs>
        <w:spacing w:line="560" w:lineRule="exact"/>
        <w:ind w:firstLine="1920" w:firstLineChars="600"/>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本建设项目表</w:t>
      </w:r>
    </w:p>
    <w:p>
      <w:pPr>
        <w:jc w:val="center"/>
        <w:rPr>
          <w:rFonts w:ascii="方正小标宋简体" w:hAnsi="黑体" w:eastAsia="方正小标宋简体"/>
          <w:kern w:val="2"/>
          <w:sz w:val="32"/>
          <w:szCs w:val="32"/>
        </w:rPr>
      </w:pPr>
    </w:p>
    <w:p>
      <w:pPr>
        <w:pBdr>
          <w:bottom w:val="single" w:color="FFFFFF" w:sz="4" w:space="31"/>
        </w:pBdr>
        <w:tabs>
          <w:tab w:val="left" w:pos="1440"/>
        </w:tabs>
        <w:spacing w:line="560" w:lineRule="exact"/>
        <w:ind w:firstLine="640" w:firstLineChars="200"/>
        <w:rPr>
          <w:rFonts w:ascii="仿宋_GB2312" w:hAnsi="仿宋" w:eastAsia="仿宋_GB2312" w:cs="仿宋"/>
          <w:color w:val="000000"/>
          <w:kern w:val="2"/>
          <w:sz w:val="32"/>
          <w:szCs w:val="32"/>
        </w:rPr>
      </w:pPr>
    </w:p>
    <w:p>
      <w:pPr>
        <w:pBdr>
          <w:bottom w:val="single" w:color="FFFFFF" w:sz="4" w:space="31"/>
        </w:pBdr>
        <w:tabs>
          <w:tab w:val="left" w:pos="1440"/>
        </w:tabs>
        <w:spacing w:line="560" w:lineRule="exact"/>
        <w:ind w:firstLine="640" w:firstLineChars="200"/>
        <w:rPr>
          <w:rFonts w:ascii="仿宋_GB2312" w:hAnsi="仿宋" w:eastAsia="仿宋_GB2312" w:cs="仿宋"/>
          <w:color w:val="000000"/>
          <w:kern w:val="2"/>
          <w:sz w:val="32"/>
          <w:szCs w:val="32"/>
        </w:rPr>
      </w:pPr>
    </w:p>
    <w:p>
      <w:pPr>
        <w:pBdr>
          <w:bottom w:val="single" w:color="FFFFFF" w:sz="4" w:space="31"/>
        </w:pBdr>
        <w:tabs>
          <w:tab w:val="left" w:pos="1440"/>
        </w:tabs>
        <w:spacing w:line="560" w:lineRule="exact"/>
        <w:ind w:firstLine="640" w:firstLineChars="200"/>
        <w:rPr>
          <w:rFonts w:ascii="仿宋_GB2312" w:hAnsi="仿宋" w:eastAsia="仿宋_GB2312" w:cs="仿宋"/>
          <w:color w:val="000000"/>
          <w:kern w:val="2"/>
          <w:sz w:val="32"/>
          <w:szCs w:val="32"/>
        </w:rPr>
      </w:pPr>
    </w:p>
    <w:p>
      <w:pPr>
        <w:pBdr>
          <w:bottom w:val="single" w:color="FFFFFF" w:sz="4" w:space="31"/>
        </w:pBdr>
        <w:tabs>
          <w:tab w:val="left" w:pos="1440"/>
        </w:tabs>
        <w:spacing w:line="560" w:lineRule="exact"/>
        <w:ind w:firstLine="640" w:firstLineChars="200"/>
        <w:rPr>
          <w:rFonts w:ascii="仿宋_GB2312" w:hAnsi="仿宋" w:eastAsia="仿宋_GB2312" w:cs="仿宋"/>
          <w:color w:val="000000"/>
          <w:kern w:val="2"/>
          <w:sz w:val="32"/>
          <w:szCs w:val="32"/>
        </w:rPr>
      </w:pPr>
    </w:p>
    <w:p>
      <w:pPr>
        <w:pBdr>
          <w:bottom w:val="single" w:color="FFFFFF" w:sz="4" w:space="31"/>
        </w:pBdr>
        <w:tabs>
          <w:tab w:val="left" w:pos="1440"/>
        </w:tabs>
        <w:spacing w:line="560" w:lineRule="exact"/>
        <w:ind w:firstLine="640" w:firstLineChars="200"/>
        <w:rPr>
          <w:rFonts w:ascii="仿宋_GB2312" w:hAnsi="仿宋" w:eastAsia="仿宋_GB2312" w:cs="仿宋"/>
          <w:color w:val="000000"/>
          <w:kern w:val="2"/>
          <w:sz w:val="32"/>
          <w:szCs w:val="32"/>
        </w:rPr>
      </w:pPr>
    </w:p>
    <w:p>
      <w:pPr>
        <w:pBdr>
          <w:bottom w:val="single" w:color="FFFFFF" w:sz="4" w:space="31"/>
        </w:pBdr>
        <w:tabs>
          <w:tab w:val="left" w:pos="1440"/>
        </w:tabs>
        <w:spacing w:line="560" w:lineRule="exact"/>
        <w:ind w:firstLine="640" w:firstLineChars="200"/>
        <w:rPr>
          <w:rFonts w:ascii="仿宋_GB2312" w:hAnsi="仿宋" w:eastAsia="仿宋_GB2312" w:cs="仿宋"/>
          <w:color w:val="000000"/>
          <w:kern w:val="2"/>
          <w:sz w:val="32"/>
          <w:szCs w:val="32"/>
        </w:rPr>
      </w:pPr>
    </w:p>
    <w:p>
      <w:pPr>
        <w:rPr>
          <w:rFonts w:ascii="黑体" w:hAnsi="黑体" w:eastAsia="黑体"/>
          <w:kern w:val="2"/>
          <w:sz w:val="32"/>
          <w:szCs w:val="32"/>
        </w:rPr>
      </w:pPr>
      <w:r>
        <w:rPr>
          <w:rFonts w:hint="eastAsia" w:ascii="黑体" w:hAnsi="黑体" w:eastAsia="黑体"/>
          <w:kern w:val="2"/>
          <w:sz w:val="32"/>
          <w:szCs w:val="32"/>
        </w:rPr>
        <w:t>附表</w:t>
      </w:r>
      <w:r>
        <w:rPr>
          <w:rFonts w:ascii="黑体" w:hAnsi="黑体" w:eastAsia="黑体"/>
          <w:kern w:val="2"/>
          <w:sz w:val="32"/>
          <w:szCs w:val="32"/>
        </w:rPr>
        <w:t>1</w:t>
      </w:r>
    </w:p>
    <w:p>
      <w:pPr>
        <w:jc w:val="center"/>
        <w:rPr>
          <w:rFonts w:ascii="方正小标宋简体" w:hAnsi="黑体" w:eastAsia="方正小标宋简体"/>
          <w:kern w:val="2"/>
          <w:sz w:val="36"/>
          <w:szCs w:val="36"/>
        </w:rPr>
      </w:pPr>
      <w:r>
        <w:rPr>
          <w:rFonts w:hint="eastAsia" w:ascii="方正小标宋简体" w:hAnsi="黑体" w:eastAsia="方正小标宋简体"/>
          <w:kern w:val="2"/>
          <w:sz w:val="36"/>
          <w:szCs w:val="36"/>
        </w:rPr>
        <w:t>湖州市卫生计生事业发展“十三五”规划指标体系</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557"/>
        <w:gridCol w:w="1517"/>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jc w:val="center"/>
              <w:rPr>
                <w:rFonts w:ascii="仿宋_GB2312" w:eastAsia="仿宋_GB2312" w:cs="宋体"/>
                <w:kern w:val="2"/>
                <w:sz w:val="24"/>
                <w:szCs w:val="24"/>
              </w:rPr>
            </w:pPr>
            <w:r>
              <w:rPr>
                <w:rFonts w:hint="eastAsia" w:ascii="仿宋_GB2312" w:hAnsi="宋体" w:eastAsia="仿宋_GB2312" w:cs="宋体"/>
                <w:kern w:val="2"/>
                <w:sz w:val="24"/>
                <w:szCs w:val="24"/>
              </w:rPr>
              <w:t>序号</w:t>
            </w:r>
          </w:p>
        </w:tc>
        <w:tc>
          <w:tcPr>
            <w:tcW w:w="4557" w:type="dxa"/>
            <w:vAlign w:val="center"/>
          </w:tcPr>
          <w:p>
            <w:pPr>
              <w:jc w:val="center"/>
              <w:rPr>
                <w:rFonts w:ascii="仿宋_GB2312" w:eastAsia="仿宋_GB2312" w:cs="宋体"/>
                <w:kern w:val="2"/>
                <w:sz w:val="24"/>
                <w:szCs w:val="24"/>
              </w:rPr>
            </w:pPr>
            <w:r>
              <w:rPr>
                <w:rFonts w:hint="eastAsia" w:ascii="仿宋_GB2312" w:hAnsi="宋体" w:eastAsia="仿宋_GB2312" w:cs="宋体"/>
                <w:kern w:val="2"/>
                <w:sz w:val="24"/>
                <w:szCs w:val="24"/>
              </w:rPr>
              <w:t>指标名称</w:t>
            </w:r>
          </w:p>
        </w:tc>
        <w:tc>
          <w:tcPr>
            <w:tcW w:w="1517" w:type="dxa"/>
            <w:vAlign w:val="center"/>
          </w:tcPr>
          <w:p>
            <w:pPr>
              <w:jc w:val="center"/>
              <w:rPr>
                <w:rFonts w:ascii="仿宋_GB2312" w:eastAsia="仿宋_GB2312" w:cs="宋体"/>
                <w:kern w:val="2"/>
                <w:sz w:val="24"/>
                <w:szCs w:val="24"/>
              </w:rPr>
            </w:pPr>
            <w:r>
              <w:rPr>
                <w:rFonts w:hint="eastAsia" w:ascii="仿宋_GB2312" w:hAnsi="宋体" w:eastAsia="仿宋_GB2312" w:cs="宋体"/>
                <w:kern w:val="2"/>
                <w:sz w:val="24"/>
                <w:szCs w:val="24"/>
              </w:rPr>
              <w:t>单位</w:t>
            </w:r>
          </w:p>
        </w:tc>
        <w:tc>
          <w:tcPr>
            <w:tcW w:w="1822" w:type="dxa"/>
            <w:vAlign w:val="center"/>
          </w:tcPr>
          <w:p>
            <w:pPr>
              <w:jc w:val="center"/>
              <w:rPr>
                <w:rFonts w:ascii="仿宋_GB2312" w:eastAsia="仿宋_GB2312" w:cs="宋体"/>
                <w:kern w:val="2"/>
                <w:sz w:val="24"/>
                <w:szCs w:val="24"/>
              </w:rPr>
            </w:pPr>
            <w:r>
              <w:rPr>
                <w:rFonts w:hint="eastAsia" w:ascii="仿宋_GB2312" w:hAnsi="宋体" w:eastAsia="仿宋_GB2312" w:cs="宋体"/>
                <w:kern w:val="2"/>
                <w:sz w:val="24"/>
                <w:szCs w:val="24"/>
              </w:rPr>
              <w:t>“十三五”</w:t>
            </w:r>
          </w:p>
          <w:p>
            <w:pPr>
              <w:jc w:val="center"/>
              <w:rPr>
                <w:rFonts w:ascii="仿宋_GB2312" w:eastAsia="仿宋_GB2312" w:cs="宋体"/>
                <w:kern w:val="2"/>
                <w:sz w:val="24"/>
                <w:szCs w:val="24"/>
              </w:rPr>
            </w:pPr>
            <w:r>
              <w:rPr>
                <w:rFonts w:hint="eastAsia" w:ascii="仿宋_GB2312" w:hAnsi="宋体" w:eastAsia="仿宋_GB2312" w:cs="宋体"/>
                <w:kern w:val="2"/>
                <w:sz w:val="24"/>
                <w:szCs w:val="24"/>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1</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人均期望寿命</w:t>
            </w:r>
          </w:p>
        </w:tc>
        <w:tc>
          <w:tcPr>
            <w:tcW w:w="1517" w:type="dxa"/>
            <w:vAlign w:val="center"/>
          </w:tcPr>
          <w:p>
            <w:pPr>
              <w:spacing w:line="300" w:lineRule="exact"/>
              <w:jc w:val="center"/>
              <w:rPr>
                <w:rFonts w:ascii="仿宋_GB2312" w:eastAsia="仿宋_GB2312" w:cs="宋体"/>
                <w:kern w:val="2"/>
                <w:sz w:val="24"/>
                <w:szCs w:val="24"/>
              </w:rPr>
            </w:pPr>
            <w:r>
              <w:rPr>
                <w:rFonts w:hint="eastAsia" w:ascii="仿宋_GB2312" w:hAnsi="宋体" w:eastAsia="仿宋_GB2312" w:cs="宋体"/>
                <w:kern w:val="2"/>
                <w:sz w:val="24"/>
                <w:szCs w:val="24"/>
              </w:rPr>
              <w:t>岁</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2</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孕产妇死亡率</w:t>
            </w:r>
          </w:p>
        </w:tc>
        <w:tc>
          <w:tcPr>
            <w:tcW w:w="1517"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/10</w:t>
            </w:r>
            <w:r>
              <w:rPr>
                <w:rFonts w:hint="eastAsia" w:ascii="仿宋_GB2312" w:hAnsi="宋体" w:eastAsia="仿宋_GB2312" w:cs="宋体"/>
                <w:kern w:val="2"/>
                <w:sz w:val="24"/>
                <w:szCs w:val="24"/>
              </w:rPr>
              <w:t>万</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3</w:t>
            </w:r>
          </w:p>
        </w:tc>
        <w:tc>
          <w:tcPr>
            <w:tcW w:w="4557" w:type="dxa"/>
            <w:vAlign w:val="center"/>
          </w:tcPr>
          <w:p>
            <w:pPr>
              <w:spacing w:line="300" w:lineRule="exact"/>
              <w:rPr>
                <w:rFonts w:ascii="仿宋_GB2312" w:eastAsia="仿宋_GB2312" w:cs="宋体"/>
                <w:kern w:val="2"/>
                <w:sz w:val="24"/>
                <w:szCs w:val="24"/>
              </w:rPr>
            </w:pPr>
            <w:r>
              <w:rPr>
                <w:rFonts w:ascii="仿宋_GB2312" w:hAnsi="宋体" w:eastAsia="仿宋_GB2312" w:cs="宋体"/>
                <w:kern w:val="2"/>
                <w:sz w:val="24"/>
                <w:szCs w:val="24"/>
              </w:rPr>
              <w:t>5</w:t>
            </w:r>
            <w:r>
              <w:rPr>
                <w:rFonts w:hint="eastAsia" w:ascii="仿宋_GB2312" w:hAnsi="宋体" w:eastAsia="仿宋_GB2312" w:cs="宋体"/>
                <w:kern w:val="2"/>
                <w:sz w:val="24"/>
                <w:szCs w:val="24"/>
              </w:rPr>
              <w:t>岁以下儿童死亡率</w:t>
            </w:r>
          </w:p>
        </w:tc>
        <w:tc>
          <w:tcPr>
            <w:tcW w:w="1517" w:type="dxa"/>
            <w:vAlign w:val="center"/>
          </w:tcPr>
          <w:p>
            <w:pPr>
              <w:spacing w:line="300" w:lineRule="exact"/>
              <w:jc w:val="center"/>
              <w:rPr>
                <w:rFonts w:ascii="仿宋_GB2312" w:eastAsia="仿宋_GB2312" w:cs="宋体"/>
                <w:kern w:val="2"/>
                <w:sz w:val="24"/>
                <w:szCs w:val="24"/>
              </w:rPr>
            </w:pPr>
            <w:r>
              <w:rPr>
                <w:rFonts w:hint="eastAsia" w:ascii="仿宋_GB2312" w:hAnsi="宋体" w:eastAsia="仿宋_GB2312" w:cs="宋体"/>
                <w:kern w:val="2"/>
                <w:sz w:val="24"/>
                <w:szCs w:val="24"/>
              </w:rPr>
              <w:t>‰</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4</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每千常住人口床位数</w:t>
            </w:r>
          </w:p>
        </w:tc>
        <w:tc>
          <w:tcPr>
            <w:tcW w:w="1517" w:type="dxa"/>
            <w:vAlign w:val="center"/>
          </w:tcPr>
          <w:p>
            <w:pPr>
              <w:spacing w:line="300" w:lineRule="exact"/>
              <w:jc w:val="center"/>
              <w:rPr>
                <w:rFonts w:ascii="仿宋_GB2312" w:eastAsia="仿宋_GB2312" w:cs="宋体"/>
                <w:kern w:val="2"/>
                <w:sz w:val="24"/>
                <w:szCs w:val="24"/>
              </w:rPr>
            </w:pPr>
            <w:r>
              <w:rPr>
                <w:rFonts w:hint="eastAsia" w:ascii="仿宋_GB2312" w:hAnsi="宋体" w:eastAsia="仿宋_GB2312" w:cs="宋体"/>
                <w:kern w:val="2"/>
                <w:sz w:val="24"/>
                <w:szCs w:val="24"/>
              </w:rPr>
              <w:t>张</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5</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社会医疗机构床位数占比※</w:t>
            </w:r>
          </w:p>
        </w:tc>
        <w:tc>
          <w:tcPr>
            <w:tcW w:w="1517"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6</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每千常住人口执业（助理）医师数</w:t>
            </w:r>
          </w:p>
        </w:tc>
        <w:tc>
          <w:tcPr>
            <w:tcW w:w="1517" w:type="dxa"/>
            <w:vAlign w:val="center"/>
          </w:tcPr>
          <w:p>
            <w:pPr>
              <w:spacing w:line="300" w:lineRule="exact"/>
              <w:jc w:val="center"/>
              <w:rPr>
                <w:rFonts w:ascii="仿宋_GB2312" w:eastAsia="仿宋_GB2312" w:cs="宋体"/>
                <w:kern w:val="2"/>
                <w:sz w:val="24"/>
                <w:szCs w:val="24"/>
              </w:rPr>
            </w:pPr>
            <w:r>
              <w:rPr>
                <w:rFonts w:hint="eastAsia" w:ascii="仿宋_GB2312" w:hAnsi="宋体" w:eastAsia="仿宋_GB2312" w:cs="宋体"/>
                <w:kern w:val="2"/>
                <w:sz w:val="24"/>
                <w:szCs w:val="24"/>
              </w:rPr>
              <w:t>人</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7</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每千常住人口护士数</w:t>
            </w:r>
          </w:p>
        </w:tc>
        <w:tc>
          <w:tcPr>
            <w:tcW w:w="1517" w:type="dxa"/>
            <w:vAlign w:val="center"/>
          </w:tcPr>
          <w:p>
            <w:pPr>
              <w:spacing w:line="300" w:lineRule="exact"/>
              <w:jc w:val="center"/>
              <w:rPr>
                <w:rFonts w:ascii="仿宋_GB2312" w:eastAsia="仿宋_GB2312" w:cs="宋体"/>
                <w:kern w:val="2"/>
                <w:sz w:val="24"/>
                <w:szCs w:val="24"/>
              </w:rPr>
            </w:pPr>
            <w:r>
              <w:rPr>
                <w:rFonts w:hint="eastAsia" w:ascii="仿宋_GB2312" w:hAnsi="宋体" w:eastAsia="仿宋_GB2312" w:cs="宋体"/>
                <w:kern w:val="2"/>
                <w:sz w:val="24"/>
                <w:szCs w:val="24"/>
              </w:rPr>
              <w:t>人</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8</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每万常住人口全科医师数</w:t>
            </w:r>
          </w:p>
        </w:tc>
        <w:tc>
          <w:tcPr>
            <w:tcW w:w="1517" w:type="dxa"/>
            <w:vAlign w:val="center"/>
          </w:tcPr>
          <w:p>
            <w:pPr>
              <w:spacing w:line="300" w:lineRule="exact"/>
              <w:jc w:val="center"/>
              <w:rPr>
                <w:rFonts w:ascii="仿宋_GB2312" w:eastAsia="仿宋_GB2312" w:cs="宋体"/>
                <w:kern w:val="2"/>
                <w:sz w:val="24"/>
                <w:szCs w:val="24"/>
              </w:rPr>
            </w:pPr>
            <w:r>
              <w:rPr>
                <w:rFonts w:hint="eastAsia" w:ascii="仿宋_GB2312" w:hAnsi="宋体" w:eastAsia="仿宋_GB2312" w:cs="宋体"/>
                <w:kern w:val="2"/>
                <w:sz w:val="24"/>
                <w:szCs w:val="24"/>
              </w:rPr>
              <w:t>人</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9</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总和生育率</w:t>
            </w:r>
          </w:p>
        </w:tc>
        <w:tc>
          <w:tcPr>
            <w:tcW w:w="1517" w:type="dxa"/>
            <w:vAlign w:val="center"/>
          </w:tcPr>
          <w:p>
            <w:pPr>
              <w:spacing w:line="300" w:lineRule="exact"/>
              <w:jc w:val="center"/>
              <w:rPr>
                <w:rFonts w:ascii="仿宋_GB2312" w:eastAsia="仿宋_GB2312" w:cs="宋体"/>
                <w:kern w:val="2"/>
                <w:sz w:val="24"/>
                <w:szCs w:val="24"/>
              </w:rPr>
            </w:pPr>
            <w:r>
              <w:rPr>
                <w:rFonts w:hint="eastAsia" w:ascii="仿宋_GB2312" w:hAnsi="宋体" w:eastAsia="仿宋_GB2312" w:cs="宋体"/>
                <w:kern w:val="2"/>
                <w:sz w:val="24"/>
                <w:szCs w:val="24"/>
              </w:rPr>
              <w:t>个</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10</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出生人口性别比</w:t>
            </w:r>
          </w:p>
        </w:tc>
        <w:tc>
          <w:tcPr>
            <w:tcW w:w="1517"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11</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出生缺陷发生率</w:t>
            </w:r>
          </w:p>
        </w:tc>
        <w:tc>
          <w:tcPr>
            <w:tcW w:w="1517" w:type="dxa"/>
            <w:vAlign w:val="center"/>
          </w:tcPr>
          <w:p>
            <w:pPr>
              <w:spacing w:line="300" w:lineRule="exact"/>
              <w:jc w:val="center"/>
              <w:rPr>
                <w:rFonts w:ascii="仿宋_GB2312" w:eastAsia="仿宋_GB2312" w:cs="宋体"/>
                <w:kern w:val="2"/>
                <w:sz w:val="24"/>
                <w:szCs w:val="24"/>
              </w:rPr>
            </w:pPr>
            <w:r>
              <w:rPr>
                <w:rFonts w:hint="eastAsia" w:ascii="仿宋_GB2312" w:hAnsi="宋体" w:eastAsia="仿宋_GB2312" w:cs="宋体"/>
                <w:kern w:val="2"/>
                <w:sz w:val="24"/>
                <w:szCs w:val="24"/>
              </w:rPr>
              <w:t>‰</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12</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免费计划生育服务覆盖率</w:t>
            </w:r>
          </w:p>
        </w:tc>
        <w:tc>
          <w:tcPr>
            <w:tcW w:w="1517"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13</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院前急救平均反应时间※</w:t>
            </w:r>
          </w:p>
        </w:tc>
        <w:tc>
          <w:tcPr>
            <w:tcW w:w="1517" w:type="dxa"/>
            <w:vAlign w:val="center"/>
          </w:tcPr>
          <w:p>
            <w:pPr>
              <w:spacing w:line="300" w:lineRule="exact"/>
              <w:jc w:val="center"/>
              <w:rPr>
                <w:rFonts w:ascii="仿宋_GB2312" w:eastAsia="仿宋_GB2312" w:cs="宋体"/>
                <w:kern w:val="2"/>
                <w:sz w:val="24"/>
                <w:szCs w:val="24"/>
              </w:rPr>
            </w:pPr>
            <w:r>
              <w:rPr>
                <w:rFonts w:hint="eastAsia" w:ascii="仿宋_GB2312" w:hAnsi="宋体" w:eastAsia="仿宋_GB2312" w:cs="宋体"/>
                <w:kern w:val="2"/>
                <w:sz w:val="24"/>
                <w:szCs w:val="24"/>
              </w:rPr>
              <w:t>分钟</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14</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责任医生规范签约服务率</w:t>
            </w:r>
          </w:p>
        </w:tc>
        <w:tc>
          <w:tcPr>
            <w:tcW w:w="1517"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15</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主要慢病社区规范化诊疗和管理率※</w:t>
            </w:r>
          </w:p>
        </w:tc>
        <w:tc>
          <w:tcPr>
            <w:tcW w:w="1517"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16</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居民健康素养水平</w:t>
            </w:r>
          </w:p>
        </w:tc>
        <w:tc>
          <w:tcPr>
            <w:tcW w:w="1517"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17</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预约诊疗率※</w:t>
            </w:r>
          </w:p>
        </w:tc>
        <w:tc>
          <w:tcPr>
            <w:tcW w:w="1517"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18</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县域范围内就诊率</w:t>
            </w:r>
          </w:p>
        </w:tc>
        <w:tc>
          <w:tcPr>
            <w:tcW w:w="1517"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19</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智慧医疗覆盖率</w:t>
            </w:r>
          </w:p>
        </w:tc>
        <w:tc>
          <w:tcPr>
            <w:tcW w:w="1517"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5"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20</w:t>
            </w:r>
          </w:p>
        </w:tc>
        <w:tc>
          <w:tcPr>
            <w:tcW w:w="4557" w:type="dxa"/>
            <w:vAlign w:val="center"/>
          </w:tcPr>
          <w:p>
            <w:pPr>
              <w:spacing w:line="300" w:lineRule="exact"/>
              <w:rPr>
                <w:rFonts w:ascii="仿宋_GB2312" w:eastAsia="仿宋_GB2312" w:cs="宋体"/>
                <w:kern w:val="2"/>
                <w:sz w:val="24"/>
                <w:szCs w:val="24"/>
              </w:rPr>
            </w:pPr>
            <w:r>
              <w:rPr>
                <w:rFonts w:hint="eastAsia" w:ascii="仿宋_GB2312" w:hAnsi="宋体" w:eastAsia="仿宋_GB2312" w:cs="宋体"/>
                <w:kern w:val="2"/>
                <w:sz w:val="24"/>
                <w:szCs w:val="24"/>
              </w:rPr>
              <w:t>个人现金卫生支出占卫生总费用比例</w:t>
            </w:r>
          </w:p>
        </w:tc>
        <w:tc>
          <w:tcPr>
            <w:tcW w:w="1517"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w:t>
            </w:r>
          </w:p>
        </w:tc>
        <w:tc>
          <w:tcPr>
            <w:tcW w:w="1822" w:type="dxa"/>
            <w:vAlign w:val="center"/>
          </w:tcPr>
          <w:p>
            <w:pPr>
              <w:spacing w:line="300" w:lineRule="exact"/>
              <w:jc w:val="center"/>
              <w:rPr>
                <w:rFonts w:ascii="仿宋_GB2312" w:eastAsia="仿宋_GB2312" w:cs="宋体"/>
                <w:kern w:val="2"/>
                <w:sz w:val="24"/>
                <w:szCs w:val="24"/>
              </w:rPr>
            </w:pPr>
            <w:r>
              <w:rPr>
                <w:rFonts w:ascii="仿宋_GB2312" w:hAnsi="宋体" w:eastAsia="仿宋_GB2312" w:cs="宋体"/>
                <w:kern w:val="2"/>
                <w:sz w:val="24"/>
                <w:szCs w:val="24"/>
              </w:rPr>
              <w:t>30</w:t>
            </w:r>
          </w:p>
        </w:tc>
      </w:tr>
    </w:tbl>
    <w:p>
      <w:pPr>
        <w:spacing w:line="480" w:lineRule="exact"/>
        <w:rPr>
          <w:rFonts w:ascii="仿宋_GB2312" w:hAnsi="仿宋" w:eastAsia="仿宋_GB2312" w:cs="仿宋"/>
          <w:color w:val="000000"/>
          <w:kern w:val="2"/>
          <w:sz w:val="24"/>
          <w:szCs w:val="24"/>
        </w:rPr>
        <w:sectPr>
          <w:footerReference r:id="rId5" w:type="first"/>
          <w:footerReference r:id="rId3" w:type="default"/>
          <w:footerReference r:id="rId4" w:type="even"/>
          <w:pgSz w:w="11906" w:h="16838"/>
          <w:pgMar w:top="1701" w:right="1588" w:bottom="1701" w:left="1588" w:header="851" w:footer="992" w:gutter="0"/>
          <w:cols w:space="720" w:num="1"/>
          <w:docGrid w:type="lines" w:linePitch="312" w:charSpace="0"/>
        </w:sectPr>
      </w:pPr>
      <w:r>
        <w:rPr>
          <w:rFonts w:hint="eastAsia" w:ascii="仿宋_GB2312" w:hAnsi="仿宋" w:eastAsia="仿宋_GB2312" w:cs="仿宋"/>
          <w:color w:val="000000"/>
          <w:kern w:val="2"/>
          <w:sz w:val="24"/>
          <w:szCs w:val="24"/>
        </w:rPr>
        <w:t>注：每万人全科医生数为约束性指标，其余为预期性指标；※为我市在省规划指标基础上的新增指标。</w:t>
      </w:r>
    </w:p>
    <w:p>
      <w:pPr>
        <w:rPr>
          <w:rFonts w:ascii="黑体" w:hAnsi="宋体" w:eastAsia="黑体" w:cs="仿宋_GB2312"/>
          <w:color w:val="000000"/>
          <w:kern w:val="2"/>
          <w:sz w:val="32"/>
          <w:szCs w:val="32"/>
        </w:rPr>
      </w:pPr>
      <w:r>
        <w:rPr>
          <w:rFonts w:hint="eastAsia" w:ascii="黑体" w:hAnsi="宋体" w:eastAsia="黑体" w:cs="仿宋_GB2312"/>
          <w:color w:val="000000"/>
          <w:kern w:val="2"/>
          <w:sz w:val="32"/>
          <w:szCs w:val="32"/>
        </w:rPr>
        <w:t>附表</w:t>
      </w:r>
      <w:r>
        <w:rPr>
          <w:rFonts w:ascii="黑体" w:hAnsi="宋体" w:eastAsia="黑体" w:cs="仿宋_GB2312"/>
          <w:color w:val="000000"/>
          <w:kern w:val="2"/>
          <w:sz w:val="32"/>
          <w:szCs w:val="32"/>
        </w:rPr>
        <w:t>2</w:t>
      </w:r>
    </w:p>
    <w:p>
      <w:pPr>
        <w:jc w:val="center"/>
        <w:rPr>
          <w:rFonts w:ascii="方正小标宋简体" w:eastAsia="方正小标宋简体"/>
          <w:kern w:val="2"/>
          <w:sz w:val="36"/>
          <w:szCs w:val="36"/>
        </w:rPr>
      </w:pPr>
      <w:r>
        <w:rPr>
          <w:rFonts w:hint="eastAsia" w:ascii="方正小标宋简体" w:hAnsi="宋体" w:eastAsia="方正小标宋简体" w:cs="黑体"/>
          <w:color w:val="000000"/>
          <w:kern w:val="2"/>
          <w:sz w:val="36"/>
          <w:szCs w:val="36"/>
        </w:rPr>
        <w:t>湖州市“十三五”卫生计生事业发展规划重大基本建设项目表</w:t>
      </w:r>
    </w:p>
    <w:tbl>
      <w:tblPr>
        <w:tblStyle w:val="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538"/>
        <w:gridCol w:w="1842"/>
        <w:gridCol w:w="992"/>
        <w:gridCol w:w="1420"/>
        <w:gridCol w:w="4394"/>
        <w:gridCol w:w="1029"/>
        <w:gridCol w:w="1335"/>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697" w:type="dxa"/>
            <w:vMerge w:val="restart"/>
            <w:vAlign w:val="center"/>
          </w:tcPr>
          <w:p>
            <w:pPr>
              <w:widowControl/>
              <w:jc w:val="center"/>
              <w:textAlignment w:val="center"/>
              <w:rPr>
                <w:rFonts w:ascii="宋体" w:cs="宋体"/>
                <w:b/>
                <w:kern w:val="2"/>
                <w:sz w:val="24"/>
                <w:szCs w:val="24"/>
              </w:rPr>
            </w:pPr>
            <w:r>
              <w:rPr>
                <w:rFonts w:hint="eastAsia" w:ascii="宋体" w:hAnsi="宋体" w:cs="宋体"/>
                <w:b/>
                <w:kern w:val="2"/>
                <w:sz w:val="24"/>
                <w:szCs w:val="24"/>
              </w:rPr>
              <w:t>序号</w:t>
            </w:r>
          </w:p>
        </w:tc>
        <w:tc>
          <w:tcPr>
            <w:tcW w:w="1538" w:type="dxa"/>
            <w:vMerge w:val="restart"/>
            <w:vAlign w:val="center"/>
          </w:tcPr>
          <w:p>
            <w:pPr>
              <w:widowControl/>
              <w:jc w:val="center"/>
              <w:textAlignment w:val="center"/>
              <w:rPr>
                <w:rFonts w:ascii="宋体" w:cs="宋体"/>
                <w:b/>
                <w:kern w:val="2"/>
                <w:sz w:val="24"/>
                <w:szCs w:val="24"/>
              </w:rPr>
            </w:pPr>
            <w:r>
              <w:rPr>
                <w:rFonts w:hint="eastAsia" w:ascii="宋体" w:hAnsi="宋体" w:cs="宋体"/>
                <w:b/>
                <w:kern w:val="2"/>
                <w:sz w:val="24"/>
                <w:szCs w:val="24"/>
              </w:rPr>
              <w:t>实施主体</w:t>
            </w:r>
          </w:p>
        </w:tc>
        <w:tc>
          <w:tcPr>
            <w:tcW w:w="1842" w:type="dxa"/>
            <w:vMerge w:val="restart"/>
            <w:vAlign w:val="center"/>
          </w:tcPr>
          <w:p>
            <w:pPr>
              <w:widowControl/>
              <w:jc w:val="center"/>
              <w:textAlignment w:val="center"/>
              <w:rPr>
                <w:rFonts w:ascii="宋体" w:cs="宋体"/>
                <w:b/>
                <w:kern w:val="2"/>
                <w:sz w:val="24"/>
                <w:szCs w:val="24"/>
              </w:rPr>
            </w:pPr>
            <w:r>
              <w:rPr>
                <w:rFonts w:hint="eastAsia" w:ascii="宋体" w:hAnsi="宋体" w:cs="宋体"/>
                <w:b/>
                <w:kern w:val="2"/>
                <w:sz w:val="24"/>
                <w:szCs w:val="24"/>
              </w:rPr>
              <w:t>项目名称</w:t>
            </w:r>
          </w:p>
        </w:tc>
        <w:tc>
          <w:tcPr>
            <w:tcW w:w="992" w:type="dxa"/>
            <w:vMerge w:val="restart"/>
            <w:vAlign w:val="center"/>
          </w:tcPr>
          <w:p>
            <w:pPr>
              <w:widowControl/>
              <w:jc w:val="center"/>
              <w:textAlignment w:val="center"/>
              <w:rPr>
                <w:rFonts w:ascii="宋体" w:cs="宋体"/>
                <w:b/>
                <w:kern w:val="2"/>
                <w:sz w:val="24"/>
                <w:szCs w:val="24"/>
              </w:rPr>
            </w:pPr>
            <w:r>
              <w:rPr>
                <w:rFonts w:hint="eastAsia" w:ascii="宋体" w:hAnsi="宋体" w:cs="宋体"/>
                <w:b/>
                <w:kern w:val="2"/>
                <w:sz w:val="24"/>
                <w:szCs w:val="24"/>
              </w:rPr>
              <w:t>建设</w:t>
            </w:r>
          </w:p>
          <w:p>
            <w:pPr>
              <w:widowControl/>
              <w:jc w:val="center"/>
              <w:textAlignment w:val="center"/>
              <w:rPr>
                <w:rFonts w:ascii="宋体" w:cs="宋体"/>
                <w:b/>
                <w:kern w:val="2"/>
                <w:sz w:val="24"/>
                <w:szCs w:val="24"/>
              </w:rPr>
            </w:pPr>
            <w:r>
              <w:rPr>
                <w:rFonts w:hint="eastAsia" w:ascii="宋体" w:hAnsi="宋体" w:cs="宋体"/>
                <w:b/>
                <w:kern w:val="2"/>
                <w:sz w:val="24"/>
                <w:szCs w:val="24"/>
              </w:rPr>
              <w:t>地点</w:t>
            </w:r>
          </w:p>
        </w:tc>
        <w:tc>
          <w:tcPr>
            <w:tcW w:w="1420" w:type="dxa"/>
            <w:vMerge w:val="restart"/>
            <w:vAlign w:val="center"/>
          </w:tcPr>
          <w:p>
            <w:pPr>
              <w:widowControl/>
              <w:jc w:val="center"/>
              <w:textAlignment w:val="center"/>
              <w:rPr>
                <w:rFonts w:ascii="宋体" w:cs="宋体"/>
                <w:b/>
                <w:kern w:val="2"/>
                <w:sz w:val="24"/>
                <w:szCs w:val="24"/>
              </w:rPr>
            </w:pPr>
            <w:r>
              <w:rPr>
                <w:rFonts w:hint="eastAsia" w:ascii="宋体" w:hAnsi="宋体" w:cs="宋体"/>
                <w:b/>
                <w:kern w:val="2"/>
                <w:sz w:val="24"/>
                <w:szCs w:val="24"/>
              </w:rPr>
              <w:t>建设工期</w:t>
            </w:r>
          </w:p>
        </w:tc>
        <w:tc>
          <w:tcPr>
            <w:tcW w:w="4394" w:type="dxa"/>
            <w:vMerge w:val="restart"/>
            <w:vAlign w:val="center"/>
          </w:tcPr>
          <w:p>
            <w:pPr>
              <w:widowControl/>
              <w:jc w:val="center"/>
              <w:textAlignment w:val="center"/>
              <w:rPr>
                <w:rFonts w:ascii="宋体" w:cs="宋体"/>
                <w:b/>
                <w:kern w:val="2"/>
                <w:sz w:val="24"/>
                <w:szCs w:val="24"/>
              </w:rPr>
            </w:pPr>
            <w:r>
              <w:rPr>
                <w:rFonts w:hint="eastAsia" w:ascii="宋体" w:hAnsi="宋体" w:cs="宋体"/>
                <w:b/>
                <w:kern w:val="2"/>
                <w:sz w:val="24"/>
                <w:szCs w:val="24"/>
              </w:rPr>
              <w:t>建设规模和内容</w:t>
            </w:r>
          </w:p>
        </w:tc>
        <w:tc>
          <w:tcPr>
            <w:tcW w:w="1029" w:type="dxa"/>
            <w:vMerge w:val="restart"/>
            <w:vAlign w:val="center"/>
          </w:tcPr>
          <w:p>
            <w:pPr>
              <w:widowControl/>
              <w:jc w:val="center"/>
              <w:textAlignment w:val="center"/>
              <w:rPr>
                <w:rFonts w:ascii="宋体" w:hAnsi="宋体" w:cs="宋体"/>
                <w:b/>
                <w:kern w:val="2"/>
                <w:sz w:val="24"/>
                <w:szCs w:val="24"/>
              </w:rPr>
            </w:pPr>
            <w:r>
              <w:rPr>
                <w:rFonts w:hint="eastAsia" w:ascii="宋体" w:hAnsi="宋体" w:cs="宋体"/>
                <w:b/>
                <w:kern w:val="2"/>
                <w:sz w:val="24"/>
                <w:szCs w:val="24"/>
              </w:rPr>
              <w:t>总投资</w:t>
            </w:r>
            <w:r>
              <w:rPr>
                <w:rFonts w:ascii="宋体" w:hAnsi="宋体" w:cs="宋体"/>
                <w:b/>
                <w:kern w:val="2"/>
                <w:sz w:val="24"/>
                <w:szCs w:val="24"/>
              </w:rPr>
              <w:t>(</w:t>
            </w:r>
            <w:r>
              <w:rPr>
                <w:rFonts w:hint="eastAsia" w:ascii="宋体" w:hAnsi="宋体" w:cs="宋体"/>
                <w:b/>
                <w:kern w:val="2"/>
                <w:sz w:val="24"/>
                <w:szCs w:val="24"/>
              </w:rPr>
              <w:t>亿元</w:t>
            </w:r>
            <w:r>
              <w:rPr>
                <w:rFonts w:ascii="宋体" w:hAnsi="宋体" w:cs="宋体"/>
                <w:b/>
                <w:kern w:val="2"/>
                <w:sz w:val="24"/>
                <w:szCs w:val="24"/>
              </w:rPr>
              <w:t>)</w:t>
            </w:r>
          </w:p>
        </w:tc>
        <w:tc>
          <w:tcPr>
            <w:tcW w:w="1335" w:type="dxa"/>
            <w:vMerge w:val="restart"/>
            <w:vAlign w:val="center"/>
          </w:tcPr>
          <w:p>
            <w:pPr>
              <w:widowControl/>
              <w:jc w:val="center"/>
              <w:textAlignment w:val="center"/>
              <w:rPr>
                <w:rFonts w:ascii="宋体" w:hAnsi="宋体" w:cs="宋体"/>
                <w:b/>
                <w:kern w:val="2"/>
                <w:sz w:val="24"/>
                <w:szCs w:val="24"/>
              </w:rPr>
            </w:pPr>
            <w:bookmarkStart w:id="3" w:name="_GoBack"/>
            <w:bookmarkEnd w:id="3"/>
            <w:r>
              <w:rPr>
                <w:rFonts w:hint="eastAsia" w:ascii="宋体" w:hAnsi="宋体" w:cs="宋体"/>
                <w:b/>
                <w:kern w:val="2"/>
                <w:sz w:val="24"/>
                <w:szCs w:val="24"/>
                <w:lang w:eastAsia="zh-CN"/>
              </w:rPr>
              <w:t>“十三五”规划</w:t>
            </w:r>
            <w:r>
              <w:rPr>
                <w:rFonts w:hint="eastAsia" w:ascii="宋体" w:hAnsi="宋体" w:cs="宋体"/>
                <w:b/>
                <w:kern w:val="2"/>
                <w:sz w:val="24"/>
                <w:szCs w:val="24"/>
              </w:rPr>
              <w:t>投资</w:t>
            </w:r>
            <w:r>
              <w:rPr>
                <w:rFonts w:ascii="宋体" w:hAnsi="宋体" w:cs="宋体"/>
                <w:b/>
                <w:kern w:val="2"/>
                <w:sz w:val="24"/>
                <w:szCs w:val="24"/>
              </w:rPr>
              <w:t>(</w:t>
            </w:r>
            <w:r>
              <w:rPr>
                <w:rFonts w:hint="eastAsia" w:ascii="宋体" w:hAnsi="宋体" w:cs="宋体"/>
                <w:b/>
                <w:kern w:val="2"/>
                <w:sz w:val="24"/>
                <w:szCs w:val="24"/>
              </w:rPr>
              <w:t>亿元</w:t>
            </w:r>
            <w:r>
              <w:rPr>
                <w:rFonts w:ascii="宋体" w:hAnsi="宋体" w:cs="宋体"/>
                <w:b/>
                <w:kern w:val="2"/>
                <w:sz w:val="24"/>
                <w:szCs w:val="24"/>
              </w:rPr>
              <w:t>)</w:t>
            </w:r>
          </w:p>
        </w:tc>
        <w:tc>
          <w:tcPr>
            <w:tcW w:w="927" w:type="dxa"/>
            <w:vMerge w:val="restart"/>
            <w:vAlign w:val="center"/>
          </w:tcPr>
          <w:p>
            <w:pPr>
              <w:widowControl/>
              <w:jc w:val="center"/>
              <w:textAlignment w:val="center"/>
              <w:rPr>
                <w:rFonts w:ascii="宋体" w:cs="宋体"/>
                <w:b/>
                <w:kern w:val="2"/>
                <w:sz w:val="24"/>
                <w:szCs w:val="24"/>
              </w:rPr>
            </w:pPr>
            <w:r>
              <w:rPr>
                <w:rFonts w:hint="eastAsia" w:ascii="宋体" w:hAnsi="宋体" w:cs="宋体"/>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697" w:type="dxa"/>
            <w:vMerge w:val="continue"/>
            <w:vAlign w:val="center"/>
          </w:tcPr>
          <w:p>
            <w:pPr>
              <w:jc w:val="center"/>
              <w:rPr>
                <w:rFonts w:ascii="宋体" w:cs="宋体"/>
                <w:b/>
                <w:kern w:val="2"/>
                <w:sz w:val="24"/>
                <w:szCs w:val="24"/>
              </w:rPr>
            </w:pPr>
          </w:p>
        </w:tc>
        <w:tc>
          <w:tcPr>
            <w:tcW w:w="1538" w:type="dxa"/>
            <w:vMerge w:val="continue"/>
            <w:vAlign w:val="center"/>
          </w:tcPr>
          <w:p>
            <w:pPr>
              <w:jc w:val="center"/>
              <w:rPr>
                <w:rFonts w:ascii="宋体" w:cs="宋体"/>
                <w:b/>
                <w:kern w:val="2"/>
                <w:sz w:val="24"/>
                <w:szCs w:val="24"/>
              </w:rPr>
            </w:pPr>
          </w:p>
        </w:tc>
        <w:tc>
          <w:tcPr>
            <w:tcW w:w="1842" w:type="dxa"/>
            <w:vMerge w:val="continue"/>
            <w:vAlign w:val="center"/>
          </w:tcPr>
          <w:p>
            <w:pPr>
              <w:jc w:val="center"/>
              <w:rPr>
                <w:rFonts w:ascii="宋体" w:cs="宋体"/>
                <w:b/>
                <w:kern w:val="2"/>
                <w:sz w:val="24"/>
                <w:szCs w:val="24"/>
              </w:rPr>
            </w:pPr>
          </w:p>
        </w:tc>
        <w:tc>
          <w:tcPr>
            <w:tcW w:w="992" w:type="dxa"/>
            <w:vMerge w:val="continue"/>
            <w:vAlign w:val="center"/>
          </w:tcPr>
          <w:p>
            <w:pPr>
              <w:jc w:val="center"/>
              <w:rPr>
                <w:rFonts w:ascii="宋体" w:cs="宋体"/>
                <w:b/>
                <w:kern w:val="2"/>
                <w:sz w:val="24"/>
                <w:szCs w:val="24"/>
              </w:rPr>
            </w:pPr>
          </w:p>
        </w:tc>
        <w:tc>
          <w:tcPr>
            <w:tcW w:w="1420" w:type="dxa"/>
            <w:vMerge w:val="continue"/>
            <w:vAlign w:val="center"/>
          </w:tcPr>
          <w:p>
            <w:pPr>
              <w:jc w:val="center"/>
              <w:rPr>
                <w:rFonts w:ascii="宋体" w:cs="宋体"/>
                <w:b/>
                <w:kern w:val="2"/>
                <w:sz w:val="24"/>
                <w:szCs w:val="24"/>
              </w:rPr>
            </w:pPr>
          </w:p>
        </w:tc>
        <w:tc>
          <w:tcPr>
            <w:tcW w:w="4394" w:type="dxa"/>
            <w:vMerge w:val="continue"/>
            <w:vAlign w:val="center"/>
          </w:tcPr>
          <w:p>
            <w:pPr>
              <w:rPr>
                <w:rFonts w:ascii="宋体" w:cs="宋体"/>
                <w:b/>
                <w:kern w:val="2"/>
                <w:sz w:val="24"/>
                <w:szCs w:val="24"/>
              </w:rPr>
            </w:pPr>
          </w:p>
        </w:tc>
        <w:tc>
          <w:tcPr>
            <w:tcW w:w="1029" w:type="dxa"/>
            <w:vMerge w:val="continue"/>
          </w:tcPr>
          <w:p>
            <w:pPr>
              <w:jc w:val="center"/>
              <w:rPr>
                <w:rFonts w:ascii="宋体" w:cs="宋体"/>
                <w:b/>
                <w:kern w:val="2"/>
                <w:sz w:val="24"/>
                <w:szCs w:val="24"/>
              </w:rPr>
            </w:pPr>
          </w:p>
        </w:tc>
        <w:tc>
          <w:tcPr>
            <w:tcW w:w="1335" w:type="dxa"/>
            <w:vMerge w:val="continue"/>
          </w:tcPr>
          <w:p>
            <w:pPr>
              <w:jc w:val="center"/>
              <w:rPr>
                <w:rFonts w:ascii="宋体" w:cs="宋体"/>
                <w:b/>
                <w:kern w:val="2"/>
                <w:sz w:val="24"/>
                <w:szCs w:val="24"/>
              </w:rPr>
            </w:pPr>
          </w:p>
        </w:tc>
        <w:tc>
          <w:tcPr>
            <w:tcW w:w="927" w:type="dxa"/>
            <w:vMerge w:val="continue"/>
          </w:tcPr>
          <w:p>
            <w:pPr>
              <w:jc w:val="center"/>
              <w:rPr>
                <w:rFonts w:ascii="宋体"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97" w:type="dxa"/>
            <w:vAlign w:val="center"/>
          </w:tcPr>
          <w:p>
            <w:pPr>
              <w:widowControl/>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1</w:t>
            </w:r>
          </w:p>
        </w:tc>
        <w:tc>
          <w:tcPr>
            <w:tcW w:w="1538"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市北公司</w:t>
            </w:r>
          </w:p>
        </w:tc>
        <w:tc>
          <w:tcPr>
            <w:tcW w:w="1842"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浙北医学中心（湖州市中心医院迁建工程）</w:t>
            </w:r>
          </w:p>
        </w:tc>
        <w:tc>
          <w:tcPr>
            <w:tcW w:w="992"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中心</w:t>
            </w:r>
          </w:p>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城区</w:t>
            </w:r>
          </w:p>
        </w:tc>
        <w:tc>
          <w:tcPr>
            <w:tcW w:w="1420" w:type="dxa"/>
            <w:vAlign w:val="center"/>
          </w:tcPr>
          <w:p>
            <w:pPr>
              <w:widowControl/>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2015-2019</w:t>
            </w:r>
          </w:p>
        </w:tc>
        <w:tc>
          <w:tcPr>
            <w:tcW w:w="4394" w:type="dxa"/>
            <w:vAlign w:val="center"/>
          </w:tcPr>
          <w:p>
            <w:pPr>
              <w:widowControl/>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总建筑面积</w:t>
            </w:r>
            <w:r>
              <w:rPr>
                <w:rFonts w:ascii="仿宋_GB2312" w:hAnsi="宋体" w:eastAsia="仿宋_GB2312" w:cs="仿宋_GB2312"/>
                <w:kern w:val="2"/>
                <w:sz w:val="24"/>
                <w:szCs w:val="24"/>
              </w:rPr>
              <w:t>20</w:t>
            </w:r>
            <w:r>
              <w:rPr>
                <w:rFonts w:hint="eastAsia" w:ascii="仿宋_GB2312" w:hAnsi="宋体" w:eastAsia="仿宋_GB2312" w:cs="仿宋_GB2312"/>
                <w:kern w:val="2"/>
                <w:sz w:val="24"/>
                <w:szCs w:val="24"/>
              </w:rPr>
              <w:t>万平方米，含医疗用房、地下停车库等，道路绿化、堆晒和医疗废物与日产垃圾的存放等室外配套工程。</w:t>
            </w:r>
          </w:p>
        </w:tc>
        <w:tc>
          <w:tcPr>
            <w:tcW w:w="1029" w:type="dxa"/>
          </w:tcPr>
          <w:p>
            <w:pPr>
              <w:widowControl/>
              <w:spacing w:beforeLines="150" w:line="44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19.88</w:t>
            </w:r>
          </w:p>
        </w:tc>
        <w:tc>
          <w:tcPr>
            <w:tcW w:w="1335" w:type="dxa"/>
          </w:tcPr>
          <w:p>
            <w:pPr>
              <w:widowControl/>
              <w:spacing w:beforeLines="150" w:line="44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19.88</w:t>
            </w:r>
          </w:p>
        </w:tc>
        <w:tc>
          <w:tcPr>
            <w:tcW w:w="927"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97" w:type="dxa"/>
            <w:vAlign w:val="center"/>
          </w:tcPr>
          <w:p>
            <w:pPr>
              <w:widowControl/>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w:t>
            </w:r>
          </w:p>
        </w:tc>
        <w:tc>
          <w:tcPr>
            <w:tcW w:w="1538" w:type="dxa"/>
            <w:vAlign w:val="center"/>
          </w:tcPr>
          <w:p>
            <w:pPr>
              <w:widowControl/>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吴兴区</w:t>
            </w:r>
          </w:p>
          <w:p>
            <w:pPr>
              <w:widowControl/>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卫计局</w:t>
            </w:r>
          </w:p>
        </w:tc>
        <w:tc>
          <w:tcPr>
            <w:tcW w:w="1842" w:type="dxa"/>
            <w:vAlign w:val="center"/>
          </w:tcPr>
          <w:p>
            <w:pPr>
              <w:widowControl/>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中心城区社区卫生服务中心新建（改扩建）工程</w:t>
            </w:r>
          </w:p>
        </w:tc>
        <w:tc>
          <w:tcPr>
            <w:tcW w:w="992" w:type="dxa"/>
            <w:vAlign w:val="center"/>
          </w:tcPr>
          <w:p>
            <w:pPr>
              <w:widowControl/>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中心</w:t>
            </w:r>
          </w:p>
          <w:p>
            <w:pPr>
              <w:widowControl/>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城区</w:t>
            </w:r>
          </w:p>
        </w:tc>
        <w:tc>
          <w:tcPr>
            <w:tcW w:w="1420" w:type="dxa"/>
            <w:vAlign w:val="center"/>
          </w:tcPr>
          <w:p>
            <w:pPr>
              <w:widowControl/>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2016-2018</w:t>
            </w:r>
          </w:p>
        </w:tc>
        <w:tc>
          <w:tcPr>
            <w:tcW w:w="4394" w:type="dxa"/>
            <w:vAlign w:val="center"/>
          </w:tcPr>
          <w:p>
            <w:pPr>
              <w:widowControl/>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新建（改扩建）爱山、月河、凤凰和康山社区卫生服务中心。</w:t>
            </w:r>
          </w:p>
        </w:tc>
        <w:tc>
          <w:tcPr>
            <w:tcW w:w="1029" w:type="dxa"/>
            <w:vAlign w:val="center"/>
          </w:tcPr>
          <w:p>
            <w:pPr>
              <w:widowControl/>
              <w:spacing w:beforeLines="50"/>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0.7</w:t>
            </w:r>
          </w:p>
        </w:tc>
        <w:tc>
          <w:tcPr>
            <w:tcW w:w="1335" w:type="dxa"/>
            <w:vAlign w:val="center"/>
          </w:tcPr>
          <w:p>
            <w:pPr>
              <w:widowControl/>
              <w:spacing w:beforeLines="50"/>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0.7</w:t>
            </w:r>
          </w:p>
        </w:tc>
        <w:tc>
          <w:tcPr>
            <w:tcW w:w="927" w:type="dxa"/>
            <w:vAlign w:val="center"/>
          </w:tcPr>
          <w:p>
            <w:pPr>
              <w:widowControl/>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97" w:type="dxa"/>
            <w:vAlign w:val="center"/>
          </w:tcPr>
          <w:p>
            <w:pPr>
              <w:widowControl/>
              <w:jc w:val="center"/>
              <w:textAlignment w:val="center"/>
              <w:rPr>
                <w:rFonts w:ascii="仿宋_GB2312" w:eastAsia="仿宋_GB2312" w:cs="仿宋_GB2312"/>
                <w:kern w:val="2"/>
                <w:sz w:val="24"/>
                <w:szCs w:val="24"/>
              </w:rPr>
            </w:pPr>
            <w:r>
              <w:rPr>
                <w:rFonts w:ascii="仿宋_GB2312" w:hAnsi="宋体" w:eastAsia="仿宋_GB2312" w:cs="仿宋_GB2312"/>
                <w:kern w:val="2"/>
                <w:sz w:val="24"/>
                <w:szCs w:val="24"/>
              </w:rPr>
              <w:t>3</w:t>
            </w:r>
          </w:p>
        </w:tc>
        <w:tc>
          <w:tcPr>
            <w:tcW w:w="1538" w:type="dxa"/>
            <w:vAlign w:val="center"/>
          </w:tcPr>
          <w:p>
            <w:pPr>
              <w:widowControl/>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奥克斯医院投资管理</w:t>
            </w:r>
          </w:p>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有限公司</w:t>
            </w:r>
          </w:p>
        </w:tc>
        <w:tc>
          <w:tcPr>
            <w:tcW w:w="1842" w:type="dxa"/>
            <w:vAlign w:val="center"/>
          </w:tcPr>
          <w:p>
            <w:pPr>
              <w:widowControl/>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浙北明州</w:t>
            </w:r>
          </w:p>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国际医院</w:t>
            </w:r>
          </w:p>
        </w:tc>
        <w:tc>
          <w:tcPr>
            <w:tcW w:w="992" w:type="dxa"/>
            <w:vAlign w:val="center"/>
          </w:tcPr>
          <w:p>
            <w:pPr>
              <w:widowControl/>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中心</w:t>
            </w:r>
          </w:p>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城区</w:t>
            </w:r>
          </w:p>
        </w:tc>
        <w:tc>
          <w:tcPr>
            <w:tcW w:w="1420" w:type="dxa"/>
            <w:vAlign w:val="center"/>
          </w:tcPr>
          <w:p>
            <w:pPr>
              <w:widowControl/>
              <w:jc w:val="center"/>
              <w:textAlignment w:val="center"/>
              <w:rPr>
                <w:rFonts w:ascii="仿宋_GB2312" w:eastAsia="仿宋_GB2312" w:cs="仿宋_GB2312"/>
                <w:kern w:val="2"/>
                <w:sz w:val="24"/>
                <w:szCs w:val="24"/>
              </w:rPr>
            </w:pPr>
            <w:r>
              <w:rPr>
                <w:rFonts w:ascii="仿宋_GB2312" w:hAnsi="宋体" w:eastAsia="仿宋_GB2312" w:cs="仿宋_GB2312"/>
                <w:kern w:val="2"/>
                <w:sz w:val="24"/>
                <w:szCs w:val="24"/>
              </w:rPr>
              <w:t>2016-2017</w:t>
            </w:r>
          </w:p>
        </w:tc>
        <w:tc>
          <w:tcPr>
            <w:tcW w:w="4394" w:type="dxa"/>
            <w:vAlign w:val="center"/>
          </w:tcPr>
          <w:p>
            <w:pPr>
              <w:widowControl/>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湖州第三医院原址，建筑面积</w:t>
            </w:r>
            <w:r>
              <w:rPr>
                <w:rFonts w:ascii="仿宋_GB2312" w:hAnsi="宋体" w:eastAsia="仿宋_GB2312" w:cs="仿宋_GB2312"/>
                <w:kern w:val="2"/>
                <w:sz w:val="24"/>
                <w:szCs w:val="24"/>
              </w:rPr>
              <w:t>2.3</w:t>
            </w:r>
            <w:r>
              <w:rPr>
                <w:rFonts w:hint="eastAsia" w:ascii="仿宋_GB2312" w:hAnsi="宋体" w:eastAsia="仿宋_GB2312" w:cs="仿宋_GB2312"/>
                <w:kern w:val="2"/>
                <w:sz w:val="24"/>
                <w:szCs w:val="24"/>
              </w:rPr>
              <w:t>万平方米。</w:t>
            </w:r>
          </w:p>
        </w:tc>
        <w:tc>
          <w:tcPr>
            <w:tcW w:w="1029" w:type="dxa"/>
            <w:vAlign w:val="center"/>
          </w:tcPr>
          <w:p>
            <w:pPr>
              <w:widowControl/>
              <w:jc w:val="center"/>
              <w:textAlignment w:val="center"/>
              <w:rPr>
                <w:rFonts w:ascii="仿宋_GB2312" w:eastAsia="仿宋_GB2312" w:cs="仿宋_GB2312"/>
                <w:kern w:val="2"/>
                <w:sz w:val="24"/>
                <w:szCs w:val="24"/>
              </w:rPr>
            </w:pPr>
            <w:r>
              <w:rPr>
                <w:rFonts w:ascii="仿宋_GB2312" w:hAnsi="宋体" w:eastAsia="仿宋_GB2312" w:cs="仿宋_GB2312"/>
                <w:kern w:val="2"/>
                <w:sz w:val="24"/>
                <w:szCs w:val="24"/>
              </w:rPr>
              <w:t>2</w:t>
            </w:r>
          </w:p>
        </w:tc>
        <w:tc>
          <w:tcPr>
            <w:tcW w:w="1335" w:type="dxa"/>
            <w:vAlign w:val="center"/>
          </w:tcPr>
          <w:p>
            <w:pPr>
              <w:widowControl/>
              <w:jc w:val="center"/>
              <w:textAlignment w:val="center"/>
              <w:rPr>
                <w:rFonts w:ascii="仿宋_GB2312" w:eastAsia="仿宋_GB2312" w:cs="仿宋_GB2312"/>
                <w:kern w:val="2"/>
                <w:sz w:val="24"/>
                <w:szCs w:val="24"/>
              </w:rPr>
            </w:pPr>
            <w:r>
              <w:rPr>
                <w:rFonts w:ascii="仿宋_GB2312" w:hAnsi="宋体" w:eastAsia="仿宋_GB2312" w:cs="仿宋_GB2312"/>
                <w:kern w:val="2"/>
                <w:sz w:val="24"/>
                <w:szCs w:val="24"/>
              </w:rPr>
              <w:t>2</w:t>
            </w:r>
          </w:p>
        </w:tc>
        <w:tc>
          <w:tcPr>
            <w:tcW w:w="927"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民营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9" w:hRule="atLeast"/>
          <w:jc w:val="center"/>
        </w:trPr>
        <w:tc>
          <w:tcPr>
            <w:tcW w:w="697" w:type="dxa"/>
            <w:vAlign w:val="center"/>
          </w:tcPr>
          <w:p>
            <w:pPr>
              <w:widowControl/>
              <w:jc w:val="center"/>
              <w:textAlignment w:val="center"/>
              <w:rPr>
                <w:rFonts w:ascii="仿宋_GB2312" w:eastAsia="仿宋_GB2312" w:cs="仿宋_GB2312"/>
                <w:kern w:val="2"/>
                <w:sz w:val="24"/>
                <w:szCs w:val="24"/>
              </w:rPr>
            </w:pPr>
            <w:r>
              <w:rPr>
                <w:rFonts w:ascii="仿宋_GB2312" w:hAnsi="宋体" w:eastAsia="仿宋_GB2312" w:cs="仿宋_GB2312"/>
                <w:kern w:val="2"/>
                <w:sz w:val="24"/>
                <w:szCs w:val="24"/>
              </w:rPr>
              <w:t>4</w:t>
            </w:r>
          </w:p>
        </w:tc>
        <w:tc>
          <w:tcPr>
            <w:tcW w:w="1538"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湖南鑫远投资集团有限公司</w:t>
            </w:r>
          </w:p>
        </w:tc>
        <w:tc>
          <w:tcPr>
            <w:tcW w:w="1842"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鑫达医院一期</w:t>
            </w:r>
          </w:p>
        </w:tc>
        <w:tc>
          <w:tcPr>
            <w:tcW w:w="992"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度假区</w:t>
            </w:r>
          </w:p>
        </w:tc>
        <w:tc>
          <w:tcPr>
            <w:tcW w:w="1420" w:type="dxa"/>
            <w:vAlign w:val="center"/>
          </w:tcPr>
          <w:p>
            <w:pPr>
              <w:widowControl/>
              <w:jc w:val="center"/>
              <w:textAlignment w:val="center"/>
              <w:rPr>
                <w:rFonts w:ascii="仿宋_GB2312" w:eastAsia="仿宋_GB2312" w:cs="仿宋_GB2312"/>
                <w:kern w:val="2"/>
                <w:sz w:val="24"/>
                <w:szCs w:val="24"/>
              </w:rPr>
            </w:pPr>
            <w:r>
              <w:rPr>
                <w:rFonts w:ascii="仿宋_GB2312" w:hAnsi="宋体" w:eastAsia="仿宋_GB2312" w:cs="仿宋_GB2312"/>
                <w:kern w:val="2"/>
                <w:sz w:val="24"/>
                <w:szCs w:val="24"/>
              </w:rPr>
              <w:t>2016-2020</w:t>
            </w:r>
          </w:p>
        </w:tc>
        <w:tc>
          <w:tcPr>
            <w:tcW w:w="4394" w:type="dxa"/>
            <w:vAlign w:val="center"/>
          </w:tcPr>
          <w:p>
            <w:pPr>
              <w:widowControl/>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规划床位</w:t>
            </w:r>
            <w:r>
              <w:rPr>
                <w:rFonts w:ascii="仿宋_GB2312" w:hAnsi="宋体" w:eastAsia="仿宋_GB2312" w:cs="仿宋_GB2312"/>
                <w:kern w:val="2"/>
                <w:sz w:val="24"/>
                <w:szCs w:val="24"/>
              </w:rPr>
              <w:t>1200</w:t>
            </w:r>
            <w:r>
              <w:rPr>
                <w:rFonts w:hint="eastAsia" w:ascii="仿宋_GB2312" w:hAnsi="宋体" w:eastAsia="仿宋_GB2312" w:cs="仿宋_GB2312"/>
                <w:kern w:val="2"/>
                <w:sz w:val="24"/>
                <w:szCs w:val="24"/>
              </w:rPr>
              <w:t>张，建筑面积</w:t>
            </w:r>
            <w:r>
              <w:rPr>
                <w:rFonts w:ascii="仿宋_GB2312" w:hAnsi="宋体" w:eastAsia="仿宋_GB2312" w:cs="仿宋_GB2312"/>
                <w:kern w:val="2"/>
                <w:sz w:val="24"/>
                <w:szCs w:val="24"/>
              </w:rPr>
              <w:t>16</w:t>
            </w:r>
            <w:r>
              <w:rPr>
                <w:rFonts w:hint="eastAsia" w:ascii="仿宋_GB2312" w:hAnsi="宋体" w:eastAsia="仿宋_GB2312" w:cs="仿宋_GB2312"/>
                <w:kern w:val="2"/>
                <w:sz w:val="24"/>
                <w:szCs w:val="24"/>
              </w:rPr>
              <w:t>万平方米，按综合性医院标准建设。</w:t>
            </w:r>
          </w:p>
        </w:tc>
        <w:tc>
          <w:tcPr>
            <w:tcW w:w="1029" w:type="dxa"/>
            <w:vAlign w:val="center"/>
          </w:tcPr>
          <w:p>
            <w:pPr>
              <w:widowControl/>
              <w:spacing w:beforeLines="50"/>
              <w:jc w:val="center"/>
              <w:textAlignment w:val="center"/>
              <w:rPr>
                <w:rFonts w:ascii="仿宋_GB2312" w:eastAsia="仿宋_GB2312" w:cs="仿宋_GB2312"/>
                <w:kern w:val="2"/>
                <w:sz w:val="24"/>
                <w:szCs w:val="24"/>
              </w:rPr>
            </w:pPr>
            <w:r>
              <w:rPr>
                <w:rFonts w:ascii="仿宋_GB2312" w:hAnsi="宋体" w:eastAsia="仿宋_GB2312" w:cs="仿宋_GB2312"/>
                <w:kern w:val="2"/>
                <w:sz w:val="24"/>
                <w:szCs w:val="24"/>
              </w:rPr>
              <w:t>14</w:t>
            </w:r>
          </w:p>
        </w:tc>
        <w:tc>
          <w:tcPr>
            <w:tcW w:w="1335" w:type="dxa"/>
            <w:vAlign w:val="center"/>
          </w:tcPr>
          <w:p>
            <w:pPr>
              <w:widowControl/>
              <w:spacing w:beforeLines="50"/>
              <w:jc w:val="center"/>
              <w:textAlignment w:val="center"/>
              <w:rPr>
                <w:rFonts w:ascii="仿宋_GB2312" w:eastAsia="仿宋_GB2312" w:cs="仿宋_GB2312"/>
                <w:kern w:val="2"/>
                <w:sz w:val="24"/>
                <w:szCs w:val="24"/>
              </w:rPr>
            </w:pPr>
            <w:r>
              <w:rPr>
                <w:rFonts w:ascii="仿宋_GB2312" w:hAnsi="宋体" w:eastAsia="仿宋_GB2312" w:cs="仿宋_GB2312"/>
                <w:kern w:val="2"/>
                <w:sz w:val="24"/>
                <w:szCs w:val="24"/>
              </w:rPr>
              <w:t>14</w:t>
            </w:r>
          </w:p>
        </w:tc>
        <w:tc>
          <w:tcPr>
            <w:tcW w:w="927"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民营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8" w:hRule="atLeast"/>
          <w:jc w:val="center"/>
        </w:trPr>
        <w:tc>
          <w:tcPr>
            <w:tcW w:w="697" w:type="dxa"/>
            <w:vAlign w:val="center"/>
          </w:tcPr>
          <w:p>
            <w:pPr>
              <w:widowControl/>
              <w:jc w:val="center"/>
              <w:textAlignment w:val="center"/>
              <w:rPr>
                <w:rFonts w:ascii="仿宋_GB2312" w:eastAsia="仿宋_GB2312" w:cs="仿宋_GB2312"/>
                <w:kern w:val="2"/>
                <w:sz w:val="24"/>
                <w:szCs w:val="24"/>
              </w:rPr>
            </w:pPr>
            <w:r>
              <w:rPr>
                <w:rFonts w:ascii="仿宋_GB2312" w:hAnsi="宋体" w:eastAsia="仿宋_GB2312" w:cs="仿宋_GB2312"/>
                <w:kern w:val="2"/>
                <w:sz w:val="24"/>
                <w:szCs w:val="24"/>
              </w:rPr>
              <w:t>5</w:t>
            </w:r>
          </w:p>
        </w:tc>
        <w:tc>
          <w:tcPr>
            <w:tcW w:w="1538" w:type="dxa"/>
            <w:vAlign w:val="center"/>
          </w:tcPr>
          <w:p>
            <w:pPr>
              <w:widowControl/>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吴兴区</w:t>
            </w:r>
          </w:p>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人民医院</w:t>
            </w:r>
          </w:p>
        </w:tc>
        <w:tc>
          <w:tcPr>
            <w:tcW w:w="1842"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吴兴区人民医院建设项目</w:t>
            </w:r>
          </w:p>
        </w:tc>
        <w:tc>
          <w:tcPr>
            <w:tcW w:w="992"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织里镇</w:t>
            </w:r>
          </w:p>
        </w:tc>
        <w:tc>
          <w:tcPr>
            <w:tcW w:w="1420" w:type="dxa"/>
            <w:vAlign w:val="center"/>
          </w:tcPr>
          <w:p>
            <w:pPr>
              <w:widowControl/>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2015-2018</w:t>
            </w:r>
          </w:p>
        </w:tc>
        <w:tc>
          <w:tcPr>
            <w:tcW w:w="4394" w:type="dxa"/>
            <w:vAlign w:val="center"/>
          </w:tcPr>
          <w:p>
            <w:pPr>
              <w:widowControl/>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按三级乙等综合性医院标准建设，总体规划按</w:t>
            </w:r>
            <w:r>
              <w:rPr>
                <w:rFonts w:ascii="仿宋_GB2312" w:hAnsi="宋体" w:eastAsia="仿宋_GB2312" w:cs="仿宋_GB2312"/>
                <w:kern w:val="2"/>
                <w:sz w:val="24"/>
                <w:szCs w:val="24"/>
              </w:rPr>
              <w:t>900</w:t>
            </w:r>
            <w:r>
              <w:rPr>
                <w:rFonts w:hint="eastAsia" w:ascii="仿宋_GB2312" w:hAnsi="宋体" w:eastAsia="仿宋_GB2312" w:cs="仿宋_GB2312"/>
                <w:kern w:val="2"/>
                <w:sz w:val="24"/>
                <w:szCs w:val="24"/>
              </w:rPr>
              <w:t>张床位规模的综合性医院标准进行建设</w:t>
            </w:r>
            <w:r>
              <w:rPr>
                <w:rFonts w:hint="eastAsia" w:ascii="仿宋_GB2312" w:eastAsia="仿宋_GB2312" w:cs="仿宋_GB2312"/>
                <w:kern w:val="2"/>
                <w:sz w:val="24"/>
                <w:szCs w:val="24"/>
              </w:rPr>
              <w:t>。</w:t>
            </w:r>
            <w:r>
              <w:rPr>
                <w:rFonts w:hint="eastAsia" w:ascii="仿宋_GB2312" w:hAnsi="宋体" w:eastAsia="仿宋_GB2312" w:cs="仿宋_GB2312"/>
                <w:kern w:val="2"/>
                <w:sz w:val="24"/>
                <w:szCs w:val="24"/>
              </w:rPr>
              <w:t>总用地面积为</w:t>
            </w:r>
            <w:r>
              <w:rPr>
                <w:rFonts w:ascii="仿宋_GB2312" w:hAnsi="宋体" w:eastAsia="仿宋_GB2312" w:cs="仿宋_GB2312"/>
                <w:kern w:val="2"/>
                <w:sz w:val="24"/>
                <w:szCs w:val="24"/>
              </w:rPr>
              <w:t>113.56</w:t>
            </w:r>
            <w:r>
              <w:rPr>
                <w:rFonts w:hint="eastAsia" w:ascii="仿宋_GB2312" w:hAnsi="宋体" w:eastAsia="仿宋_GB2312" w:cs="仿宋_GB2312"/>
                <w:kern w:val="2"/>
                <w:sz w:val="24"/>
                <w:szCs w:val="24"/>
              </w:rPr>
              <w:t>亩；总建筑面积为</w:t>
            </w:r>
            <w:r>
              <w:rPr>
                <w:rFonts w:ascii="仿宋_GB2312" w:hAnsi="宋体" w:eastAsia="仿宋_GB2312" w:cs="仿宋_GB2312"/>
                <w:kern w:val="2"/>
                <w:sz w:val="24"/>
                <w:szCs w:val="24"/>
              </w:rPr>
              <w:t>10.89</w:t>
            </w:r>
            <w:r>
              <w:rPr>
                <w:rFonts w:hint="eastAsia" w:ascii="仿宋_GB2312" w:hAnsi="宋体" w:eastAsia="仿宋_GB2312" w:cs="仿宋_GB2312"/>
                <w:kern w:val="2"/>
                <w:sz w:val="24"/>
                <w:szCs w:val="24"/>
              </w:rPr>
              <w:t>平方米。</w:t>
            </w:r>
          </w:p>
        </w:tc>
        <w:tc>
          <w:tcPr>
            <w:tcW w:w="1029" w:type="dxa"/>
          </w:tcPr>
          <w:p>
            <w:pPr>
              <w:widowControl/>
              <w:spacing w:beforeLines="200"/>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4.9</w:t>
            </w:r>
          </w:p>
        </w:tc>
        <w:tc>
          <w:tcPr>
            <w:tcW w:w="1335" w:type="dxa"/>
          </w:tcPr>
          <w:p>
            <w:pPr>
              <w:widowControl/>
              <w:spacing w:beforeLines="200"/>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4.4</w:t>
            </w:r>
          </w:p>
        </w:tc>
        <w:tc>
          <w:tcPr>
            <w:tcW w:w="927" w:type="dxa"/>
            <w:vAlign w:val="center"/>
          </w:tcPr>
          <w:p>
            <w:pPr>
              <w:widowControl/>
              <w:jc w:val="center"/>
              <w:textAlignment w:val="center"/>
              <w:rPr>
                <w:rFonts w:ascii="仿宋_GB2312" w:eastAsia="仿宋_GB2312" w:cs="仿宋_GB2312"/>
                <w:kern w:val="2"/>
                <w:sz w:val="24"/>
                <w:szCs w:val="24"/>
              </w:rPr>
            </w:pPr>
            <w:r>
              <w:rPr>
                <w:rFonts w:ascii="仿宋_GB2312" w:hAnsi="宋体" w:eastAsia="仿宋_GB2312" w:cs="仿宋_GB2312"/>
                <w:kern w:val="2"/>
                <w:sz w:val="24"/>
                <w:szCs w:val="24"/>
              </w:rPr>
              <w:t>PPP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5" w:hRule="atLeast"/>
          <w:jc w:val="center"/>
        </w:trPr>
        <w:tc>
          <w:tcPr>
            <w:tcW w:w="697" w:type="dxa"/>
            <w:vAlign w:val="center"/>
          </w:tcPr>
          <w:p>
            <w:pPr>
              <w:widowControl/>
              <w:spacing w:line="280" w:lineRule="exact"/>
              <w:jc w:val="center"/>
              <w:textAlignment w:val="center"/>
              <w:rPr>
                <w:rFonts w:ascii="仿宋_GB2312" w:eastAsia="仿宋_GB2312" w:cs="仿宋_GB2312"/>
                <w:kern w:val="2"/>
                <w:sz w:val="24"/>
                <w:szCs w:val="24"/>
              </w:rPr>
            </w:pPr>
            <w:r>
              <w:rPr>
                <w:rFonts w:ascii="仿宋_GB2312" w:hAnsi="宋体" w:eastAsia="仿宋_GB2312" w:cs="仿宋_GB2312"/>
                <w:kern w:val="2"/>
                <w:sz w:val="24"/>
                <w:szCs w:val="24"/>
              </w:rPr>
              <w:t>6</w:t>
            </w:r>
          </w:p>
        </w:tc>
        <w:tc>
          <w:tcPr>
            <w:tcW w:w="1538"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吴兴区中西医结合医院</w:t>
            </w:r>
          </w:p>
        </w:tc>
        <w:tc>
          <w:tcPr>
            <w:tcW w:w="1842"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吴兴区中西医结合医院新建住院大楼</w:t>
            </w:r>
          </w:p>
        </w:tc>
        <w:tc>
          <w:tcPr>
            <w:tcW w:w="992"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吴兴区</w:t>
            </w:r>
          </w:p>
        </w:tc>
        <w:tc>
          <w:tcPr>
            <w:tcW w:w="1420"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2016-2018</w:t>
            </w:r>
          </w:p>
        </w:tc>
        <w:tc>
          <w:tcPr>
            <w:tcW w:w="4394" w:type="dxa"/>
            <w:vAlign w:val="center"/>
          </w:tcPr>
          <w:p>
            <w:pPr>
              <w:widowControl/>
              <w:spacing w:line="280" w:lineRule="exact"/>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新建住院大楼，计划建筑面积</w:t>
            </w:r>
            <w:r>
              <w:rPr>
                <w:rFonts w:ascii="仿宋_GB2312" w:hAnsi="宋体" w:eastAsia="仿宋_GB2312" w:cs="仿宋_GB2312"/>
                <w:kern w:val="2"/>
                <w:sz w:val="24"/>
                <w:szCs w:val="24"/>
              </w:rPr>
              <w:t>2</w:t>
            </w:r>
            <w:r>
              <w:rPr>
                <w:rFonts w:hint="eastAsia" w:ascii="仿宋_GB2312" w:hAnsi="宋体" w:eastAsia="仿宋_GB2312" w:cs="仿宋_GB2312"/>
                <w:kern w:val="2"/>
                <w:sz w:val="24"/>
                <w:szCs w:val="24"/>
              </w:rPr>
              <w:t>万平方米，新增床位</w:t>
            </w:r>
            <w:r>
              <w:rPr>
                <w:rFonts w:ascii="仿宋_GB2312" w:hAnsi="宋体" w:eastAsia="仿宋_GB2312" w:cs="仿宋_GB2312"/>
                <w:kern w:val="2"/>
                <w:sz w:val="24"/>
                <w:szCs w:val="24"/>
              </w:rPr>
              <w:t>300</w:t>
            </w:r>
            <w:r>
              <w:rPr>
                <w:rFonts w:hint="eastAsia" w:ascii="仿宋_GB2312" w:hAnsi="宋体" w:eastAsia="仿宋_GB2312" w:cs="仿宋_GB2312"/>
                <w:kern w:val="2"/>
                <w:sz w:val="24"/>
                <w:szCs w:val="24"/>
              </w:rPr>
              <w:t>张。</w:t>
            </w:r>
          </w:p>
        </w:tc>
        <w:tc>
          <w:tcPr>
            <w:tcW w:w="1029"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0.5</w:t>
            </w:r>
          </w:p>
        </w:tc>
        <w:tc>
          <w:tcPr>
            <w:tcW w:w="1335"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0.5</w:t>
            </w:r>
          </w:p>
        </w:tc>
        <w:tc>
          <w:tcPr>
            <w:tcW w:w="927"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民营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2" w:hRule="atLeast"/>
          <w:jc w:val="center"/>
        </w:trPr>
        <w:tc>
          <w:tcPr>
            <w:tcW w:w="697" w:type="dxa"/>
            <w:vAlign w:val="center"/>
          </w:tcPr>
          <w:p>
            <w:pPr>
              <w:widowControl/>
              <w:spacing w:line="280" w:lineRule="exact"/>
              <w:jc w:val="center"/>
              <w:textAlignment w:val="center"/>
              <w:rPr>
                <w:rFonts w:ascii="仿宋_GB2312" w:eastAsia="仿宋_GB2312" w:cs="仿宋_GB2312"/>
                <w:kern w:val="2"/>
                <w:sz w:val="24"/>
                <w:szCs w:val="24"/>
              </w:rPr>
            </w:pPr>
            <w:r>
              <w:rPr>
                <w:rFonts w:ascii="仿宋_GB2312" w:hAnsi="宋体" w:eastAsia="仿宋_GB2312" w:cs="仿宋_GB2312"/>
                <w:kern w:val="2"/>
                <w:sz w:val="24"/>
                <w:szCs w:val="24"/>
              </w:rPr>
              <w:t>7</w:t>
            </w:r>
          </w:p>
        </w:tc>
        <w:tc>
          <w:tcPr>
            <w:tcW w:w="1538"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吴兴区</w:t>
            </w:r>
          </w:p>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公共卫生中心</w:t>
            </w:r>
          </w:p>
        </w:tc>
        <w:tc>
          <w:tcPr>
            <w:tcW w:w="1842"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吴兴区公共卫生中心建设项目</w:t>
            </w:r>
          </w:p>
        </w:tc>
        <w:tc>
          <w:tcPr>
            <w:tcW w:w="992"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八里店镇</w:t>
            </w:r>
          </w:p>
        </w:tc>
        <w:tc>
          <w:tcPr>
            <w:tcW w:w="1420"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2016-2018</w:t>
            </w:r>
          </w:p>
        </w:tc>
        <w:tc>
          <w:tcPr>
            <w:tcW w:w="4394" w:type="dxa"/>
            <w:vAlign w:val="center"/>
          </w:tcPr>
          <w:p>
            <w:pPr>
              <w:widowControl/>
              <w:spacing w:line="280" w:lineRule="exact"/>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建筑面积</w:t>
            </w:r>
            <w:r>
              <w:rPr>
                <w:rFonts w:ascii="仿宋_GB2312" w:hAnsi="宋体" w:eastAsia="仿宋_GB2312" w:cs="仿宋_GB2312"/>
                <w:kern w:val="2"/>
                <w:sz w:val="24"/>
                <w:szCs w:val="24"/>
              </w:rPr>
              <w:t>1.2</w:t>
            </w:r>
            <w:r>
              <w:rPr>
                <w:rFonts w:hint="eastAsia" w:ascii="仿宋_GB2312" w:hAnsi="宋体" w:eastAsia="仿宋_GB2312" w:cs="仿宋_GB2312"/>
                <w:kern w:val="2"/>
                <w:sz w:val="24"/>
                <w:szCs w:val="24"/>
              </w:rPr>
              <w:t>万方米（项目实施以政府批复为准）。</w:t>
            </w:r>
          </w:p>
        </w:tc>
        <w:tc>
          <w:tcPr>
            <w:tcW w:w="1029" w:type="dxa"/>
            <w:vAlign w:val="center"/>
          </w:tcPr>
          <w:p>
            <w:pPr>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0.65</w:t>
            </w:r>
          </w:p>
        </w:tc>
        <w:tc>
          <w:tcPr>
            <w:tcW w:w="1335" w:type="dxa"/>
            <w:vAlign w:val="center"/>
          </w:tcPr>
          <w:p>
            <w:pPr>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0.65</w:t>
            </w:r>
          </w:p>
        </w:tc>
        <w:tc>
          <w:tcPr>
            <w:tcW w:w="927"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eastAsia="仿宋_GB2312" w:cs="仿宋_GB2312"/>
                <w:kern w:val="2"/>
                <w:sz w:val="24"/>
                <w:szCs w:val="24"/>
              </w:rPr>
              <w:t>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6" w:hRule="atLeast"/>
          <w:jc w:val="center"/>
        </w:trPr>
        <w:tc>
          <w:tcPr>
            <w:tcW w:w="697" w:type="dxa"/>
            <w:vAlign w:val="center"/>
          </w:tcPr>
          <w:p>
            <w:pPr>
              <w:widowControl/>
              <w:spacing w:line="280" w:lineRule="exact"/>
              <w:jc w:val="center"/>
              <w:textAlignment w:val="center"/>
              <w:rPr>
                <w:rFonts w:ascii="仿宋_GB2312" w:eastAsia="仿宋_GB2312" w:cs="仿宋_GB2312"/>
                <w:kern w:val="2"/>
                <w:sz w:val="24"/>
                <w:szCs w:val="24"/>
              </w:rPr>
            </w:pPr>
            <w:r>
              <w:rPr>
                <w:rFonts w:ascii="仿宋_GB2312" w:eastAsia="仿宋_GB2312" w:cs="仿宋_GB2312"/>
                <w:kern w:val="2"/>
                <w:sz w:val="24"/>
                <w:szCs w:val="24"/>
              </w:rPr>
              <w:t>8</w:t>
            </w:r>
          </w:p>
        </w:tc>
        <w:tc>
          <w:tcPr>
            <w:tcW w:w="1538"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南浔人民医院</w:t>
            </w:r>
          </w:p>
        </w:tc>
        <w:tc>
          <w:tcPr>
            <w:tcW w:w="1842"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南浔区人民医院新建工程</w:t>
            </w:r>
          </w:p>
        </w:tc>
        <w:tc>
          <w:tcPr>
            <w:tcW w:w="992"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南浔镇</w:t>
            </w:r>
          </w:p>
        </w:tc>
        <w:tc>
          <w:tcPr>
            <w:tcW w:w="1420"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2013-2017</w:t>
            </w:r>
          </w:p>
        </w:tc>
        <w:tc>
          <w:tcPr>
            <w:tcW w:w="4394" w:type="dxa"/>
            <w:vAlign w:val="center"/>
          </w:tcPr>
          <w:p>
            <w:pPr>
              <w:widowControl/>
              <w:spacing w:line="280" w:lineRule="exact"/>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按照三级乙等综合性医院标准建设，一期完成门诊大楼、住院楼等设施。</w:t>
            </w:r>
          </w:p>
        </w:tc>
        <w:tc>
          <w:tcPr>
            <w:tcW w:w="1029" w:type="dxa"/>
            <w:vAlign w:val="center"/>
          </w:tcPr>
          <w:p>
            <w:pPr>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5.12</w:t>
            </w:r>
          </w:p>
        </w:tc>
        <w:tc>
          <w:tcPr>
            <w:tcW w:w="1335" w:type="dxa"/>
            <w:vAlign w:val="center"/>
          </w:tcPr>
          <w:p>
            <w:pPr>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3</w:t>
            </w:r>
          </w:p>
        </w:tc>
        <w:tc>
          <w:tcPr>
            <w:tcW w:w="927"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697" w:type="dxa"/>
            <w:vAlign w:val="center"/>
          </w:tcPr>
          <w:p>
            <w:pPr>
              <w:widowControl/>
              <w:spacing w:line="280" w:lineRule="exact"/>
              <w:jc w:val="center"/>
              <w:textAlignment w:val="center"/>
              <w:rPr>
                <w:rFonts w:ascii="仿宋_GB2312" w:eastAsia="仿宋_GB2312" w:cs="仿宋_GB2312"/>
                <w:kern w:val="2"/>
                <w:sz w:val="24"/>
                <w:szCs w:val="24"/>
              </w:rPr>
            </w:pPr>
            <w:r>
              <w:rPr>
                <w:rFonts w:ascii="仿宋_GB2312" w:eastAsia="仿宋_GB2312" w:cs="仿宋_GB2312"/>
                <w:kern w:val="2"/>
                <w:sz w:val="24"/>
                <w:szCs w:val="24"/>
              </w:rPr>
              <w:t>9</w:t>
            </w:r>
          </w:p>
        </w:tc>
        <w:tc>
          <w:tcPr>
            <w:tcW w:w="1538"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南浔区</w:t>
            </w:r>
          </w:p>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公共卫生中心</w:t>
            </w:r>
          </w:p>
        </w:tc>
        <w:tc>
          <w:tcPr>
            <w:tcW w:w="1842"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南浔区</w:t>
            </w:r>
          </w:p>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公共卫生中心</w:t>
            </w:r>
          </w:p>
        </w:tc>
        <w:tc>
          <w:tcPr>
            <w:tcW w:w="992"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南浔区</w:t>
            </w:r>
          </w:p>
        </w:tc>
        <w:tc>
          <w:tcPr>
            <w:tcW w:w="1420"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2018-2020</w:t>
            </w:r>
          </w:p>
        </w:tc>
        <w:tc>
          <w:tcPr>
            <w:tcW w:w="4394" w:type="dxa"/>
            <w:vAlign w:val="center"/>
          </w:tcPr>
          <w:p>
            <w:pPr>
              <w:widowControl/>
              <w:spacing w:line="280" w:lineRule="exact"/>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项目拟征地</w:t>
            </w:r>
            <w:r>
              <w:rPr>
                <w:rFonts w:ascii="仿宋_GB2312" w:hAnsi="宋体" w:eastAsia="仿宋_GB2312" w:cs="仿宋_GB2312"/>
                <w:kern w:val="2"/>
                <w:sz w:val="24"/>
                <w:szCs w:val="24"/>
              </w:rPr>
              <w:t>35</w:t>
            </w:r>
            <w:r>
              <w:rPr>
                <w:rFonts w:hint="eastAsia" w:ascii="仿宋_GB2312" w:hAnsi="宋体" w:eastAsia="仿宋_GB2312" w:cs="仿宋_GB2312"/>
                <w:kern w:val="2"/>
                <w:sz w:val="24"/>
                <w:szCs w:val="24"/>
              </w:rPr>
              <w:t>亩，总建筑面积约</w:t>
            </w:r>
            <w:r>
              <w:rPr>
                <w:rFonts w:ascii="仿宋_GB2312" w:hAnsi="宋体" w:eastAsia="仿宋_GB2312" w:cs="仿宋_GB2312"/>
                <w:kern w:val="2"/>
                <w:sz w:val="24"/>
                <w:szCs w:val="24"/>
              </w:rPr>
              <w:t>1.97</w:t>
            </w:r>
            <w:r>
              <w:rPr>
                <w:rFonts w:hint="eastAsia" w:ascii="仿宋_GB2312" w:hAnsi="宋体" w:eastAsia="仿宋_GB2312" w:cs="仿宋_GB2312"/>
                <w:kern w:val="2"/>
                <w:sz w:val="24"/>
                <w:szCs w:val="24"/>
              </w:rPr>
              <w:t>万平方米，建设内容包含区疾病预防控制中心、区卫生监督所、区妇幼保健计划生育服务中心、区</w:t>
            </w:r>
            <w:r>
              <w:rPr>
                <w:rFonts w:ascii="仿宋_GB2312" w:hAnsi="宋体" w:eastAsia="仿宋_GB2312" w:cs="仿宋_GB2312"/>
                <w:kern w:val="2"/>
                <w:sz w:val="24"/>
                <w:szCs w:val="24"/>
              </w:rPr>
              <w:t>120</w:t>
            </w:r>
            <w:r>
              <w:rPr>
                <w:rFonts w:hint="eastAsia" w:ascii="仿宋_GB2312" w:hAnsi="宋体" w:eastAsia="仿宋_GB2312" w:cs="仿宋_GB2312"/>
                <w:kern w:val="2"/>
                <w:sz w:val="24"/>
                <w:szCs w:val="24"/>
              </w:rPr>
              <w:t>急救站、区血站等卫生计生机构及行业学会等机构（项目实施以政府批复为准）。</w:t>
            </w:r>
          </w:p>
        </w:tc>
        <w:tc>
          <w:tcPr>
            <w:tcW w:w="1029" w:type="dxa"/>
            <w:vAlign w:val="center"/>
          </w:tcPr>
          <w:p>
            <w:pPr>
              <w:adjustRightInd w:val="0"/>
              <w:snapToGrid w:val="0"/>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1.09</w:t>
            </w:r>
          </w:p>
        </w:tc>
        <w:tc>
          <w:tcPr>
            <w:tcW w:w="1335" w:type="dxa"/>
            <w:vAlign w:val="center"/>
          </w:tcPr>
          <w:p>
            <w:pPr>
              <w:adjustRightInd w:val="0"/>
              <w:snapToGrid w:val="0"/>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1.09</w:t>
            </w:r>
          </w:p>
        </w:tc>
        <w:tc>
          <w:tcPr>
            <w:tcW w:w="927"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eastAsia="仿宋_GB2312" w:cs="仿宋_GB2312"/>
                <w:kern w:val="2"/>
                <w:sz w:val="24"/>
                <w:szCs w:val="24"/>
              </w:rPr>
              <w:t>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697" w:type="dxa"/>
            <w:vAlign w:val="center"/>
          </w:tcPr>
          <w:p>
            <w:pPr>
              <w:widowControl/>
              <w:spacing w:line="280" w:lineRule="exact"/>
              <w:jc w:val="center"/>
              <w:textAlignment w:val="center"/>
              <w:rPr>
                <w:rFonts w:ascii="仿宋_GB2312" w:eastAsia="仿宋_GB2312" w:cs="仿宋_GB2312"/>
                <w:kern w:val="2"/>
                <w:sz w:val="24"/>
                <w:szCs w:val="24"/>
              </w:rPr>
            </w:pPr>
            <w:r>
              <w:rPr>
                <w:rFonts w:ascii="仿宋_GB2312" w:eastAsia="仿宋_GB2312" w:cs="仿宋_GB2312"/>
                <w:kern w:val="2"/>
                <w:sz w:val="24"/>
                <w:szCs w:val="24"/>
              </w:rPr>
              <w:t>10</w:t>
            </w:r>
          </w:p>
        </w:tc>
        <w:tc>
          <w:tcPr>
            <w:tcW w:w="1538"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菱湖人民医院</w:t>
            </w:r>
          </w:p>
        </w:tc>
        <w:tc>
          <w:tcPr>
            <w:tcW w:w="1842"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菱湖人民医院</w:t>
            </w:r>
          </w:p>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异地新建</w:t>
            </w:r>
          </w:p>
        </w:tc>
        <w:tc>
          <w:tcPr>
            <w:tcW w:w="992"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菱湖镇</w:t>
            </w:r>
          </w:p>
        </w:tc>
        <w:tc>
          <w:tcPr>
            <w:tcW w:w="1420"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2016-2019</w:t>
            </w:r>
          </w:p>
        </w:tc>
        <w:tc>
          <w:tcPr>
            <w:tcW w:w="4394" w:type="dxa"/>
            <w:vAlign w:val="center"/>
          </w:tcPr>
          <w:p>
            <w:pPr>
              <w:widowControl/>
              <w:spacing w:line="280" w:lineRule="exact"/>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建设地址于菱湖镇菱新公路与凤鸣路交叉口东北角地块。项目建设用地</w:t>
            </w:r>
            <w:r>
              <w:rPr>
                <w:rFonts w:ascii="仿宋_GB2312" w:hAnsi="宋体" w:eastAsia="仿宋_GB2312" w:cs="仿宋_GB2312"/>
                <w:kern w:val="2"/>
                <w:sz w:val="24"/>
                <w:szCs w:val="24"/>
              </w:rPr>
              <w:t>66</w:t>
            </w:r>
            <w:r>
              <w:rPr>
                <w:rFonts w:hint="eastAsia" w:ascii="仿宋_GB2312" w:hAnsi="宋体" w:eastAsia="仿宋_GB2312" w:cs="仿宋_GB2312"/>
                <w:kern w:val="2"/>
                <w:sz w:val="24"/>
                <w:szCs w:val="24"/>
              </w:rPr>
              <w:t>亩，规划总床位</w:t>
            </w:r>
            <w:r>
              <w:rPr>
                <w:rFonts w:ascii="仿宋_GB2312" w:hAnsi="宋体" w:eastAsia="仿宋_GB2312" w:cs="仿宋_GB2312"/>
                <w:kern w:val="2"/>
                <w:sz w:val="24"/>
                <w:szCs w:val="24"/>
              </w:rPr>
              <w:t>260</w:t>
            </w:r>
            <w:r>
              <w:rPr>
                <w:rFonts w:hint="eastAsia" w:ascii="仿宋_GB2312" w:hAnsi="宋体" w:eastAsia="仿宋_GB2312" w:cs="仿宋_GB2312"/>
                <w:kern w:val="2"/>
                <w:sz w:val="24"/>
                <w:szCs w:val="24"/>
              </w:rPr>
              <w:t>张，建筑面积</w:t>
            </w:r>
            <w:r>
              <w:rPr>
                <w:rFonts w:ascii="仿宋_GB2312" w:hAnsi="宋体" w:eastAsia="仿宋_GB2312" w:cs="仿宋_GB2312"/>
                <w:kern w:val="2"/>
                <w:sz w:val="24"/>
                <w:szCs w:val="24"/>
              </w:rPr>
              <w:t>3.18</w:t>
            </w:r>
            <w:r>
              <w:rPr>
                <w:rFonts w:hint="eastAsia" w:ascii="仿宋_GB2312" w:hAnsi="宋体" w:eastAsia="仿宋_GB2312" w:cs="仿宋_GB2312"/>
                <w:kern w:val="2"/>
                <w:sz w:val="24"/>
                <w:szCs w:val="24"/>
              </w:rPr>
              <w:t>万平方米（含社区卫生服务中心）。</w:t>
            </w:r>
          </w:p>
        </w:tc>
        <w:tc>
          <w:tcPr>
            <w:tcW w:w="1029" w:type="dxa"/>
            <w:vAlign w:val="center"/>
          </w:tcPr>
          <w:p>
            <w:pPr>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1.56</w:t>
            </w:r>
          </w:p>
        </w:tc>
        <w:tc>
          <w:tcPr>
            <w:tcW w:w="1335" w:type="dxa"/>
            <w:vAlign w:val="center"/>
          </w:tcPr>
          <w:p>
            <w:pPr>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1.56</w:t>
            </w:r>
          </w:p>
        </w:tc>
        <w:tc>
          <w:tcPr>
            <w:tcW w:w="927" w:type="dxa"/>
            <w:vAlign w:val="center"/>
          </w:tcPr>
          <w:p>
            <w:pPr>
              <w:widowControl/>
              <w:spacing w:line="280" w:lineRule="exact"/>
              <w:jc w:val="center"/>
              <w:textAlignment w:val="center"/>
              <w:rPr>
                <w:rFonts w:ascii="仿宋_GB2312" w:eastAsia="仿宋_GB2312" w:cs="仿宋_GB2312"/>
                <w:kern w:val="2"/>
                <w:sz w:val="24"/>
                <w:szCs w:val="24"/>
              </w:rPr>
            </w:pPr>
            <w:r>
              <w:rPr>
                <w:rFonts w:ascii="仿宋_GB2312" w:hAnsi="宋体" w:eastAsia="仿宋_GB2312" w:cs="仿宋_GB2312"/>
                <w:kern w:val="2"/>
                <w:sz w:val="24"/>
                <w:szCs w:val="24"/>
              </w:rPr>
              <w:t>PPP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1" w:hRule="atLeast"/>
          <w:jc w:val="center"/>
        </w:trPr>
        <w:tc>
          <w:tcPr>
            <w:tcW w:w="697" w:type="dxa"/>
            <w:vAlign w:val="center"/>
          </w:tcPr>
          <w:p>
            <w:pPr>
              <w:widowControl/>
              <w:spacing w:line="280" w:lineRule="exact"/>
              <w:jc w:val="center"/>
              <w:textAlignment w:val="center"/>
              <w:rPr>
                <w:rFonts w:ascii="仿宋_GB2312" w:eastAsia="仿宋_GB2312" w:cs="仿宋_GB2312"/>
                <w:kern w:val="2"/>
                <w:sz w:val="24"/>
                <w:szCs w:val="24"/>
              </w:rPr>
            </w:pPr>
            <w:r>
              <w:rPr>
                <w:rFonts w:ascii="仿宋_GB2312" w:eastAsia="仿宋_GB2312" w:cs="仿宋_GB2312"/>
                <w:kern w:val="2"/>
                <w:sz w:val="24"/>
                <w:szCs w:val="24"/>
              </w:rPr>
              <w:t>11</w:t>
            </w:r>
          </w:p>
        </w:tc>
        <w:tc>
          <w:tcPr>
            <w:tcW w:w="1538"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练市医院</w:t>
            </w:r>
          </w:p>
        </w:tc>
        <w:tc>
          <w:tcPr>
            <w:tcW w:w="1842"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练市医院</w:t>
            </w:r>
          </w:p>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异地新建</w:t>
            </w:r>
          </w:p>
        </w:tc>
        <w:tc>
          <w:tcPr>
            <w:tcW w:w="992"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练市镇</w:t>
            </w:r>
          </w:p>
        </w:tc>
        <w:tc>
          <w:tcPr>
            <w:tcW w:w="1420"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2017-2020</w:t>
            </w:r>
          </w:p>
        </w:tc>
        <w:tc>
          <w:tcPr>
            <w:tcW w:w="4394" w:type="dxa"/>
            <w:vAlign w:val="center"/>
          </w:tcPr>
          <w:p>
            <w:pPr>
              <w:widowControl/>
              <w:spacing w:line="280" w:lineRule="exact"/>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总投资</w:t>
            </w:r>
            <w:r>
              <w:rPr>
                <w:rFonts w:ascii="仿宋_GB2312" w:hAnsi="宋体" w:eastAsia="仿宋_GB2312" w:cs="仿宋_GB2312"/>
                <w:kern w:val="2"/>
                <w:sz w:val="24"/>
                <w:szCs w:val="24"/>
              </w:rPr>
              <w:t>2</w:t>
            </w:r>
            <w:r>
              <w:rPr>
                <w:rFonts w:hint="eastAsia" w:ascii="仿宋_GB2312" w:hAnsi="宋体" w:eastAsia="仿宋_GB2312" w:cs="仿宋_GB2312"/>
                <w:kern w:val="2"/>
                <w:sz w:val="24"/>
                <w:szCs w:val="24"/>
              </w:rPr>
              <w:t>亿元</w:t>
            </w:r>
            <w:r>
              <w:rPr>
                <w:rFonts w:ascii="仿宋_GB2312" w:eastAsia="仿宋_GB2312" w:cs="仿宋_GB2312"/>
                <w:kern w:val="2"/>
                <w:sz w:val="24"/>
                <w:szCs w:val="24"/>
              </w:rPr>
              <w:t>,</w:t>
            </w:r>
            <w:r>
              <w:rPr>
                <w:rFonts w:hint="eastAsia" w:ascii="仿宋_GB2312" w:hAnsi="宋体" w:eastAsia="仿宋_GB2312" w:cs="仿宋_GB2312"/>
                <w:kern w:val="2"/>
                <w:sz w:val="24"/>
                <w:szCs w:val="24"/>
              </w:rPr>
              <w:t>床位</w:t>
            </w:r>
            <w:r>
              <w:rPr>
                <w:rFonts w:ascii="仿宋_GB2312" w:hAnsi="宋体" w:eastAsia="仿宋_GB2312" w:cs="仿宋_GB2312"/>
                <w:kern w:val="2"/>
                <w:sz w:val="24"/>
                <w:szCs w:val="24"/>
              </w:rPr>
              <w:t>280</w:t>
            </w:r>
            <w:r>
              <w:rPr>
                <w:rFonts w:hint="eastAsia" w:ascii="仿宋_GB2312" w:hAnsi="宋体" w:eastAsia="仿宋_GB2312" w:cs="仿宋_GB2312"/>
                <w:kern w:val="2"/>
                <w:sz w:val="24"/>
                <w:szCs w:val="24"/>
              </w:rPr>
              <w:t>张，拟建设用地</w:t>
            </w:r>
            <w:r>
              <w:rPr>
                <w:rFonts w:ascii="仿宋_GB2312" w:hAnsi="宋体" w:eastAsia="仿宋_GB2312" w:cs="仿宋_GB2312"/>
                <w:kern w:val="2"/>
                <w:sz w:val="24"/>
                <w:szCs w:val="24"/>
              </w:rPr>
              <w:t>80</w:t>
            </w:r>
            <w:r>
              <w:rPr>
                <w:rFonts w:hint="eastAsia" w:ascii="仿宋_GB2312" w:hAnsi="宋体" w:eastAsia="仿宋_GB2312" w:cs="仿宋_GB2312"/>
                <w:kern w:val="2"/>
                <w:sz w:val="24"/>
                <w:szCs w:val="24"/>
              </w:rPr>
              <w:t>亩，总建筑面积</w:t>
            </w:r>
            <w:r>
              <w:rPr>
                <w:rFonts w:ascii="仿宋_GB2312" w:hAnsi="宋体" w:eastAsia="仿宋_GB2312" w:cs="仿宋_GB2312"/>
                <w:kern w:val="2"/>
                <w:sz w:val="24"/>
                <w:szCs w:val="24"/>
              </w:rPr>
              <w:t>2.98</w:t>
            </w:r>
            <w:r>
              <w:rPr>
                <w:rFonts w:hint="eastAsia" w:ascii="仿宋_GB2312" w:hAnsi="宋体" w:eastAsia="仿宋_GB2312" w:cs="仿宋_GB2312"/>
                <w:kern w:val="2"/>
                <w:sz w:val="24"/>
                <w:szCs w:val="24"/>
              </w:rPr>
              <w:t>万平方米（含社区卫生服务中心）。</w:t>
            </w:r>
          </w:p>
        </w:tc>
        <w:tc>
          <w:tcPr>
            <w:tcW w:w="1029" w:type="dxa"/>
            <w:vAlign w:val="center"/>
          </w:tcPr>
          <w:p>
            <w:pPr>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w:t>
            </w:r>
          </w:p>
        </w:tc>
        <w:tc>
          <w:tcPr>
            <w:tcW w:w="1335" w:type="dxa"/>
            <w:vAlign w:val="center"/>
          </w:tcPr>
          <w:p>
            <w:pPr>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w:t>
            </w:r>
          </w:p>
        </w:tc>
        <w:tc>
          <w:tcPr>
            <w:tcW w:w="927" w:type="dxa"/>
            <w:vAlign w:val="center"/>
          </w:tcPr>
          <w:p>
            <w:pPr>
              <w:widowControl/>
              <w:spacing w:line="280" w:lineRule="exact"/>
              <w:jc w:val="center"/>
              <w:textAlignment w:val="center"/>
              <w:rPr>
                <w:rFonts w:ascii="仿宋_GB2312" w:eastAsia="仿宋_GB2312" w:cs="仿宋_GB2312"/>
                <w:kern w:val="2"/>
                <w:sz w:val="24"/>
                <w:szCs w:val="24"/>
              </w:rPr>
            </w:pPr>
            <w:r>
              <w:rPr>
                <w:rFonts w:ascii="仿宋_GB2312" w:hAnsi="宋体" w:eastAsia="仿宋_GB2312" w:cs="仿宋_GB2312"/>
                <w:kern w:val="2"/>
                <w:sz w:val="24"/>
                <w:szCs w:val="24"/>
              </w:rPr>
              <w:t>PPP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97" w:type="dxa"/>
            <w:vAlign w:val="center"/>
          </w:tcPr>
          <w:p>
            <w:pPr>
              <w:widowControl/>
              <w:spacing w:line="280" w:lineRule="exact"/>
              <w:jc w:val="center"/>
              <w:textAlignment w:val="center"/>
              <w:rPr>
                <w:rFonts w:ascii="仿宋_GB2312" w:eastAsia="仿宋_GB2312" w:cs="仿宋_GB2312"/>
                <w:kern w:val="2"/>
                <w:sz w:val="24"/>
                <w:szCs w:val="24"/>
              </w:rPr>
            </w:pPr>
            <w:r>
              <w:rPr>
                <w:rFonts w:ascii="仿宋_GB2312" w:eastAsia="仿宋_GB2312" w:cs="仿宋_GB2312"/>
                <w:kern w:val="2"/>
                <w:sz w:val="24"/>
                <w:szCs w:val="24"/>
              </w:rPr>
              <w:t>12</w:t>
            </w:r>
          </w:p>
        </w:tc>
        <w:tc>
          <w:tcPr>
            <w:tcW w:w="1538"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德清县城市建设发展总公司</w:t>
            </w:r>
          </w:p>
        </w:tc>
        <w:tc>
          <w:tcPr>
            <w:tcW w:w="1842" w:type="dxa"/>
            <w:vAlign w:val="center"/>
          </w:tcPr>
          <w:p>
            <w:pPr>
              <w:widowControl/>
              <w:spacing w:line="280" w:lineRule="exact"/>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德清县人民医院住院楼、高压氧舱及医疗辅助用房</w:t>
            </w:r>
          </w:p>
        </w:tc>
        <w:tc>
          <w:tcPr>
            <w:tcW w:w="992"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武康镇</w:t>
            </w:r>
          </w:p>
        </w:tc>
        <w:tc>
          <w:tcPr>
            <w:tcW w:w="1420"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2015-2017</w:t>
            </w:r>
          </w:p>
        </w:tc>
        <w:tc>
          <w:tcPr>
            <w:tcW w:w="4394" w:type="dxa"/>
            <w:vAlign w:val="center"/>
          </w:tcPr>
          <w:p>
            <w:pPr>
              <w:widowControl/>
              <w:spacing w:line="280" w:lineRule="exact"/>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新建住院楼、门诊楼、急诊楼、医技行政楼、后勤楼等，总建筑面积</w:t>
            </w:r>
            <w:r>
              <w:rPr>
                <w:rFonts w:ascii="仿宋_GB2312" w:hAnsi="宋体" w:eastAsia="仿宋_GB2312" w:cs="仿宋_GB2312"/>
                <w:kern w:val="2"/>
                <w:sz w:val="24"/>
                <w:szCs w:val="24"/>
              </w:rPr>
              <w:t>6</w:t>
            </w:r>
            <w:r>
              <w:rPr>
                <w:rFonts w:hint="eastAsia" w:ascii="仿宋_GB2312" w:hAnsi="宋体" w:eastAsia="仿宋_GB2312" w:cs="仿宋_GB2312"/>
                <w:kern w:val="2"/>
                <w:sz w:val="24"/>
                <w:szCs w:val="24"/>
              </w:rPr>
              <w:t>万平方米。</w:t>
            </w:r>
          </w:p>
        </w:tc>
        <w:tc>
          <w:tcPr>
            <w:tcW w:w="1029"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4.9</w:t>
            </w:r>
          </w:p>
        </w:tc>
        <w:tc>
          <w:tcPr>
            <w:tcW w:w="1335"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4.9</w:t>
            </w:r>
          </w:p>
        </w:tc>
        <w:tc>
          <w:tcPr>
            <w:tcW w:w="927"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97" w:type="dxa"/>
            <w:vAlign w:val="center"/>
          </w:tcPr>
          <w:p>
            <w:pPr>
              <w:widowControl/>
              <w:spacing w:line="280" w:lineRule="exact"/>
              <w:jc w:val="center"/>
              <w:textAlignment w:val="center"/>
              <w:rPr>
                <w:rFonts w:ascii="仿宋_GB2312" w:eastAsia="仿宋_GB2312" w:cs="仿宋_GB2312"/>
                <w:kern w:val="2"/>
                <w:sz w:val="24"/>
                <w:szCs w:val="24"/>
              </w:rPr>
            </w:pPr>
            <w:r>
              <w:rPr>
                <w:rFonts w:ascii="仿宋_GB2312" w:eastAsia="仿宋_GB2312" w:cs="仿宋_GB2312"/>
                <w:kern w:val="2"/>
                <w:sz w:val="24"/>
                <w:szCs w:val="24"/>
              </w:rPr>
              <w:t>13</w:t>
            </w:r>
          </w:p>
        </w:tc>
        <w:tc>
          <w:tcPr>
            <w:tcW w:w="1538"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佐力药业</w:t>
            </w:r>
          </w:p>
        </w:tc>
        <w:tc>
          <w:tcPr>
            <w:tcW w:w="1842"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德清医院</w:t>
            </w:r>
          </w:p>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迁建工程</w:t>
            </w:r>
          </w:p>
        </w:tc>
        <w:tc>
          <w:tcPr>
            <w:tcW w:w="992"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新市镇</w:t>
            </w:r>
          </w:p>
        </w:tc>
        <w:tc>
          <w:tcPr>
            <w:tcW w:w="1420" w:type="dxa"/>
            <w:vAlign w:val="center"/>
          </w:tcPr>
          <w:p>
            <w:pPr>
              <w:widowControl/>
              <w:spacing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2016--2019</w:t>
            </w:r>
          </w:p>
        </w:tc>
        <w:tc>
          <w:tcPr>
            <w:tcW w:w="4394" w:type="dxa"/>
            <w:vAlign w:val="center"/>
          </w:tcPr>
          <w:p>
            <w:pPr>
              <w:widowControl/>
              <w:spacing w:line="280" w:lineRule="exact"/>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新建住院楼、门诊楼、急诊楼、医技行政综合楼、后勤楼，总建筑面积</w:t>
            </w:r>
            <w:r>
              <w:rPr>
                <w:rFonts w:ascii="仿宋_GB2312" w:hAnsi="宋体" w:eastAsia="仿宋_GB2312" w:cs="仿宋_GB2312"/>
                <w:kern w:val="2"/>
                <w:sz w:val="24"/>
                <w:szCs w:val="24"/>
              </w:rPr>
              <w:t>9.4</w:t>
            </w:r>
            <w:r>
              <w:rPr>
                <w:rFonts w:hint="eastAsia" w:ascii="仿宋_GB2312" w:hAnsi="宋体" w:eastAsia="仿宋_GB2312" w:cs="仿宋_GB2312"/>
                <w:kern w:val="2"/>
                <w:sz w:val="24"/>
                <w:szCs w:val="24"/>
              </w:rPr>
              <w:t>平方米。</w:t>
            </w:r>
          </w:p>
        </w:tc>
        <w:tc>
          <w:tcPr>
            <w:tcW w:w="1029" w:type="dxa"/>
          </w:tcPr>
          <w:p>
            <w:pPr>
              <w:widowControl/>
              <w:spacing w:beforeLines="100"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3.99</w:t>
            </w:r>
          </w:p>
        </w:tc>
        <w:tc>
          <w:tcPr>
            <w:tcW w:w="1335" w:type="dxa"/>
          </w:tcPr>
          <w:p>
            <w:pPr>
              <w:widowControl/>
              <w:spacing w:beforeLines="100" w:line="28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3.99</w:t>
            </w:r>
          </w:p>
        </w:tc>
        <w:tc>
          <w:tcPr>
            <w:tcW w:w="927" w:type="dxa"/>
            <w:vAlign w:val="center"/>
          </w:tcPr>
          <w:p>
            <w:pPr>
              <w:widowControl/>
              <w:spacing w:line="28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民营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97" w:type="dxa"/>
            <w:vAlign w:val="center"/>
          </w:tcPr>
          <w:p>
            <w:pPr>
              <w:widowControl/>
              <w:jc w:val="center"/>
              <w:textAlignment w:val="center"/>
              <w:rPr>
                <w:rFonts w:ascii="仿宋_GB2312" w:eastAsia="仿宋_GB2312" w:cs="仿宋_GB2312"/>
                <w:kern w:val="2"/>
                <w:sz w:val="24"/>
                <w:szCs w:val="24"/>
              </w:rPr>
            </w:pPr>
            <w:r>
              <w:rPr>
                <w:rFonts w:ascii="仿宋_GB2312" w:eastAsia="仿宋_GB2312" w:cs="仿宋_GB2312"/>
                <w:kern w:val="2"/>
                <w:sz w:val="24"/>
                <w:szCs w:val="24"/>
              </w:rPr>
              <w:t>14</w:t>
            </w:r>
          </w:p>
        </w:tc>
        <w:tc>
          <w:tcPr>
            <w:tcW w:w="1538"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德清县城市建设发展总公司</w:t>
            </w:r>
          </w:p>
        </w:tc>
        <w:tc>
          <w:tcPr>
            <w:tcW w:w="1842"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德清县中医院异地新建工程项目</w:t>
            </w:r>
          </w:p>
        </w:tc>
        <w:tc>
          <w:tcPr>
            <w:tcW w:w="992"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乾元镇</w:t>
            </w:r>
          </w:p>
        </w:tc>
        <w:tc>
          <w:tcPr>
            <w:tcW w:w="1420" w:type="dxa"/>
            <w:vAlign w:val="center"/>
          </w:tcPr>
          <w:p>
            <w:pPr>
              <w:widowControl/>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2015-2020</w:t>
            </w:r>
          </w:p>
        </w:tc>
        <w:tc>
          <w:tcPr>
            <w:tcW w:w="4394" w:type="dxa"/>
            <w:vAlign w:val="center"/>
          </w:tcPr>
          <w:p>
            <w:pPr>
              <w:widowControl/>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异地迁建三级乙等中医医院标准，占地面积</w:t>
            </w:r>
            <w:r>
              <w:rPr>
                <w:rFonts w:ascii="仿宋_GB2312" w:hAnsi="宋体" w:eastAsia="仿宋_GB2312" w:cs="仿宋_GB2312"/>
                <w:kern w:val="2"/>
                <w:sz w:val="24"/>
                <w:szCs w:val="24"/>
              </w:rPr>
              <w:t>120</w:t>
            </w:r>
            <w:r>
              <w:rPr>
                <w:rFonts w:hint="eastAsia" w:ascii="仿宋_GB2312" w:hAnsi="宋体" w:eastAsia="仿宋_GB2312" w:cs="仿宋_GB2312"/>
                <w:kern w:val="2"/>
                <w:sz w:val="24"/>
                <w:szCs w:val="24"/>
              </w:rPr>
              <w:t>亩，总建筑面积</w:t>
            </w:r>
            <w:r>
              <w:rPr>
                <w:rFonts w:ascii="仿宋_GB2312" w:hAnsi="宋体" w:eastAsia="仿宋_GB2312" w:cs="仿宋_GB2312"/>
                <w:kern w:val="2"/>
                <w:sz w:val="24"/>
                <w:szCs w:val="24"/>
              </w:rPr>
              <w:t>6.6</w:t>
            </w:r>
            <w:r>
              <w:rPr>
                <w:rFonts w:hint="eastAsia" w:ascii="仿宋_GB2312" w:hAnsi="宋体" w:eastAsia="仿宋_GB2312" w:cs="仿宋_GB2312"/>
                <w:kern w:val="2"/>
                <w:sz w:val="24"/>
                <w:szCs w:val="24"/>
              </w:rPr>
              <w:t>万平方米，设置床位</w:t>
            </w:r>
            <w:r>
              <w:rPr>
                <w:rFonts w:ascii="仿宋_GB2312" w:hAnsi="宋体" w:eastAsia="仿宋_GB2312" w:cs="仿宋_GB2312"/>
                <w:kern w:val="2"/>
                <w:sz w:val="24"/>
                <w:szCs w:val="24"/>
              </w:rPr>
              <w:t>600</w:t>
            </w:r>
            <w:r>
              <w:rPr>
                <w:rFonts w:hint="eastAsia" w:ascii="仿宋_GB2312" w:hAnsi="宋体" w:eastAsia="仿宋_GB2312" w:cs="仿宋_GB2312"/>
                <w:kern w:val="2"/>
                <w:sz w:val="24"/>
                <w:szCs w:val="24"/>
              </w:rPr>
              <w:t>张。</w:t>
            </w:r>
          </w:p>
        </w:tc>
        <w:tc>
          <w:tcPr>
            <w:tcW w:w="1029" w:type="dxa"/>
          </w:tcPr>
          <w:p>
            <w:pPr>
              <w:widowControl/>
              <w:spacing w:beforeLines="200"/>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6</w:t>
            </w:r>
          </w:p>
        </w:tc>
        <w:tc>
          <w:tcPr>
            <w:tcW w:w="1335" w:type="dxa"/>
          </w:tcPr>
          <w:p>
            <w:pPr>
              <w:widowControl/>
              <w:spacing w:beforeLines="200"/>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1</w:t>
            </w:r>
          </w:p>
        </w:tc>
        <w:tc>
          <w:tcPr>
            <w:tcW w:w="927"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97" w:type="dxa"/>
            <w:vAlign w:val="center"/>
          </w:tcPr>
          <w:p>
            <w:pPr>
              <w:widowControl/>
              <w:jc w:val="center"/>
              <w:textAlignment w:val="center"/>
              <w:rPr>
                <w:rFonts w:ascii="仿宋_GB2312" w:eastAsia="仿宋_GB2312" w:cs="仿宋_GB2312"/>
                <w:kern w:val="2"/>
                <w:sz w:val="24"/>
                <w:szCs w:val="24"/>
              </w:rPr>
            </w:pPr>
            <w:r>
              <w:rPr>
                <w:rFonts w:ascii="仿宋_GB2312" w:eastAsia="仿宋_GB2312" w:cs="仿宋_GB2312"/>
                <w:kern w:val="2"/>
                <w:sz w:val="24"/>
                <w:szCs w:val="24"/>
              </w:rPr>
              <w:t>15</w:t>
            </w:r>
          </w:p>
        </w:tc>
        <w:tc>
          <w:tcPr>
            <w:tcW w:w="1538" w:type="dxa"/>
            <w:vAlign w:val="center"/>
          </w:tcPr>
          <w:p>
            <w:pPr>
              <w:widowControl/>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德清县</w:t>
            </w:r>
          </w:p>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各卫生院</w:t>
            </w:r>
          </w:p>
        </w:tc>
        <w:tc>
          <w:tcPr>
            <w:tcW w:w="1842" w:type="dxa"/>
            <w:vAlign w:val="center"/>
          </w:tcPr>
          <w:p>
            <w:pPr>
              <w:widowControl/>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德清县卫生院</w:t>
            </w:r>
          </w:p>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建设项目</w:t>
            </w:r>
          </w:p>
        </w:tc>
        <w:tc>
          <w:tcPr>
            <w:tcW w:w="992"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德清县</w:t>
            </w:r>
          </w:p>
        </w:tc>
        <w:tc>
          <w:tcPr>
            <w:tcW w:w="1420" w:type="dxa"/>
            <w:vAlign w:val="center"/>
          </w:tcPr>
          <w:p>
            <w:pPr>
              <w:widowControl/>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2016-2020</w:t>
            </w:r>
          </w:p>
        </w:tc>
        <w:tc>
          <w:tcPr>
            <w:tcW w:w="4394" w:type="dxa"/>
            <w:vAlign w:val="center"/>
          </w:tcPr>
          <w:p>
            <w:pPr>
              <w:widowControl/>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启动县域内乡镇卫生院的建设，全面提升基层服务能力，建设的卫生院包括：钟管镇、新安镇、秋山、禹越等。建设总投资为</w:t>
            </w:r>
            <w:r>
              <w:rPr>
                <w:rFonts w:ascii="仿宋_GB2312" w:hAnsi="宋体" w:eastAsia="仿宋_GB2312" w:cs="仿宋_GB2312"/>
                <w:kern w:val="2"/>
                <w:sz w:val="24"/>
                <w:szCs w:val="24"/>
              </w:rPr>
              <w:t>1.2</w:t>
            </w:r>
            <w:r>
              <w:rPr>
                <w:rFonts w:hint="eastAsia" w:ascii="仿宋_GB2312" w:hAnsi="宋体" w:eastAsia="仿宋_GB2312" w:cs="仿宋_GB2312"/>
                <w:kern w:val="2"/>
                <w:sz w:val="24"/>
                <w:szCs w:val="24"/>
              </w:rPr>
              <w:t>亿元。</w:t>
            </w:r>
          </w:p>
        </w:tc>
        <w:tc>
          <w:tcPr>
            <w:tcW w:w="1029" w:type="dxa"/>
          </w:tcPr>
          <w:p>
            <w:pPr>
              <w:widowControl/>
              <w:spacing w:beforeLines="150"/>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1.2</w:t>
            </w:r>
          </w:p>
        </w:tc>
        <w:tc>
          <w:tcPr>
            <w:tcW w:w="1335" w:type="dxa"/>
          </w:tcPr>
          <w:p>
            <w:pPr>
              <w:widowControl/>
              <w:spacing w:beforeLines="150"/>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1.2</w:t>
            </w:r>
          </w:p>
        </w:tc>
        <w:tc>
          <w:tcPr>
            <w:tcW w:w="927"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697" w:type="dxa"/>
            <w:vAlign w:val="center"/>
          </w:tcPr>
          <w:p>
            <w:pPr>
              <w:widowControl/>
              <w:jc w:val="center"/>
              <w:textAlignment w:val="center"/>
              <w:rPr>
                <w:rFonts w:ascii="仿宋_GB2312" w:eastAsia="仿宋_GB2312" w:cs="仿宋_GB2312"/>
                <w:kern w:val="2"/>
                <w:sz w:val="24"/>
                <w:szCs w:val="24"/>
              </w:rPr>
            </w:pPr>
            <w:r>
              <w:rPr>
                <w:rFonts w:ascii="仿宋_GB2312" w:eastAsia="仿宋_GB2312" w:cs="仿宋_GB2312"/>
                <w:kern w:val="2"/>
                <w:sz w:val="24"/>
                <w:szCs w:val="24"/>
              </w:rPr>
              <w:t>16</w:t>
            </w:r>
          </w:p>
        </w:tc>
        <w:tc>
          <w:tcPr>
            <w:tcW w:w="1538" w:type="dxa"/>
            <w:vAlign w:val="center"/>
          </w:tcPr>
          <w:p>
            <w:pPr>
              <w:widowControl/>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长兴县</w:t>
            </w:r>
          </w:p>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人民医院</w:t>
            </w:r>
          </w:p>
        </w:tc>
        <w:tc>
          <w:tcPr>
            <w:tcW w:w="1842"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长兴县人民医院改扩建工程二期住院综合楼</w:t>
            </w:r>
          </w:p>
        </w:tc>
        <w:tc>
          <w:tcPr>
            <w:tcW w:w="992"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长兴县</w:t>
            </w:r>
          </w:p>
        </w:tc>
        <w:tc>
          <w:tcPr>
            <w:tcW w:w="1420" w:type="dxa"/>
            <w:vAlign w:val="center"/>
          </w:tcPr>
          <w:p>
            <w:pPr>
              <w:widowControl/>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2016-2019</w:t>
            </w:r>
          </w:p>
        </w:tc>
        <w:tc>
          <w:tcPr>
            <w:tcW w:w="4394" w:type="dxa"/>
            <w:vAlign w:val="center"/>
          </w:tcPr>
          <w:p>
            <w:pPr>
              <w:widowControl/>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建设地址位于太湖中路</w:t>
            </w:r>
            <w:r>
              <w:rPr>
                <w:rFonts w:ascii="仿宋_GB2312" w:hAnsi="宋体" w:eastAsia="仿宋_GB2312" w:cs="仿宋_GB2312"/>
                <w:kern w:val="2"/>
                <w:sz w:val="24"/>
                <w:szCs w:val="24"/>
              </w:rPr>
              <w:t>66</w:t>
            </w:r>
            <w:r>
              <w:rPr>
                <w:rFonts w:hint="eastAsia" w:ascii="仿宋_GB2312" w:hAnsi="宋体" w:eastAsia="仿宋_GB2312" w:cs="仿宋_GB2312"/>
                <w:kern w:val="2"/>
                <w:sz w:val="24"/>
                <w:szCs w:val="24"/>
              </w:rPr>
              <w:t>号医院院区内建设内容：病房、手术室、中心供应室、等，总建筑面积约</w:t>
            </w:r>
            <w:r>
              <w:rPr>
                <w:rFonts w:ascii="仿宋_GB2312" w:hAnsi="宋体" w:eastAsia="仿宋_GB2312" w:cs="仿宋_GB2312"/>
                <w:kern w:val="2"/>
                <w:sz w:val="24"/>
                <w:szCs w:val="24"/>
              </w:rPr>
              <w:t>4.5</w:t>
            </w:r>
            <w:r>
              <w:rPr>
                <w:rFonts w:hint="eastAsia" w:ascii="仿宋_GB2312" w:hAnsi="宋体" w:eastAsia="仿宋_GB2312" w:cs="仿宋_GB2312"/>
                <w:kern w:val="2"/>
                <w:sz w:val="24"/>
                <w:szCs w:val="24"/>
              </w:rPr>
              <w:t>万平方米。</w:t>
            </w:r>
          </w:p>
        </w:tc>
        <w:tc>
          <w:tcPr>
            <w:tcW w:w="1029" w:type="dxa"/>
          </w:tcPr>
          <w:p>
            <w:pPr>
              <w:widowControl/>
              <w:spacing w:beforeLines="250"/>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2.3</w:t>
            </w:r>
          </w:p>
        </w:tc>
        <w:tc>
          <w:tcPr>
            <w:tcW w:w="1335" w:type="dxa"/>
          </w:tcPr>
          <w:p>
            <w:pPr>
              <w:widowControl/>
              <w:spacing w:beforeLines="250"/>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2.3</w:t>
            </w:r>
          </w:p>
        </w:tc>
        <w:tc>
          <w:tcPr>
            <w:tcW w:w="927"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97" w:type="dxa"/>
            <w:vAlign w:val="center"/>
          </w:tcPr>
          <w:p>
            <w:pPr>
              <w:widowControl/>
              <w:jc w:val="center"/>
              <w:textAlignment w:val="center"/>
              <w:rPr>
                <w:rFonts w:ascii="仿宋_GB2312" w:eastAsia="仿宋_GB2312" w:cs="仿宋_GB2312"/>
                <w:kern w:val="2"/>
                <w:sz w:val="24"/>
                <w:szCs w:val="24"/>
              </w:rPr>
            </w:pPr>
            <w:r>
              <w:rPr>
                <w:rFonts w:ascii="仿宋_GB2312" w:eastAsia="仿宋_GB2312" w:cs="仿宋_GB2312"/>
                <w:kern w:val="2"/>
                <w:sz w:val="24"/>
                <w:szCs w:val="24"/>
              </w:rPr>
              <w:t>17</w:t>
            </w:r>
          </w:p>
        </w:tc>
        <w:tc>
          <w:tcPr>
            <w:tcW w:w="1538" w:type="dxa"/>
            <w:vAlign w:val="center"/>
          </w:tcPr>
          <w:p>
            <w:pPr>
              <w:widowControl/>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长兴县</w:t>
            </w:r>
          </w:p>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中医院</w:t>
            </w:r>
          </w:p>
        </w:tc>
        <w:tc>
          <w:tcPr>
            <w:tcW w:w="1842"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长兴县中医院迁建工程二期医疗综合楼</w:t>
            </w:r>
          </w:p>
        </w:tc>
        <w:tc>
          <w:tcPr>
            <w:tcW w:w="992"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长兴县</w:t>
            </w:r>
          </w:p>
        </w:tc>
        <w:tc>
          <w:tcPr>
            <w:tcW w:w="1420" w:type="dxa"/>
            <w:vAlign w:val="center"/>
          </w:tcPr>
          <w:p>
            <w:pPr>
              <w:widowControl/>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2016-2019</w:t>
            </w:r>
          </w:p>
        </w:tc>
        <w:tc>
          <w:tcPr>
            <w:tcW w:w="4394" w:type="dxa"/>
            <w:vAlign w:val="center"/>
          </w:tcPr>
          <w:p>
            <w:pPr>
              <w:widowControl/>
              <w:textAlignment w:val="center"/>
              <w:rPr>
                <w:rFonts w:ascii="仿宋_GB2312" w:eastAsia="仿宋_GB2312" w:cs="仿宋_GB2312"/>
                <w:kern w:val="2"/>
                <w:sz w:val="24"/>
                <w:szCs w:val="24"/>
              </w:rPr>
            </w:pPr>
            <w:r>
              <w:rPr>
                <w:rFonts w:ascii="仿宋_GB2312" w:hAnsi="宋体" w:eastAsia="仿宋_GB2312" w:cs="仿宋_GB2312"/>
                <w:kern w:val="2"/>
                <w:sz w:val="24"/>
                <w:szCs w:val="24"/>
              </w:rPr>
              <w:t>2015</w:t>
            </w:r>
            <w:r>
              <w:rPr>
                <w:rFonts w:hint="eastAsia" w:ascii="仿宋_GB2312" w:hAnsi="宋体" w:eastAsia="仿宋_GB2312" w:cs="仿宋_GB2312"/>
                <w:kern w:val="2"/>
                <w:sz w:val="24"/>
                <w:szCs w:val="24"/>
              </w:rPr>
              <w:t>年县重点工程，建设地址位于现门诊楼北侧，由县住建局代建，总建筑面积</w:t>
            </w:r>
            <w:r>
              <w:rPr>
                <w:rFonts w:ascii="仿宋_GB2312" w:hAnsi="宋体" w:eastAsia="仿宋_GB2312" w:cs="仿宋_GB2312"/>
                <w:kern w:val="2"/>
                <w:sz w:val="24"/>
                <w:szCs w:val="24"/>
              </w:rPr>
              <w:t>3.32</w:t>
            </w:r>
            <w:r>
              <w:rPr>
                <w:rFonts w:hint="eastAsia" w:ascii="仿宋_GB2312" w:hAnsi="宋体" w:eastAsia="仿宋_GB2312" w:cs="仿宋_GB2312"/>
                <w:kern w:val="2"/>
                <w:sz w:val="24"/>
                <w:szCs w:val="24"/>
              </w:rPr>
              <w:t>万方平米。</w:t>
            </w:r>
          </w:p>
        </w:tc>
        <w:tc>
          <w:tcPr>
            <w:tcW w:w="1029" w:type="dxa"/>
          </w:tcPr>
          <w:p>
            <w:pPr>
              <w:widowControl/>
              <w:spacing w:beforeLines="150"/>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1.75</w:t>
            </w:r>
          </w:p>
        </w:tc>
        <w:tc>
          <w:tcPr>
            <w:tcW w:w="1335" w:type="dxa"/>
          </w:tcPr>
          <w:p>
            <w:pPr>
              <w:widowControl/>
              <w:spacing w:beforeLines="150"/>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1.75</w:t>
            </w:r>
          </w:p>
        </w:tc>
        <w:tc>
          <w:tcPr>
            <w:tcW w:w="927"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7" w:type="dxa"/>
            <w:vAlign w:val="center"/>
          </w:tcPr>
          <w:p>
            <w:pPr>
              <w:widowControl/>
              <w:spacing w:line="320" w:lineRule="exact"/>
              <w:jc w:val="center"/>
              <w:textAlignment w:val="center"/>
              <w:rPr>
                <w:rFonts w:ascii="仿宋_GB2312" w:eastAsia="仿宋_GB2312" w:cs="仿宋_GB2312"/>
                <w:kern w:val="2"/>
                <w:sz w:val="24"/>
                <w:szCs w:val="24"/>
              </w:rPr>
            </w:pPr>
            <w:r>
              <w:rPr>
                <w:rFonts w:ascii="仿宋_GB2312" w:eastAsia="仿宋_GB2312" w:cs="仿宋_GB2312"/>
                <w:kern w:val="2"/>
                <w:sz w:val="24"/>
                <w:szCs w:val="24"/>
              </w:rPr>
              <w:t>18</w:t>
            </w:r>
          </w:p>
        </w:tc>
        <w:tc>
          <w:tcPr>
            <w:tcW w:w="1538" w:type="dxa"/>
            <w:vAlign w:val="center"/>
          </w:tcPr>
          <w:p>
            <w:pPr>
              <w:widowControl/>
              <w:spacing w:line="320" w:lineRule="exact"/>
              <w:jc w:val="center"/>
              <w:textAlignment w:val="center"/>
              <w:rPr>
                <w:rFonts w:ascii="仿宋_GB2312" w:eastAsia="仿宋_GB2312" w:cs="仿宋_GB2312"/>
                <w:kern w:val="2"/>
                <w:sz w:val="24"/>
                <w:szCs w:val="24"/>
              </w:rPr>
            </w:pPr>
            <w:r>
              <w:rPr>
                <w:rFonts w:hint="eastAsia" w:ascii="仿宋_GB2312" w:eastAsia="仿宋_GB2312" w:cs="仿宋_GB2312"/>
                <w:kern w:val="2"/>
                <w:sz w:val="24"/>
                <w:szCs w:val="24"/>
              </w:rPr>
              <w:t>仁泽长兴骨科医院</w:t>
            </w:r>
          </w:p>
        </w:tc>
        <w:tc>
          <w:tcPr>
            <w:tcW w:w="1842" w:type="dxa"/>
            <w:vAlign w:val="center"/>
          </w:tcPr>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医疗综合楼、后勤综合楼</w:t>
            </w:r>
          </w:p>
        </w:tc>
        <w:tc>
          <w:tcPr>
            <w:tcW w:w="992" w:type="dxa"/>
            <w:vAlign w:val="center"/>
          </w:tcPr>
          <w:p>
            <w:pPr>
              <w:widowControl/>
              <w:spacing w:line="320" w:lineRule="exact"/>
              <w:jc w:val="center"/>
              <w:textAlignment w:val="center"/>
              <w:rPr>
                <w:rFonts w:ascii="仿宋_GB2312" w:eastAsia="仿宋_GB2312" w:cs="仿宋_GB2312"/>
                <w:kern w:val="2"/>
                <w:sz w:val="24"/>
                <w:szCs w:val="24"/>
              </w:rPr>
            </w:pPr>
            <w:r>
              <w:rPr>
                <w:rFonts w:hint="eastAsia" w:ascii="仿宋_GB2312" w:eastAsia="仿宋_GB2312" w:cs="仿宋_GB2312"/>
                <w:kern w:val="2"/>
                <w:sz w:val="24"/>
                <w:szCs w:val="24"/>
              </w:rPr>
              <w:t>长兴县</w:t>
            </w:r>
          </w:p>
        </w:tc>
        <w:tc>
          <w:tcPr>
            <w:tcW w:w="1420"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2016-2018</w:t>
            </w:r>
          </w:p>
        </w:tc>
        <w:tc>
          <w:tcPr>
            <w:tcW w:w="4394" w:type="dxa"/>
            <w:vAlign w:val="center"/>
          </w:tcPr>
          <w:p>
            <w:pPr>
              <w:widowControl/>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新建总建筑面积</w:t>
            </w:r>
            <w:r>
              <w:rPr>
                <w:rFonts w:ascii="仿宋_GB2312" w:hAnsi="宋体" w:eastAsia="仿宋_GB2312" w:cs="仿宋_GB2312"/>
                <w:kern w:val="2"/>
                <w:sz w:val="24"/>
                <w:szCs w:val="24"/>
              </w:rPr>
              <w:t>2.1</w:t>
            </w:r>
            <w:r>
              <w:rPr>
                <w:rFonts w:hint="eastAsia" w:ascii="仿宋_GB2312" w:hAnsi="宋体" w:eastAsia="仿宋_GB2312" w:cs="仿宋_GB2312"/>
                <w:kern w:val="2"/>
                <w:sz w:val="24"/>
                <w:szCs w:val="24"/>
              </w:rPr>
              <w:t>万平方米，床位规模</w:t>
            </w:r>
            <w:r>
              <w:rPr>
                <w:rFonts w:ascii="仿宋_GB2312" w:hAnsi="宋体" w:eastAsia="仿宋_GB2312" w:cs="仿宋_GB2312"/>
                <w:kern w:val="2"/>
                <w:sz w:val="24"/>
                <w:szCs w:val="24"/>
              </w:rPr>
              <w:t>200</w:t>
            </w:r>
            <w:r>
              <w:rPr>
                <w:rFonts w:hint="eastAsia" w:ascii="仿宋_GB2312" w:hAnsi="宋体" w:eastAsia="仿宋_GB2312" w:cs="仿宋_GB2312"/>
                <w:kern w:val="2"/>
                <w:sz w:val="24"/>
                <w:szCs w:val="24"/>
              </w:rPr>
              <w:t>张。</w:t>
            </w:r>
          </w:p>
          <w:p>
            <w:pPr>
              <w:spacing w:line="320" w:lineRule="exact"/>
              <w:rPr>
                <w:rFonts w:ascii="仿宋_GB2312" w:eastAsia="仿宋_GB2312" w:cs="仿宋_GB2312"/>
                <w:kern w:val="2"/>
                <w:sz w:val="24"/>
                <w:szCs w:val="24"/>
              </w:rPr>
            </w:pPr>
          </w:p>
        </w:tc>
        <w:tc>
          <w:tcPr>
            <w:tcW w:w="1029"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1</w:t>
            </w:r>
          </w:p>
        </w:tc>
        <w:tc>
          <w:tcPr>
            <w:tcW w:w="1335"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1</w:t>
            </w:r>
          </w:p>
        </w:tc>
        <w:tc>
          <w:tcPr>
            <w:tcW w:w="927" w:type="dxa"/>
            <w:vAlign w:val="center"/>
          </w:tcPr>
          <w:p>
            <w:pPr>
              <w:widowControl/>
              <w:spacing w:line="320" w:lineRule="exact"/>
              <w:jc w:val="center"/>
              <w:textAlignment w:val="center"/>
              <w:rPr>
                <w:rFonts w:ascii="仿宋_GB2312" w:eastAsia="仿宋_GB2312" w:cs="仿宋_GB2312"/>
                <w:kern w:val="2"/>
                <w:sz w:val="24"/>
                <w:szCs w:val="24"/>
              </w:rPr>
            </w:pPr>
            <w:r>
              <w:rPr>
                <w:rFonts w:hint="eastAsia" w:ascii="仿宋_GB2312" w:eastAsia="仿宋_GB2312" w:cs="仿宋_GB2312"/>
                <w:kern w:val="2"/>
                <w:sz w:val="24"/>
                <w:szCs w:val="24"/>
              </w:rPr>
              <w:t>民营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7" w:type="dxa"/>
            <w:vAlign w:val="center"/>
          </w:tcPr>
          <w:p>
            <w:pPr>
              <w:widowControl/>
              <w:spacing w:line="320" w:lineRule="exact"/>
              <w:jc w:val="center"/>
              <w:textAlignment w:val="center"/>
              <w:rPr>
                <w:rFonts w:ascii="仿宋_GB2312" w:eastAsia="仿宋_GB2312" w:cs="仿宋_GB2312"/>
                <w:kern w:val="2"/>
                <w:sz w:val="24"/>
                <w:szCs w:val="24"/>
              </w:rPr>
            </w:pPr>
            <w:r>
              <w:rPr>
                <w:rFonts w:ascii="仿宋_GB2312" w:eastAsia="仿宋_GB2312" w:cs="仿宋_GB2312"/>
                <w:kern w:val="2"/>
                <w:sz w:val="24"/>
                <w:szCs w:val="24"/>
              </w:rPr>
              <w:t>19</w:t>
            </w:r>
          </w:p>
        </w:tc>
        <w:tc>
          <w:tcPr>
            <w:tcW w:w="1538"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安吉县</w:t>
            </w:r>
          </w:p>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人民医院</w:t>
            </w:r>
          </w:p>
        </w:tc>
        <w:tc>
          <w:tcPr>
            <w:tcW w:w="1842" w:type="dxa"/>
            <w:vAlign w:val="center"/>
          </w:tcPr>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急诊楼改造</w:t>
            </w:r>
          </w:p>
        </w:tc>
        <w:tc>
          <w:tcPr>
            <w:tcW w:w="992" w:type="dxa"/>
            <w:vAlign w:val="center"/>
          </w:tcPr>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安吉县</w:t>
            </w:r>
          </w:p>
        </w:tc>
        <w:tc>
          <w:tcPr>
            <w:tcW w:w="1420"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2016-2017</w:t>
            </w:r>
          </w:p>
        </w:tc>
        <w:tc>
          <w:tcPr>
            <w:tcW w:w="4394" w:type="dxa"/>
            <w:vAlign w:val="center"/>
          </w:tcPr>
          <w:p>
            <w:pPr>
              <w:spacing w:line="320" w:lineRule="exact"/>
              <w:rPr>
                <w:rFonts w:ascii="仿宋_GB2312" w:eastAsia="仿宋_GB2312" w:cs="仿宋_GB2312"/>
                <w:kern w:val="2"/>
                <w:sz w:val="24"/>
                <w:szCs w:val="24"/>
              </w:rPr>
            </w:pPr>
            <w:r>
              <w:rPr>
                <w:rFonts w:hint="eastAsia" w:ascii="仿宋_GB2312" w:hAnsi="宋体" w:eastAsia="仿宋_GB2312" w:cs="仿宋_GB2312"/>
                <w:kern w:val="2"/>
                <w:sz w:val="24"/>
                <w:szCs w:val="24"/>
              </w:rPr>
              <w:t>原美林大酒店房屋，改造面积</w:t>
            </w:r>
            <w:r>
              <w:rPr>
                <w:rFonts w:ascii="仿宋_GB2312" w:hAnsi="宋体" w:eastAsia="仿宋_GB2312" w:cs="仿宋_GB2312"/>
                <w:kern w:val="2"/>
                <w:sz w:val="24"/>
                <w:szCs w:val="24"/>
              </w:rPr>
              <w:t>0.77</w:t>
            </w:r>
            <w:r>
              <w:rPr>
                <w:rFonts w:hint="eastAsia" w:ascii="仿宋_GB2312" w:hAnsi="宋体" w:eastAsia="仿宋_GB2312" w:cs="仿宋_GB2312"/>
                <w:kern w:val="2"/>
                <w:sz w:val="24"/>
                <w:szCs w:val="24"/>
              </w:rPr>
              <w:t>万平方米。</w:t>
            </w:r>
          </w:p>
        </w:tc>
        <w:tc>
          <w:tcPr>
            <w:tcW w:w="1029"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0.38</w:t>
            </w:r>
          </w:p>
        </w:tc>
        <w:tc>
          <w:tcPr>
            <w:tcW w:w="1335"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0.38</w:t>
            </w:r>
          </w:p>
        </w:tc>
        <w:tc>
          <w:tcPr>
            <w:tcW w:w="927" w:type="dxa"/>
            <w:vAlign w:val="center"/>
          </w:tcPr>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7" w:type="dxa"/>
            <w:vAlign w:val="center"/>
          </w:tcPr>
          <w:p>
            <w:pPr>
              <w:widowControl/>
              <w:spacing w:line="320" w:lineRule="exact"/>
              <w:jc w:val="center"/>
              <w:textAlignment w:val="center"/>
              <w:rPr>
                <w:rFonts w:ascii="仿宋_GB2312" w:eastAsia="仿宋_GB2312" w:cs="仿宋_GB2312"/>
                <w:kern w:val="2"/>
                <w:sz w:val="24"/>
                <w:szCs w:val="24"/>
              </w:rPr>
            </w:pPr>
            <w:r>
              <w:rPr>
                <w:rFonts w:ascii="仿宋_GB2312" w:eastAsia="仿宋_GB2312" w:cs="仿宋_GB2312"/>
                <w:kern w:val="2"/>
                <w:sz w:val="24"/>
                <w:szCs w:val="24"/>
              </w:rPr>
              <w:t>20</w:t>
            </w:r>
          </w:p>
        </w:tc>
        <w:tc>
          <w:tcPr>
            <w:tcW w:w="1538"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安吉县</w:t>
            </w:r>
          </w:p>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第二人医院</w:t>
            </w:r>
          </w:p>
        </w:tc>
        <w:tc>
          <w:tcPr>
            <w:tcW w:w="1842" w:type="dxa"/>
            <w:vAlign w:val="center"/>
          </w:tcPr>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精神病住院楼</w:t>
            </w:r>
          </w:p>
        </w:tc>
        <w:tc>
          <w:tcPr>
            <w:tcW w:w="992" w:type="dxa"/>
            <w:vAlign w:val="center"/>
          </w:tcPr>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梅溪镇</w:t>
            </w:r>
          </w:p>
        </w:tc>
        <w:tc>
          <w:tcPr>
            <w:tcW w:w="1420"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2016-2020</w:t>
            </w:r>
          </w:p>
        </w:tc>
        <w:tc>
          <w:tcPr>
            <w:tcW w:w="4394" w:type="dxa"/>
            <w:vAlign w:val="center"/>
          </w:tcPr>
          <w:p>
            <w:pPr>
              <w:widowControl/>
              <w:spacing w:line="320" w:lineRule="exact"/>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建筑面积</w:t>
            </w:r>
            <w:r>
              <w:rPr>
                <w:rFonts w:ascii="仿宋_GB2312" w:hAnsi="宋体" w:eastAsia="仿宋_GB2312" w:cs="仿宋_GB2312"/>
                <w:kern w:val="2"/>
                <w:sz w:val="24"/>
                <w:szCs w:val="24"/>
              </w:rPr>
              <w:t>0.48</w:t>
            </w:r>
            <w:r>
              <w:rPr>
                <w:rFonts w:hint="eastAsia" w:ascii="仿宋_GB2312" w:hAnsi="宋体" w:eastAsia="仿宋_GB2312" w:cs="仿宋_GB2312"/>
                <w:kern w:val="2"/>
                <w:sz w:val="24"/>
                <w:szCs w:val="24"/>
              </w:rPr>
              <w:t>万平方米。</w:t>
            </w:r>
          </w:p>
        </w:tc>
        <w:tc>
          <w:tcPr>
            <w:tcW w:w="1029"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0.2</w:t>
            </w:r>
          </w:p>
        </w:tc>
        <w:tc>
          <w:tcPr>
            <w:tcW w:w="1335"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0.2</w:t>
            </w:r>
          </w:p>
        </w:tc>
        <w:tc>
          <w:tcPr>
            <w:tcW w:w="927" w:type="dxa"/>
            <w:vAlign w:val="center"/>
          </w:tcPr>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7" w:type="dxa"/>
            <w:vAlign w:val="center"/>
          </w:tcPr>
          <w:p>
            <w:pPr>
              <w:widowControl/>
              <w:spacing w:line="320" w:lineRule="exact"/>
              <w:jc w:val="center"/>
              <w:textAlignment w:val="center"/>
              <w:rPr>
                <w:rFonts w:ascii="仿宋_GB2312" w:eastAsia="仿宋_GB2312" w:cs="仿宋_GB2312"/>
                <w:kern w:val="2"/>
                <w:sz w:val="24"/>
                <w:szCs w:val="24"/>
              </w:rPr>
            </w:pPr>
            <w:r>
              <w:rPr>
                <w:rFonts w:ascii="仿宋_GB2312" w:eastAsia="仿宋_GB2312" w:cs="仿宋_GB2312"/>
                <w:kern w:val="2"/>
                <w:sz w:val="24"/>
                <w:szCs w:val="24"/>
              </w:rPr>
              <w:t>21</w:t>
            </w:r>
          </w:p>
        </w:tc>
        <w:tc>
          <w:tcPr>
            <w:tcW w:w="1538"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安吉县</w:t>
            </w:r>
          </w:p>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第三人医院</w:t>
            </w:r>
          </w:p>
        </w:tc>
        <w:tc>
          <w:tcPr>
            <w:tcW w:w="1842"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门诊、住院、</w:t>
            </w:r>
          </w:p>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后勤楼</w:t>
            </w:r>
          </w:p>
        </w:tc>
        <w:tc>
          <w:tcPr>
            <w:tcW w:w="992" w:type="dxa"/>
            <w:vAlign w:val="center"/>
          </w:tcPr>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孝丰镇</w:t>
            </w:r>
          </w:p>
        </w:tc>
        <w:tc>
          <w:tcPr>
            <w:tcW w:w="1420"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2015-2018</w:t>
            </w:r>
          </w:p>
        </w:tc>
        <w:tc>
          <w:tcPr>
            <w:tcW w:w="4394" w:type="dxa"/>
            <w:vAlign w:val="center"/>
          </w:tcPr>
          <w:p>
            <w:pPr>
              <w:widowControl/>
              <w:spacing w:line="320" w:lineRule="exact"/>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建筑面积</w:t>
            </w:r>
            <w:r>
              <w:rPr>
                <w:rFonts w:ascii="仿宋_GB2312" w:hAnsi="宋体" w:eastAsia="仿宋_GB2312" w:cs="仿宋_GB2312"/>
                <w:kern w:val="2"/>
                <w:sz w:val="24"/>
                <w:szCs w:val="24"/>
              </w:rPr>
              <w:t>5.6</w:t>
            </w:r>
            <w:r>
              <w:rPr>
                <w:rFonts w:hint="eastAsia" w:ascii="仿宋_GB2312" w:hAnsi="宋体" w:eastAsia="仿宋_GB2312" w:cs="仿宋_GB2312"/>
                <w:kern w:val="2"/>
                <w:sz w:val="24"/>
                <w:szCs w:val="24"/>
              </w:rPr>
              <w:t>万平方米。</w:t>
            </w:r>
          </w:p>
        </w:tc>
        <w:tc>
          <w:tcPr>
            <w:tcW w:w="1029"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2.5</w:t>
            </w:r>
          </w:p>
        </w:tc>
        <w:tc>
          <w:tcPr>
            <w:tcW w:w="1335"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2.5</w:t>
            </w:r>
          </w:p>
        </w:tc>
        <w:tc>
          <w:tcPr>
            <w:tcW w:w="927" w:type="dxa"/>
            <w:vAlign w:val="center"/>
          </w:tcPr>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民营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7" w:type="dxa"/>
            <w:vAlign w:val="center"/>
          </w:tcPr>
          <w:p>
            <w:pPr>
              <w:widowControl/>
              <w:spacing w:line="320" w:lineRule="exact"/>
              <w:jc w:val="center"/>
              <w:textAlignment w:val="center"/>
              <w:rPr>
                <w:rFonts w:ascii="仿宋_GB2312" w:eastAsia="仿宋_GB2312" w:cs="仿宋_GB2312"/>
                <w:kern w:val="2"/>
                <w:sz w:val="24"/>
                <w:szCs w:val="24"/>
              </w:rPr>
            </w:pPr>
            <w:r>
              <w:rPr>
                <w:rFonts w:ascii="仿宋_GB2312" w:eastAsia="仿宋_GB2312" w:cs="仿宋_GB2312"/>
                <w:kern w:val="2"/>
                <w:sz w:val="24"/>
                <w:szCs w:val="24"/>
              </w:rPr>
              <w:t>22</w:t>
            </w:r>
          </w:p>
        </w:tc>
        <w:tc>
          <w:tcPr>
            <w:tcW w:w="1538"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安吉县</w:t>
            </w:r>
          </w:p>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中医院</w:t>
            </w:r>
          </w:p>
        </w:tc>
        <w:tc>
          <w:tcPr>
            <w:tcW w:w="1842" w:type="dxa"/>
            <w:vAlign w:val="center"/>
          </w:tcPr>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浙北腔镜中心</w:t>
            </w:r>
          </w:p>
        </w:tc>
        <w:tc>
          <w:tcPr>
            <w:tcW w:w="992"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递铺</w:t>
            </w:r>
          </w:p>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街道</w:t>
            </w:r>
          </w:p>
        </w:tc>
        <w:tc>
          <w:tcPr>
            <w:tcW w:w="1420"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2016-2020</w:t>
            </w:r>
          </w:p>
        </w:tc>
        <w:tc>
          <w:tcPr>
            <w:tcW w:w="4394" w:type="dxa"/>
            <w:vAlign w:val="center"/>
          </w:tcPr>
          <w:p>
            <w:pPr>
              <w:widowControl/>
              <w:spacing w:line="320" w:lineRule="exact"/>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建筑面积</w:t>
            </w:r>
            <w:r>
              <w:rPr>
                <w:rFonts w:ascii="仿宋_GB2312" w:hAnsi="宋体" w:eastAsia="仿宋_GB2312" w:cs="仿宋_GB2312"/>
                <w:kern w:val="2"/>
                <w:sz w:val="24"/>
                <w:szCs w:val="24"/>
              </w:rPr>
              <w:t>2.85</w:t>
            </w:r>
            <w:r>
              <w:rPr>
                <w:rFonts w:hint="eastAsia" w:ascii="仿宋_GB2312" w:hAnsi="宋体" w:eastAsia="仿宋_GB2312" w:cs="仿宋_GB2312"/>
                <w:kern w:val="2"/>
                <w:sz w:val="24"/>
                <w:szCs w:val="24"/>
              </w:rPr>
              <w:t>万平方米。</w:t>
            </w:r>
          </w:p>
        </w:tc>
        <w:tc>
          <w:tcPr>
            <w:tcW w:w="1029"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0.95</w:t>
            </w:r>
          </w:p>
        </w:tc>
        <w:tc>
          <w:tcPr>
            <w:tcW w:w="1335"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0.95</w:t>
            </w:r>
          </w:p>
        </w:tc>
        <w:tc>
          <w:tcPr>
            <w:tcW w:w="927" w:type="dxa"/>
            <w:vAlign w:val="center"/>
          </w:tcPr>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7" w:type="dxa"/>
            <w:vAlign w:val="center"/>
          </w:tcPr>
          <w:p>
            <w:pPr>
              <w:widowControl/>
              <w:spacing w:line="320" w:lineRule="exact"/>
              <w:jc w:val="center"/>
              <w:textAlignment w:val="center"/>
              <w:rPr>
                <w:rFonts w:ascii="仿宋_GB2312" w:eastAsia="仿宋_GB2312" w:cs="仿宋_GB2312"/>
                <w:kern w:val="2"/>
                <w:sz w:val="24"/>
                <w:szCs w:val="24"/>
              </w:rPr>
            </w:pPr>
            <w:r>
              <w:rPr>
                <w:rFonts w:ascii="仿宋_GB2312" w:eastAsia="仿宋_GB2312" w:cs="仿宋_GB2312"/>
                <w:kern w:val="2"/>
                <w:sz w:val="24"/>
                <w:szCs w:val="24"/>
              </w:rPr>
              <w:t>23</w:t>
            </w:r>
          </w:p>
        </w:tc>
        <w:tc>
          <w:tcPr>
            <w:tcW w:w="1538" w:type="dxa"/>
            <w:vAlign w:val="center"/>
          </w:tcPr>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树兰医院</w:t>
            </w:r>
          </w:p>
        </w:tc>
        <w:tc>
          <w:tcPr>
            <w:tcW w:w="1842"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门诊、住院</w:t>
            </w:r>
          </w:p>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综合楼、后勤楼</w:t>
            </w:r>
          </w:p>
        </w:tc>
        <w:tc>
          <w:tcPr>
            <w:tcW w:w="992"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灵峰</w:t>
            </w:r>
          </w:p>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街道</w:t>
            </w:r>
          </w:p>
        </w:tc>
        <w:tc>
          <w:tcPr>
            <w:tcW w:w="1420"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2016-2020</w:t>
            </w:r>
          </w:p>
        </w:tc>
        <w:tc>
          <w:tcPr>
            <w:tcW w:w="4394" w:type="dxa"/>
            <w:vAlign w:val="center"/>
          </w:tcPr>
          <w:p>
            <w:pPr>
              <w:widowControl/>
              <w:spacing w:line="320" w:lineRule="exact"/>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建筑面积</w:t>
            </w:r>
            <w:r>
              <w:rPr>
                <w:rFonts w:ascii="仿宋_GB2312" w:hAnsi="宋体" w:eastAsia="仿宋_GB2312" w:cs="仿宋_GB2312"/>
                <w:kern w:val="2"/>
                <w:sz w:val="24"/>
                <w:szCs w:val="24"/>
              </w:rPr>
              <w:t>10</w:t>
            </w:r>
            <w:r>
              <w:rPr>
                <w:rFonts w:hint="eastAsia" w:ascii="仿宋_GB2312" w:hAnsi="宋体" w:eastAsia="仿宋_GB2312" w:cs="仿宋_GB2312"/>
                <w:kern w:val="2"/>
                <w:sz w:val="24"/>
                <w:szCs w:val="24"/>
              </w:rPr>
              <w:t>万平方米（项目实施以政府批复为准）。</w:t>
            </w:r>
          </w:p>
        </w:tc>
        <w:tc>
          <w:tcPr>
            <w:tcW w:w="1029"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6</w:t>
            </w:r>
          </w:p>
        </w:tc>
        <w:tc>
          <w:tcPr>
            <w:tcW w:w="1335" w:type="dxa"/>
            <w:vAlign w:val="center"/>
          </w:tcPr>
          <w:p>
            <w:pPr>
              <w:widowControl/>
              <w:spacing w:line="320" w:lineRule="exact"/>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6</w:t>
            </w:r>
          </w:p>
        </w:tc>
        <w:tc>
          <w:tcPr>
            <w:tcW w:w="927" w:type="dxa"/>
            <w:vAlign w:val="center"/>
          </w:tcPr>
          <w:p>
            <w:pPr>
              <w:widowControl/>
              <w:spacing w:line="320" w:lineRule="exact"/>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民营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97" w:type="dxa"/>
            <w:vAlign w:val="center"/>
          </w:tcPr>
          <w:p>
            <w:pPr>
              <w:widowControl/>
              <w:jc w:val="center"/>
              <w:textAlignment w:val="center"/>
              <w:rPr>
                <w:rFonts w:ascii="仿宋_GB2312" w:eastAsia="仿宋_GB2312" w:cs="仿宋_GB2312"/>
                <w:kern w:val="2"/>
                <w:sz w:val="24"/>
                <w:szCs w:val="24"/>
              </w:rPr>
            </w:pPr>
            <w:r>
              <w:rPr>
                <w:rFonts w:ascii="仿宋_GB2312" w:eastAsia="仿宋_GB2312" w:cs="仿宋_GB2312"/>
                <w:kern w:val="2"/>
                <w:sz w:val="24"/>
                <w:szCs w:val="24"/>
              </w:rPr>
              <w:t>24</w:t>
            </w:r>
          </w:p>
        </w:tc>
        <w:tc>
          <w:tcPr>
            <w:tcW w:w="1538" w:type="dxa"/>
            <w:vAlign w:val="center"/>
          </w:tcPr>
          <w:p>
            <w:pPr>
              <w:widowControl/>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安吉县</w:t>
            </w:r>
          </w:p>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各卫生院</w:t>
            </w:r>
          </w:p>
        </w:tc>
        <w:tc>
          <w:tcPr>
            <w:tcW w:w="1842" w:type="dxa"/>
            <w:vAlign w:val="center"/>
          </w:tcPr>
          <w:p>
            <w:pPr>
              <w:widowControl/>
              <w:jc w:val="center"/>
              <w:textAlignment w:val="center"/>
              <w:rPr>
                <w:rFonts w:ascii="仿宋_GB2312" w:hAnsi="宋体" w:eastAsia="仿宋_GB2312" w:cs="仿宋_GB2312"/>
                <w:kern w:val="2"/>
                <w:sz w:val="24"/>
                <w:szCs w:val="24"/>
              </w:rPr>
            </w:pPr>
            <w:r>
              <w:rPr>
                <w:rFonts w:hint="eastAsia" w:ascii="仿宋_GB2312" w:hAnsi="宋体" w:eastAsia="仿宋_GB2312" w:cs="仿宋_GB2312"/>
                <w:kern w:val="2"/>
                <w:sz w:val="24"/>
                <w:szCs w:val="24"/>
              </w:rPr>
              <w:t>安吉县卫生院</w:t>
            </w:r>
          </w:p>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建设项目</w:t>
            </w:r>
          </w:p>
        </w:tc>
        <w:tc>
          <w:tcPr>
            <w:tcW w:w="992"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安吉县</w:t>
            </w:r>
          </w:p>
        </w:tc>
        <w:tc>
          <w:tcPr>
            <w:tcW w:w="1420" w:type="dxa"/>
            <w:vAlign w:val="center"/>
          </w:tcPr>
          <w:p>
            <w:pPr>
              <w:widowControl/>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2016-2020</w:t>
            </w:r>
          </w:p>
        </w:tc>
        <w:tc>
          <w:tcPr>
            <w:tcW w:w="4394" w:type="dxa"/>
            <w:vAlign w:val="center"/>
          </w:tcPr>
          <w:p>
            <w:pPr>
              <w:widowControl/>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启动县域内乡镇卫生院的建设，全面提升基层服务能力，建设卫生院包括：报福、天子湖、天荒坪、递铺、梅溪镇、杭垓、白水湾等。建设总投资</w:t>
            </w:r>
            <w:r>
              <w:rPr>
                <w:rFonts w:ascii="仿宋_GB2312" w:hAnsi="宋体" w:eastAsia="仿宋_GB2312" w:cs="仿宋_GB2312"/>
                <w:kern w:val="2"/>
                <w:sz w:val="24"/>
                <w:szCs w:val="24"/>
              </w:rPr>
              <w:t>2.78</w:t>
            </w:r>
            <w:r>
              <w:rPr>
                <w:rFonts w:hint="eastAsia" w:ascii="仿宋_GB2312" w:hAnsi="宋体" w:eastAsia="仿宋_GB2312" w:cs="仿宋_GB2312"/>
                <w:kern w:val="2"/>
                <w:sz w:val="24"/>
                <w:szCs w:val="24"/>
              </w:rPr>
              <w:t>亿元。</w:t>
            </w:r>
          </w:p>
        </w:tc>
        <w:tc>
          <w:tcPr>
            <w:tcW w:w="1029" w:type="dxa"/>
          </w:tcPr>
          <w:p>
            <w:pPr>
              <w:widowControl/>
              <w:spacing w:beforeLines="200"/>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2.78</w:t>
            </w:r>
          </w:p>
        </w:tc>
        <w:tc>
          <w:tcPr>
            <w:tcW w:w="1335" w:type="dxa"/>
          </w:tcPr>
          <w:p>
            <w:pPr>
              <w:widowControl/>
              <w:spacing w:beforeLines="200"/>
              <w:jc w:val="center"/>
              <w:textAlignment w:val="center"/>
              <w:rPr>
                <w:rFonts w:ascii="仿宋_GB2312" w:hAnsi="宋体" w:eastAsia="仿宋_GB2312" w:cs="仿宋_GB2312"/>
                <w:kern w:val="2"/>
                <w:sz w:val="24"/>
                <w:szCs w:val="24"/>
              </w:rPr>
            </w:pPr>
            <w:r>
              <w:rPr>
                <w:rFonts w:ascii="仿宋_GB2312" w:hAnsi="宋体" w:eastAsia="仿宋_GB2312" w:cs="仿宋_GB2312"/>
                <w:kern w:val="2"/>
                <w:sz w:val="24"/>
                <w:szCs w:val="24"/>
              </w:rPr>
              <w:t>2.78</w:t>
            </w:r>
          </w:p>
        </w:tc>
        <w:tc>
          <w:tcPr>
            <w:tcW w:w="927" w:type="dxa"/>
            <w:vAlign w:val="center"/>
          </w:tcPr>
          <w:p>
            <w:pPr>
              <w:widowControl/>
              <w:jc w:val="center"/>
              <w:textAlignment w:val="center"/>
              <w:rPr>
                <w:rFonts w:ascii="仿宋_GB2312" w:eastAsia="仿宋_GB2312" w:cs="仿宋_GB2312"/>
                <w:kern w:val="2"/>
                <w:sz w:val="24"/>
                <w:szCs w:val="24"/>
              </w:rPr>
            </w:pPr>
            <w:r>
              <w:rPr>
                <w:rFonts w:hint="eastAsia" w:ascii="仿宋_GB2312" w:hAnsi="宋体" w:eastAsia="仿宋_GB2312" w:cs="仿宋_GB2312"/>
                <w:kern w:val="2"/>
                <w:sz w:val="24"/>
                <w:szCs w:val="24"/>
              </w:rPr>
              <w:t>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883" w:type="dxa"/>
            <w:gridSpan w:val="6"/>
            <w:vAlign w:val="center"/>
          </w:tcPr>
          <w:p>
            <w:pPr>
              <w:widowControl/>
              <w:jc w:val="center"/>
              <w:textAlignment w:val="center"/>
              <w:rPr>
                <w:rFonts w:ascii="仿宋_GB2312" w:eastAsia="仿宋_GB2312" w:cs="仿宋_GB2312"/>
                <w:b/>
                <w:kern w:val="2"/>
                <w:sz w:val="24"/>
                <w:szCs w:val="24"/>
              </w:rPr>
            </w:pPr>
            <w:r>
              <w:rPr>
                <w:rFonts w:hint="eastAsia" w:ascii="仿宋_GB2312" w:hAnsi="宋体" w:eastAsia="仿宋_GB2312" w:cs="仿宋_GB2312"/>
                <w:b/>
                <w:kern w:val="2"/>
                <w:sz w:val="24"/>
                <w:szCs w:val="24"/>
              </w:rPr>
              <w:t>合计</w:t>
            </w:r>
          </w:p>
        </w:tc>
        <w:tc>
          <w:tcPr>
            <w:tcW w:w="1029" w:type="dxa"/>
            <w:vAlign w:val="center"/>
          </w:tcPr>
          <w:p>
            <w:pPr>
              <w:widowControl/>
              <w:jc w:val="center"/>
              <w:textAlignment w:val="center"/>
              <w:rPr>
                <w:rFonts w:ascii="仿宋_GB2312" w:hAnsi="宋体" w:eastAsia="仿宋_GB2312" w:cs="仿宋_GB2312"/>
                <w:b/>
                <w:kern w:val="2"/>
                <w:sz w:val="24"/>
                <w:szCs w:val="24"/>
              </w:rPr>
            </w:pPr>
            <w:r>
              <w:rPr>
                <w:rFonts w:ascii="仿宋_GB2312" w:hAnsi="宋体" w:eastAsia="仿宋_GB2312" w:cs="仿宋_GB2312"/>
                <w:b/>
                <w:kern w:val="2"/>
                <w:sz w:val="24"/>
                <w:szCs w:val="24"/>
              </w:rPr>
              <w:t>86.35</w:t>
            </w:r>
          </w:p>
        </w:tc>
        <w:tc>
          <w:tcPr>
            <w:tcW w:w="1335" w:type="dxa"/>
            <w:vAlign w:val="center"/>
          </w:tcPr>
          <w:p>
            <w:pPr>
              <w:widowControl/>
              <w:jc w:val="center"/>
              <w:textAlignment w:val="center"/>
              <w:rPr>
                <w:rFonts w:ascii="仿宋_GB2312" w:hAnsi="宋体" w:eastAsia="仿宋_GB2312" w:cs="仿宋_GB2312"/>
                <w:b/>
                <w:kern w:val="2"/>
                <w:sz w:val="24"/>
                <w:szCs w:val="24"/>
              </w:rPr>
            </w:pPr>
            <w:r>
              <w:rPr>
                <w:rFonts w:ascii="仿宋_GB2312" w:hAnsi="宋体" w:eastAsia="仿宋_GB2312" w:cs="仿宋_GB2312"/>
                <w:b/>
                <w:kern w:val="2"/>
                <w:sz w:val="24"/>
                <w:szCs w:val="24"/>
              </w:rPr>
              <w:t>78.73</w:t>
            </w:r>
          </w:p>
        </w:tc>
        <w:tc>
          <w:tcPr>
            <w:tcW w:w="927" w:type="dxa"/>
            <w:vAlign w:val="center"/>
          </w:tcPr>
          <w:p>
            <w:pPr>
              <w:widowControl/>
              <w:jc w:val="center"/>
              <w:textAlignment w:val="center"/>
              <w:rPr>
                <w:rFonts w:ascii="仿宋_GB2312" w:eastAsia="仿宋_GB2312" w:cs="仿宋_GB2312"/>
                <w:b/>
                <w:kern w:val="2"/>
                <w:sz w:val="24"/>
                <w:szCs w:val="24"/>
              </w:rPr>
            </w:pPr>
          </w:p>
        </w:tc>
      </w:tr>
    </w:tbl>
    <w:p>
      <w:pPr>
        <w:widowControl/>
        <w:shd w:val="clear" w:color="auto" w:fill="FFFFFF"/>
        <w:spacing w:line="360" w:lineRule="auto"/>
        <w:rPr>
          <w:rFonts w:ascii="仿宋_GB2312" w:hAnsi="宋体" w:eastAsia="仿宋_GB2312" w:cs="仿宋_GB2312"/>
          <w:b/>
          <w:kern w:val="2"/>
          <w:sz w:val="24"/>
          <w:szCs w:val="24"/>
        </w:rPr>
      </w:pPr>
      <w:r>
        <w:rPr>
          <w:rFonts w:hint="eastAsia" w:ascii="仿宋_GB2312" w:hAnsi="宋体" w:eastAsia="仿宋_GB2312" w:cs="仿宋_GB2312"/>
          <w:b/>
          <w:kern w:val="2"/>
          <w:sz w:val="24"/>
          <w:szCs w:val="24"/>
        </w:rPr>
        <w:t>备注：</w:t>
      </w:r>
    </w:p>
    <w:p>
      <w:pPr>
        <w:widowControl/>
        <w:shd w:val="clear" w:color="auto" w:fill="FFFFFF"/>
        <w:spacing w:line="360" w:lineRule="exact"/>
        <w:ind w:firstLine="480" w:firstLineChars="200"/>
        <w:rPr>
          <w:rFonts w:ascii="仿宋_GB2312" w:hAnsi="宋体" w:eastAsia="仿宋_GB2312" w:cs="仿宋_GB2312"/>
          <w:kern w:val="2"/>
          <w:sz w:val="24"/>
          <w:szCs w:val="24"/>
        </w:rPr>
      </w:pPr>
      <w:r>
        <w:rPr>
          <w:rFonts w:ascii="仿宋_GB2312" w:hAnsi="宋体" w:eastAsia="仿宋_GB2312" w:cs="仿宋_GB2312"/>
          <w:kern w:val="2"/>
          <w:sz w:val="24"/>
          <w:szCs w:val="24"/>
        </w:rPr>
        <w:t>1.</w:t>
      </w:r>
      <w:r>
        <w:rPr>
          <w:rFonts w:hint="eastAsia" w:ascii="仿宋_GB2312" w:hAnsi="宋体" w:eastAsia="仿宋_GB2312" w:cs="仿宋_GB2312"/>
          <w:kern w:val="2"/>
          <w:sz w:val="24"/>
          <w:szCs w:val="24"/>
        </w:rPr>
        <w:t>“十三五”期间的投资总额为</w:t>
      </w:r>
      <w:r>
        <w:rPr>
          <w:rFonts w:ascii="仿宋_GB2312" w:hAnsi="宋体" w:eastAsia="仿宋_GB2312" w:cs="仿宋_GB2312"/>
          <w:kern w:val="2"/>
          <w:sz w:val="24"/>
          <w:szCs w:val="24"/>
        </w:rPr>
        <w:t>78.73</w:t>
      </w:r>
      <w:r>
        <w:rPr>
          <w:rFonts w:hint="eastAsia" w:ascii="仿宋_GB2312" w:hAnsi="宋体" w:eastAsia="仿宋_GB2312" w:cs="仿宋_GB2312"/>
          <w:kern w:val="2"/>
          <w:sz w:val="24"/>
          <w:szCs w:val="24"/>
        </w:rPr>
        <w:t>亿元，其中公立性质项目共</w:t>
      </w:r>
      <w:r>
        <w:rPr>
          <w:rFonts w:ascii="仿宋_GB2312" w:hAnsi="宋体" w:eastAsia="仿宋_GB2312" w:cs="仿宋_GB2312"/>
          <w:kern w:val="2"/>
          <w:sz w:val="24"/>
          <w:szCs w:val="24"/>
        </w:rPr>
        <w:t>14</w:t>
      </w:r>
      <w:r>
        <w:rPr>
          <w:rFonts w:hint="eastAsia" w:ascii="仿宋_GB2312" w:hAnsi="宋体" w:eastAsia="仿宋_GB2312" w:cs="仿宋_GB2312"/>
          <w:kern w:val="2"/>
          <w:sz w:val="24"/>
          <w:szCs w:val="24"/>
        </w:rPr>
        <w:t>项</w:t>
      </w:r>
      <w:r>
        <w:rPr>
          <w:rFonts w:ascii="仿宋_GB2312" w:hAnsi="宋体" w:eastAsia="仿宋_GB2312" w:cs="仿宋_GB2312"/>
          <w:kern w:val="2"/>
          <w:sz w:val="24"/>
          <w:szCs w:val="24"/>
        </w:rPr>
        <w:t>40.78</w:t>
      </w:r>
      <w:r>
        <w:rPr>
          <w:rFonts w:hint="eastAsia" w:ascii="仿宋_GB2312" w:hAnsi="宋体" w:eastAsia="仿宋_GB2312" w:cs="仿宋_GB2312"/>
          <w:kern w:val="2"/>
          <w:sz w:val="24"/>
          <w:szCs w:val="24"/>
        </w:rPr>
        <w:t>亿元，占比为</w:t>
      </w:r>
      <w:r>
        <w:rPr>
          <w:rFonts w:ascii="仿宋_GB2312" w:hAnsi="宋体" w:eastAsia="仿宋_GB2312" w:cs="仿宋_GB2312"/>
          <w:kern w:val="2"/>
          <w:sz w:val="24"/>
          <w:szCs w:val="24"/>
        </w:rPr>
        <w:t>51.8%</w:t>
      </w:r>
      <w:r>
        <w:rPr>
          <w:rFonts w:hint="eastAsia" w:ascii="仿宋_GB2312" w:hAnsi="宋体" w:eastAsia="仿宋_GB2312" w:cs="仿宋_GB2312"/>
          <w:kern w:val="2"/>
          <w:sz w:val="24"/>
          <w:szCs w:val="24"/>
        </w:rPr>
        <w:t>；引进社会资本或采用</w:t>
      </w:r>
      <w:r>
        <w:rPr>
          <w:rFonts w:ascii="仿宋_GB2312" w:hAnsi="宋体" w:eastAsia="仿宋_GB2312" w:cs="仿宋_GB2312"/>
          <w:kern w:val="2"/>
          <w:sz w:val="24"/>
          <w:szCs w:val="24"/>
        </w:rPr>
        <w:t>PPP</w:t>
      </w:r>
      <w:r>
        <w:rPr>
          <w:rFonts w:hint="eastAsia" w:ascii="仿宋_GB2312" w:hAnsi="宋体" w:eastAsia="仿宋_GB2312" w:cs="仿宋_GB2312"/>
          <w:kern w:val="2"/>
          <w:sz w:val="24"/>
          <w:szCs w:val="24"/>
        </w:rPr>
        <w:t>模式建设的项目共</w:t>
      </w:r>
      <w:r>
        <w:rPr>
          <w:rFonts w:ascii="仿宋_GB2312" w:hAnsi="宋体" w:eastAsia="仿宋_GB2312" w:cs="仿宋_GB2312"/>
          <w:kern w:val="2"/>
          <w:sz w:val="24"/>
          <w:szCs w:val="24"/>
        </w:rPr>
        <w:t>10</w:t>
      </w:r>
      <w:r>
        <w:rPr>
          <w:rFonts w:hint="eastAsia" w:ascii="仿宋_GB2312" w:hAnsi="宋体" w:eastAsia="仿宋_GB2312" w:cs="仿宋_GB2312"/>
          <w:kern w:val="2"/>
          <w:sz w:val="24"/>
          <w:szCs w:val="24"/>
        </w:rPr>
        <w:t>项，总投资</w:t>
      </w:r>
      <w:r>
        <w:rPr>
          <w:rFonts w:ascii="仿宋_GB2312" w:hAnsi="宋体" w:eastAsia="仿宋_GB2312" w:cs="仿宋_GB2312"/>
          <w:kern w:val="2"/>
          <w:sz w:val="24"/>
          <w:szCs w:val="24"/>
        </w:rPr>
        <w:t>37.95</w:t>
      </w:r>
      <w:r>
        <w:rPr>
          <w:rFonts w:hint="eastAsia" w:ascii="仿宋_GB2312" w:hAnsi="宋体" w:eastAsia="仿宋_GB2312" w:cs="仿宋_GB2312"/>
          <w:kern w:val="2"/>
          <w:sz w:val="24"/>
          <w:szCs w:val="24"/>
        </w:rPr>
        <w:t>亿元，占比为</w:t>
      </w:r>
      <w:r>
        <w:rPr>
          <w:rFonts w:ascii="仿宋_GB2312" w:hAnsi="宋体" w:eastAsia="仿宋_GB2312" w:cs="仿宋_GB2312"/>
          <w:kern w:val="2"/>
          <w:sz w:val="24"/>
          <w:szCs w:val="24"/>
        </w:rPr>
        <w:t>48.2%</w:t>
      </w:r>
      <w:r>
        <w:rPr>
          <w:rFonts w:hint="eastAsia" w:ascii="仿宋_GB2312" w:hAnsi="宋体" w:eastAsia="仿宋_GB2312" w:cs="仿宋_GB2312"/>
          <w:kern w:val="2"/>
          <w:sz w:val="24"/>
          <w:szCs w:val="24"/>
        </w:rPr>
        <w:t>。</w:t>
      </w:r>
    </w:p>
    <w:p>
      <w:pPr>
        <w:widowControl/>
        <w:shd w:val="clear" w:color="auto" w:fill="FFFFFF"/>
        <w:spacing w:line="360" w:lineRule="exact"/>
        <w:ind w:firstLine="480" w:firstLineChars="200"/>
        <w:rPr>
          <w:rFonts w:ascii="仿宋_GB2312" w:hAnsi="宋体" w:eastAsia="仿宋_GB2312" w:cs="仿宋_GB2312"/>
          <w:kern w:val="2"/>
          <w:sz w:val="24"/>
          <w:szCs w:val="24"/>
        </w:rPr>
      </w:pPr>
      <w:r>
        <w:rPr>
          <w:rFonts w:ascii="仿宋_GB2312" w:hAnsi="宋体" w:eastAsia="仿宋_GB2312" w:cs="仿宋_GB2312"/>
          <w:kern w:val="2"/>
          <w:sz w:val="24"/>
          <w:szCs w:val="24"/>
        </w:rPr>
        <w:t>2.</w:t>
      </w:r>
      <w:r>
        <w:rPr>
          <w:rFonts w:hint="eastAsia" w:ascii="仿宋_GB2312" w:hAnsi="宋体" w:eastAsia="仿宋_GB2312" w:cs="仿宋_GB2312"/>
          <w:kern w:val="2"/>
          <w:sz w:val="24"/>
          <w:szCs w:val="24"/>
        </w:rPr>
        <w:t>市直项目中，市中心医院迁建项目拟“十三五”期末竣工并投入使用；其他市级医院改扩建方案和儿童、老年等专科医疗机构建设方案正在组织论证中，暂未列入“十三五”期间重大基本建设项目，拟待相关事项明确后再予以调整纳入。</w:t>
      </w: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sectPr>
          <w:footerReference r:id="rId6" w:type="default"/>
          <w:pgSz w:w="16838" w:h="11906" w:orient="landscape"/>
          <w:pgMar w:top="1644" w:right="1701" w:bottom="1644" w:left="1701" w:header="851" w:footer="992" w:gutter="0"/>
          <w:cols w:space="720" w:num="1"/>
          <w:docGrid w:type="lines" w:linePitch="312" w:charSpace="0"/>
        </w:sect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pPr>
    </w:p>
    <w:p>
      <w:pPr>
        <w:widowControl/>
        <w:shd w:val="clear" w:color="auto" w:fill="FFFFFF"/>
        <w:spacing w:line="360" w:lineRule="exact"/>
        <w:ind w:firstLine="480" w:firstLineChars="200"/>
        <w:rPr>
          <w:rFonts w:ascii="仿宋_GB2312" w:hAnsi="宋体" w:eastAsia="仿宋_GB2312" w:cs="仿宋_GB2312"/>
          <w:kern w:val="2"/>
          <w:sz w:val="24"/>
          <w:szCs w:val="24"/>
        </w:rPr>
        <w:sectPr>
          <w:pgSz w:w="11906" w:h="16838"/>
          <w:pgMar w:top="1701" w:right="1644" w:bottom="1701" w:left="1644" w:header="851" w:footer="992" w:gutter="0"/>
          <w:cols w:space="720" w:num="1"/>
          <w:docGrid w:linePitch="312" w:charSpace="0"/>
        </w:sectP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p>
      <w:pPr>
        <w:pStyle w:val="10"/>
        <w:spacing w:line="360" w:lineRule="auto"/>
        <w:ind w:left="179"/>
        <w:jc w:val="center"/>
      </w:pPr>
    </w:p>
    <w:tbl>
      <w:tblPr>
        <w:tblStyle w:val="6"/>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568" w:type="dxa"/>
            <w:tcBorders>
              <w:top w:val="single" w:color="auto" w:sz="8" w:space="0"/>
              <w:left w:val="nil"/>
              <w:right w:val="nil"/>
            </w:tcBorders>
          </w:tcPr>
          <w:p>
            <w:pPr>
              <w:tabs>
                <w:tab w:val="left" w:pos="990"/>
              </w:tabs>
              <w:spacing w:line="540" w:lineRule="exact"/>
              <w:rPr>
                <w:rFonts w:eastAsia="仿宋_GB2312" w:cs="仿宋_GB2312"/>
                <w:color w:val="000000"/>
                <w:kern w:val="2"/>
                <w:sz w:val="28"/>
                <w:szCs w:val="28"/>
              </w:rPr>
            </w:pPr>
            <w:r>
              <w:rPr>
                <w:rFonts w:hint="eastAsia" w:eastAsia="仿宋_GB2312" w:cs="仿宋_GB2312"/>
                <w:color w:val="000000"/>
                <w:kern w:val="2"/>
                <w:sz w:val="28"/>
                <w:szCs w:val="28"/>
              </w:rPr>
              <w:t>抄送：市政府办公室，各县区发改委、卫生计生局。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568" w:type="dxa"/>
            <w:tcBorders>
              <w:left w:val="nil"/>
              <w:bottom w:val="single" w:color="auto" w:sz="8" w:space="0"/>
              <w:right w:val="nil"/>
            </w:tcBorders>
          </w:tcPr>
          <w:p>
            <w:pPr>
              <w:tabs>
                <w:tab w:val="left" w:pos="990"/>
              </w:tabs>
              <w:spacing w:line="540" w:lineRule="exact"/>
              <w:rPr>
                <w:rFonts w:eastAsia="仿宋_GB2312" w:cs="仿宋_GB2312"/>
                <w:color w:val="000000"/>
                <w:kern w:val="2"/>
                <w:sz w:val="28"/>
                <w:szCs w:val="28"/>
              </w:rPr>
            </w:pPr>
            <w:r>
              <w:rPr>
                <w:rFonts w:hint="eastAsia" w:eastAsia="仿宋_GB2312" w:cs="仿宋_GB2312"/>
                <w:color w:val="000000"/>
                <w:kern w:val="2"/>
                <w:sz w:val="28"/>
                <w:szCs w:val="28"/>
              </w:rPr>
              <w:t>湖州市发展和改革委员会办公室</w:t>
            </w:r>
            <w:r>
              <w:rPr>
                <w:rFonts w:eastAsia="仿宋_GB2312" w:cs="仿宋_GB2312"/>
                <w:color w:val="000000"/>
                <w:kern w:val="2"/>
                <w:sz w:val="28"/>
                <w:szCs w:val="28"/>
              </w:rPr>
              <w:t xml:space="preserve">          2016</w:t>
            </w:r>
            <w:r>
              <w:rPr>
                <w:rFonts w:hint="eastAsia" w:eastAsia="仿宋_GB2312" w:cs="仿宋_GB2312"/>
                <w:color w:val="000000"/>
                <w:kern w:val="2"/>
                <w:sz w:val="28"/>
                <w:szCs w:val="28"/>
              </w:rPr>
              <w:t>年</w:t>
            </w:r>
            <w:r>
              <w:rPr>
                <w:rFonts w:eastAsia="仿宋_GB2312" w:cs="仿宋_GB2312"/>
                <w:color w:val="000000"/>
                <w:kern w:val="2"/>
                <w:sz w:val="28"/>
                <w:szCs w:val="28"/>
              </w:rPr>
              <w:t>12</w:t>
            </w:r>
            <w:r>
              <w:rPr>
                <w:rFonts w:hint="eastAsia" w:eastAsia="仿宋_GB2312" w:cs="仿宋_GB2312"/>
                <w:color w:val="000000"/>
                <w:kern w:val="2"/>
                <w:sz w:val="28"/>
                <w:szCs w:val="28"/>
              </w:rPr>
              <w:t>月</w:t>
            </w:r>
            <w:r>
              <w:rPr>
                <w:rFonts w:eastAsia="仿宋_GB2312" w:cs="仿宋_GB2312"/>
                <w:color w:val="000000"/>
                <w:kern w:val="2"/>
                <w:sz w:val="28"/>
                <w:szCs w:val="28"/>
              </w:rPr>
              <w:t>30</w:t>
            </w:r>
            <w:r>
              <w:rPr>
                <w:rFonts w:hint="eastAsia" w:eastAsia="仿宋_GB2312" w:cs="仿宋_GB2312"/>
                <w:color w:val="000000"/>
                <w:kern w:val="2"/>
                <w:sz w:val="28"/>
                <w:szCs w:val="28"/>
              </w:rPr>
              <w:t>日印发</w:t>
            </w:r>
          </w:p>
        </w:tc>
      </w:tr>
    </w:tbl>
    <w:p>
      <w:pPr>
        <w:widowControl/>
        <w:shd w:val="clear" w:color="auto" w:fill="FFFFFF"/>
        <w:spacing w:line="360" w:lineRule="exact"/>
        <w:rPr>
          <w:rFonts w:ascii="仿宋_GB2312" w:hAnsi="宋体" w:eastAsia="仿宋_GB2312" w:cs="仿宋_GB2312"/>
          <w:kern w:val="2"/>
          <w:sz w:val="21"/>
          <w:szCs w:val="21"/>
        </w:rPr>
      </w:pPr>
    </w:p>
    <w:sectPr>
      <w:pgSz w:w="11906" w:h="16838"/>
      <w:pgMar w:top="1701" w:right="1644" w:bottom="1701" w:left="1644" w:header="851" w:footer="992" w:gutter="0"/>
      <w:pgBorders>
        <w:top w:val="none" w:sz="0" w:space="0"/>
        <w:left w:val="none" w:sz="0" w:space="0"/>
        <w:bottom w:val="none" w:sz="0" w:space="0"/>
        <w:right w:val="none" w:sz="0" w:space="0"/>
      </w:pgBorders>
      <w:cols w:space="720" w:num="1"/>
      <w:titlePg/>
      <w:docGrid w:linePitch="392" w:charSpace="8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10"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w..??.">
    <w:altName w:val="DejaVu Math TeX Gyre"/>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0000000000000000000"/>
    <w:charset w:val="86"/>
    <w:family w:val="roma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仿宋_GB2312" w:eastAsia="仿宋_GB2312"/>
        <w:sz w:val="28"/>
        <w:szCs w:val="28"/>
      </w:rPr>
      <w:t>—</w:t>
    </w: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1</w:t>
    </w:r>
    <w:r>
      <w:rPr>
        <w:rFonts w:ascii="仿宋_GB2312" w:eastAsia="仿宋_GB2312"/>
        <w:sz w:val="28"/>
        <w:szCs w:val="28"/>
      </w:rPr>
      <w:fldChar w:fldCharType="end"/>
    </w:r>
    <w:r>
      <w:rPr>
        <w:rFonts w:ascii="仿宋_GB2312" w:eastAsia="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仿宋_GB2312" w:eastAsia="仿宋_GB2312"/>
        <w:sz w:val="28"/>
        <w:szCs w:val="28"/>
      </w:rPr>
      <w:t>—</w:t>
    </w: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16</w:t>
    </w:r>
    <w:r>
      <w:rPr>
        <w:rFonts w:ascii="仿宋_GB2312" w:eastAsia="仿宋_GB2312"/>
        <w:sz w:val="28"/>
        <w:szCs w:val="28"/>
      </w:rPr>
      <w:fldChar w:fldCharType="end"/>
    </w:r>
    <w:r>
      <w:rPr>
        <w:rFonts w:ascii="仿宋_GB2312" w:eastAsia="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_GB2312" w:eastAsia="仿宋_GB2312"/>
        <w:sz w:val="28"/>
        <w:szCs w:val="28"/>
      </w:rPr>
    </w:pPr>
    <w:r>
      <w:rPr>
        <w:rFonts w:ascii="仿宋_GB2312" w:eastAsia="仿宋_GB2312"/>
        <w:sz w:val="28"/>
        <w:szCs w:val="28"/>
      </w:rPr>
      <w:t>—</w:t>
    </w:r>
    <w:r>
      <w:rPr>
        <w:rFonts w:ascii="仿宋_GB2312" w:eastAsia="仿宋_GB2312"/>
        <w:sz w:val="28"/>
        <w:szCs w:val="28"/>
      </w:rPr>
      <w:fldChar w:fldCharType="begin"/>
    </w:r>
    <w:r>
      <w:rPr>
        <w:rFonts w:ascii="仿宋_GB2312" w:eastAsia="仿宋_GB2312"/>
        <w:sz w:val="28"/>
        <w:szCs w:val="28"/>
      </w:rPr>
      <w:instrText xml:space="preserve">PAGE   \* MERGEFORMAT</w:instrText>
    </w:r>
    <w:r>
      <w:rPr>
        <w:rFonts w:ascii="仿宋_GB2312" w:eastAsia="仿宋_GB2312"/>
        <w:sz w:val="28"/>
        <w:szCs w:val="28"/>
      </w:rPr>
      <w:fldChar w:fldCharType="separate"/>
    </w:r>
    <w:r>
      <w:rPr>
        <w:rFonts w:ascii="仿宋_GB2312" w:eastAsia="仿宋_GB2312"/>
        <w:sz w:val="28"/>
        <w:szCs w:val="28"/>
        <w:lang w:val="zh-CN"/>
      </w:rPr>
      <w:t>26</w:t>
    </w:r>
    <w:r>
      <w:rPr>
        <w:rFonts w:ascii="仿宋_GB2312" w:eastAsia="仿宋_GB2312"/>
        <w:sz w:val="28"/>
        <w:szCs w:val="28"/>
      </w:rPr>
      <w:fldChar w:fldCharType="end"/>
    </w:r>
    <w:r>
      <w:rPr>
        <w:rFonts w:ascii="仿宋_GB2312" w:eastAsia="仿宋_GB231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仿宋_GB2312" w:eastAsia="仿宋_GB2312"/>
        <w:sz w:val="28"/>
        <w:szCs w:val="28"/>
      </w:rPr>
      <w:t>—</w:t>
    </w: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27</w:t>
    </w:r>
    <w:r>
      <w:rPr>
        <w:rFonts w:ascii="仿宋_GB2312" w:eastAsia="仿宋_GB2312"/>
        <w:sz w:val="28"/>
        <w:szCs w:val="28"/>
      </w:rPr>
      <w:fldChar w:fldCharType="end"/>
    </w:r>
    <w:r>
      <w:rPr>
        <w:rFonts w:ascii="仿宋_GB2312" w:eastAsia="仿宋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true"/>
  <w:bordersDoNotSurroundFooter w:val="true"/>
  <w:documentProtection w:enforcement="0"/>
  <w:defaultTabStop w:val="420"/>
  <w:evenAndOddHeaders w:val="true"/>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5A7"/>
    <w:rsid w:val="00000A13"/>
    <w:rsid w:val="00000BEC"/>
    <w:rsid w:val="0000157D"/>
    <w:rsid w:val="00001FA7"/>
    <w:rsid w:val="00004FF9"/>
    <w:rsid w:val="000127CF"/>
    <w:rsid w:val="000163DD"/>
    <w:rsid w:val="0002054D"/>
    <w:rsid w:val="0002542A"/>
    <w:rsid w:val="000265AA"/>
    <w:rsid w:val="000303AB"/>
    <w:rsid w:val="00041236"/>
    <w:rsid w:val="00045D96"/>
    <w:rsid w:val="00046CEF"/>
    <w:rsid w:val="0005422E"/>
    <w:rsid w:val="000661FD"/>
    <w:rsid w:val="00067274"/>
    <w:rsid w:val="000749F4"/>
    <w:rsid w:val="000750EC"/>
    <w:rsid w:val="000750F2"/>
    <w:rsid w:val="000769AC"/>
    <w:rsid w:val="00081DBB"/>
    <w:rsid w:val="00082D08"/>
    <w:rsid w:val="0008585F"/>
    <w:rsid w:val="000878AE"/>
    <w:rsid w:val="00096475"/>
    <w:rsid w:val="000A2C39"/>
    <w:rsid w:val="000A4D1C"/>
    <w:rsid w:val="000A72A2"/>
    <w:rsid w:val="000B15A7"/>
    <w:rsid w:val="000B16E8"/>
    <w:rsid w:val="000C084D"/>
    <w:rsid w:val="000D049A"/>
    <w:rsid w:val="000D4A23"/>
    <w:rsid w:val="000D63BD"/>
    <w:rsid w:val="000E5E07"/>
    <w:rsid w:val="000F4378"/>
    <w:rsid w:val="000F7BF1"/>
    <w:rsid w:val="00103E28"/>
    <w:rsid w:val="00105DDD"/>
    <w:rsid w:val="001137F2"/>
    <w:rsid w:val="001153A5"/>
    <w:rsid w:val="00116291"/>
    <w:rsid w:val="001166D8"/>
    <w:rsid w:val="0011709A"/>
    <w:rsid w:val="001307C9"/>
    <w:rsid w:val="00134333"/>
    <w:rsid w:val="00135083"/>
    <w:rsid w:val="00136F39"/>
    <w:rsid w:val="00141138"/>
    <w:rsid w:val="00141670"/>
    <w:rsid w:val="0015600C"/>
    <w:rsid w:val="00156F9E"/>
    <w:rsid w:val="00160063"/>
    <w:rsid w:val="001704F4"/>
    <w:rsid w:val="00172D29"/>
    <w:rsid w:val="00180E72"/>
    <w:rsid w:val="001820A8"/>
    <w:rsid w:val="001821AD"/>
    <w:rsid w:val="00182B00"/>
    <w:rsid w:val="001845D3"/>
    <w:rsid w:val="001850D0"/>
    <w:rsid w:val="00185CA5"/>
    <w:rsid w:val="00186833"/>
    <w:rsid w:val="00186987"/>
    <w:rsid w:val="00187AC6"/>
    <w:rsid w:val="001A0BD5"/>
    <w:rsid w:val="001A2895"/>
    <w:rsid w:val="001A6EE4"/>
    <w:rsid w:val="001B001A"/>
    <w:rsid w:val="001B3389"/>
    <w:rsid w:val="001B35E1"/>
    <w:rsid w:val="001B594E"/>
    <w:rsid w:val="001B7B40"/>
    <w:rsid w:val="001C1297"/>
    <w:rsid w:val="001D0FD6"/>
    <w:rsid w:val="001D18DD"/>
    <w:rsid w:val="001D2A86"/>
    <w:rsid w:val="001D3F19"/>
    <w:rsid w:val="001E4B01"/>
    <w:rsid w:val="001E7430"/>
    <w:rsid w:val="001F014C"/>
    <w:rsid w:val="001F147E"/>
    <w:rsid w:val="001F67A1"/>
    <w:rsid w:val="002028F3"/>
    <w:rsid w:val="0020749B"/>
    <w:rsid w:val="002140DF"/>
    <w:rsid w:val="00214EB9"/>
    <w:rsid w:val="00215517"/>
    <w:rsid w:val="00215980"/>
    <w:rsid w:val="002202F8"/>
    <w:rsid w:val="002222F8"/>
    <w:rsid w:val="00226AFD"/>
    <w:rsid w:val="00226B0B"/>
    <w:rsid w:val="00230246"/>
    <w:rsid w:val="00235ED1"/>
    <w:rsid w:val="00237101"/>
    <w:rsid w:val="00242A98"/>
    <w:rsid w:val="00243996"/>
    <w:rsid w:val="00244878"/>
    <w:rsid w:val="00245C9E"/>
    <w:rsid w:val="00246F2C"/>
    <w:rsid w:val="00252E89"/>
    <w:rsid w:val="00255AD5"/>
    <w:rsid w:val="002573BF"/>
    <w:rsid w:val="00262041"/>
    <w:rsid w:val="0026618F"/>
    <w:rsid w:val="00272801"/>
    <w:rsid w:val="00276A97"/>
    <w:rsid w:val="0028069C"/>
    <w:rsid w:val="002809BA"/>
    <w:rsid w:val="0028145F"/>
    <w:rsid w:val="002818C0"/>
    <w:rsid w:val="0028558D"/>
    <w:rsid w:val="0029184C"/>
    <w:rsid w:val="00294CFA"/>
    <w:rsid w:val="002A6DC9"/>
    <w:rsid w:val="002C085E"/>
    <w:rsid w:val="002C0E7C"/>
    <w:rsid w:val="002C3572"/>
    <w:rsid w:val="002C47B5"/>
    <w:rsid w:val="002D35B5"/>
    <w:rsid w:val="002E362E"/>
    <w:rsid w:val="002E4CDE"/>
    <w:rsid w:val="002E6B3D"/>
    <w:rsid w:val="002F66A8"/>
    <w:rsid w:val="00303902"/>
    <w:rsid w:val="003063CA"/>
    <w:rsid w:val="003147D1"/>
    <w:rsid w:val="00316D8A"/>
    <w:rsid w:val="00320FE7"/>
    <w:rsid w:val="00341404"/>
    <w:rsid w:val="00342BD4"/>
    <w:rsid w:val="0035410C"/>
    <w:rsid w:val="00356917"/>
    <w:rsid w:val="003569EB"/>
    <w:rsid w:val="00356C33"/>
    <w:rsid w:val="00357AAD"/>
    <w:rsid w:val="00360E85"/>
    <w:rsid w:val="00366440"/>
    <w:rsid w:val="00367355"/>
    <w:rsid w:val="00370C1D"/>
    <w:rsid w:val="00372E79"/>
    <w:rsid w:val="003739A5"/>
    <w:rsid w:val="0038011E"/>
    <w:rsid w:val="00386633"/>
    <w:rsid w:val="00391BC0"/>
    <w:rsid w:val="003A6874"/>
    <w:rsid w:val="003B0345"/>
    <w:rsid w:val="003B090A"/>
    <w:rsid w:val="003B10B7"/>
    <w:rsid w:val="003B211C"/>
    <w:rsid w:val="003B5DB0"/>
    <w:rsid w:val="003C01F3"/>
    <w:rsid w:val="003C56A5"/>
    <w:rsid w:val="003C58A1"/>
    <w:rsid w:val="003D19EE"/>
    <w:rsid w:val="003D4375"/>
    <w:rsid w:val="003D4C64"/>
    <w:rsid w:val="003E1406"/>
    <w:rsid w:val="003E637D"/>
    <w:rsid w:val="003E7D69"/>
    <w:rsid w:val="003F1DA7"/>
    <w:rsid w:val="003F2C11"/>
    <w:rsid w:val="003F3E0B"/>
    <w:rsid w:val="003F7FC0"/>
    <w:rsid w:val="00405864"/>
    <w:rsid w:val="00410C0B"/>
    <w:rsid w:val="00412A80"/>
    <w:rsid w:val="00413990"/>
    <w:rsid w:val="004149CE"/>
    <w:rsid w:val="004208B5"/>
    <w:rsid w:val="004221BD"/>
    <w:rsid w:val="00423C99"/>
    <w:rsid w:val="00426627"/>
    <w:rsid w:val="00426793"/>
    <w:rsid w:val="00433EDA"/>
    <w:rsid w:val="00434310"/>
    <w:rsid w:val="00435250"/>
    <w:rsid w:val="00437A83"/>
    <w:rsid w:val="00442E84"/>
    <w:rsid w:val="00445F0B"/>
    <w:rsid w:val="0046041C"/>
    <w:rsid w:val="0046414F"/>
    <w:rsid w:val="00475DB6"/>
    <w:rsid w:val="004806E1"/>
    <w:rsid w:val="00485595"/>
    <w:rsid w:val="00485662"/>
    <w:rsid w:val="00487B2F"/>
    <w:rsid w:val="00491755"/>
    <w:rsid w:val="004941A7"/>
    <w:rsid w:val="004A223F"/>
    <w:rsid w:val="004A3C7C"/>
    <w:rsid w:val="004B0CFE"/>
    <w:rsid w:val="004B1FBB"/>
    <w:rsid w:val="004B2D29"/>
    <w:rsid w:val="004B483B"/>
    <w:rsid w:val="004C1E0C"/>
    <w:rsid w:val="004C4AFB"/>
    <w:rsid w:val="004C6679"/>
    <w:rsid w:val="004D5529"/>
    <w:rsid w:val="004F5C93"/>
    <w:rsid w:val="005006CC"/>
    <w:rsid w:val="00501156"/>
    <w:rsid w:val="00505900"/>
    <w:rsid w:val="00510D97"/>
    <w:rsid w:val="00517C5C"/>
    <w:rsid w:val="00521108"/>
    <w:rsid w:val="005239FB"/>
    <w:rsid w:val="00524B9F"/>
    <w:rsid w:val="00533603"/>
    <w:rsid w:val="005367FD"/>
    <w:rsid w:val="0054419E"/>
    <w:rsid w:val="005453F4"/>
    <w:rsid w:val="00550FC2"/>
    <w:rsid w:val="00553E02"/>
    <w:rsid w:val="0055617C"/>
    <w:rsid w:val="005615D7"/>
    <w:rsid w:val="00567DC9"/>
    <w:rsid w:val="005708AF"/>
    <w:rsid w:val="00571338"/>
    <w:rsid w:val="00577C7F"/>
    <w:rsid w:val="00580158"/>
    <w:rsid w:val="00583879"/>
    <w:rsid w:val="00586FCC"/>
    <w:rsid w:val="005922BE"/>
    <w:rsid w:val="005A00FA"/>
    <w:rsid w:val="005B799B"/>
    <w:rsid w:val="005C4013"/>
    <w:rsid w:val="005D438B"/>
    <w:rsid w:val="005E0947"/>
    <w:rsid w:val="005E0BF4"/>
    <w:rsid w:val="005F57BF"/>
    <w:rsid w:val="00605E9E"/>
    <w:rsid w:val="00605F31"/>
    <w:rsid w:val="006078EB"/>
    <w:rsid w:val="00620026"/>
    <w:rsid w:val="00621109"/>
    <w:rsid w:val="00621938"/>
    <w:rsid w:val="0062327A"/>
    <w:rsid w:val="006238EB"/>
    <w:rsid w:val="00626280"/>
    <w:rsid w:val="00641077"/>
    <w:rsid w:val="00646890"/>
    <w:rsid w:val="0065523A"/>
    <w:rsid w:val="0066282F"/>
    <w:rsid w:val="00662AAE"/>
    <w:rsid w:val="006649C5"/>
    <w:rsid w:val="00667E7C"/>
    <w:rsid w:val="00690012"/>
    <w:rsid w:val="006975D0"/>
    <w:rsid w:val="006977B2"/>
    <w:rsid w:val="006B01EB"/>
    <w:rsid w:val="006B2949"/>
    <w:rsid w:val="006B2F5F"/>
    <w:rsid w:val="006B465A"/>
    <w:rsid w:val="006C071F"/>
    <w:rsid w:val="006C436F"/>
    <w:rsid w:val="006C4418"/>
    <w:rsid w:val="006C551D"/>
    <w:rsid w:val="006C7802"/>
    <w:rsid w:val="006D0EA0"/>
    <w:rsid w:val="006D3D85"/>
    <w:rsid w:val="006F1031"/>
    <w:rsid w:val="006F4252"/>
    <w:rsid w:val="006F44DA"/>
    <w:rsid w:val="006F6413"/>
    <w:rsid w:val="006F6D6A"/>
    <w:rsid w:val="007024B5"/>
    <w:rsid w:val="00705459"/>
    <w:rsid w:val="007072EA"/>
    <w:rsid w:val="007173C3"/>
    <w:rsid w:val="00724494"/>
    <w:rsid w:val="007343CF"/>
    <w:rsid w:val="0073574F"/>
    <w:rsid w:val="007378F1"/>
    <w:rsid w:val="00743FB1"/>
    <w:rsid w:val="0074549C"/>
    <w:rsid w:val="00746B11"/>
    <w:rsid w:val="00773E04"/>
    <w:rsid w:val="00777559"/>
    <w:rsid w:val="00777716"/>
    <w:rsid w:val="0078076B"/>
    <w:rsid w:val="00782938"/>
    <w:rsid w:val="007959F0"/>
    <w:rsid w:val="007A2423"/>
    <w:rsid w:val="007A2B37"/>
    <w:rsid w:val="007A6349"/>
    <w:rsid w:val="007A7E8B"/>
    <w:rsid w:val="007B7140"/>
    <w:rsid w:val="007B78EC"/>
    <w:rsid w:val="007C04B2"/>
    <w:rsid w:val="007C7892"/>
    <w:rsid w:val="007D312A"/>
    <w:rsid w:val="007D329F"/>
    <w:rsid w:val="007D6857"/>
    <w:rsid w:val="007D6963"/>
    <w:rsid w:val="007E096A"/>
    <w:rsid w:val="007E459B"/>
    <w:rsid w:val="007F0AF7"/>
    <w:rsid w:val="007F1BAE"/>
    <w:rsid w:val="007F35C2"/>
    <w:rsid w:val="007F5E87"/>
    <w:rsid w:val="008009F4"/>
    <w:rsid w:val="008027BA"/>
    <w:rsid w:val="00802854"/>
    <w:rsid w:val="008033D2"/>
    <w:rsid w:val="00803562"/>
    <w:rsid w:val="00807A3D"/>
    <w:rsid w:val="00813760"/>
    <w:rsid w:val="00816221"/>
    <w:rsid w:val="00823BFB"/>
    <w:rsid w:val="00831019"/>
    <w:rsid w:val="008446AB"/>
    <w:rsid w:val="0085016D"/>
    <w:rsid w:val="00853B10"/>
    <w:rsid w:val="0085530B"/>
    <w:rsid w:val="008557B4"/>
    <w:rsid w:val="008636D2"/>
    <w:rsid w:val="00876B0B"/>
    <w:rsid w:val="00886155"/>
    <w:rsid w:val="0089175C"/>
    <w:rsid w:val="00891DFE"/>
    <w:rsid w:val="00892A4B"/>
    <w:rsid w:val="0089532A"/>
    <w:rsid w:val="00895E80"/>
    <w:rsid w:val="008968BF"/>
    <w:rsid w:val="008A3D53"/>
    <w:rsid w:val="008A7AC5"/>
    <w:rsid w:val="008B5ABA"/>
    <w:rsid w:val="008C4549"/>
    <w:rsid w:val="008C4575"/>
    <w:rsid w:val="008C7A51"/>
    <w:rsid w:val="008D1E59"/>
    <w:rsid w:val="008E0E92"/>
    <w:rsid w:val="008E1E9B"/>
    <w:rsid w:val="008E5D87"/>
    <w:rsid w:val="008E6427"/>
    <w:rsid w:val="008F3F86"/>
    <w:rsid w:val="00903A9A"/>
    <w:rsid w:val="00907695"/>
    <w:rsid w:val="00913479"/>
    <w:rsid w:val="00913DF9"/>
    <w:rsid w:val="00915D08"/>
    <w:rsid w:val="00916B4E"/>
    <w:rsid w:val="00921090"/>
    <w:rsid w:val="00925D89"/>
    <w:rsid w:val="00926D0A"/>
    <w:rsid w:val="00926EF9"/>
    <w:rsid w:val="00927DC5"/>
    <w:rsid w:val="00927EAB"/>
    <w:rsid w:val="00930159"/>
    <w:rsid w:val="00931D6C"/>
    <w:rsid w:val="0093261A"/>
    <w:rsid w:val="009344CA"/>
    <w:rsid w:val="00937860"/>
    <w:rsid w:val="00937C96"/>
    <w:rsid w:val="009406D0"/>
    <w:rsid w:val="00940B6B"/>
    <w:rsid w:val="00942ED0"/>
    <w:rsid w:val="009455D6"/>
    <w:rsid w:val="00950B69"/>
    <w:rsid w:val="009510ED"/>
    <w:rsid w:val="00951547"/>
    <w:rsid w:val="00962A81"/>
    <w:rsid w:val="00981892"/>
    <w:rsid w:val="00986AC8"/>
    <w:rsid w:val="0098797B"/>
    <w:rsid w:val="009914CB"/>
    <w:rsid w:val="009959E6"/>
    <w:rsid w:val="009A52D4"/>
    <w:rsid w:val="009C2642"/>
    <w:rsid w:val="009C6CFF"/>
    <w:rsid w:val="009D4B77"/>
    <w:rsid w:val="009D7534"/>
    <w:rsid w:val="009F17F6"/>
    <w:rsid w:val="009F7B65"/>
    <w:rsid w:val="00A0424B"/>
    <w:rsid w:val="00A06133"/>
    <w:rsid w:val="00A06B26"/>
    <w:rsid w:val="00A10FEB"/>
    <w:rsid w:val="00A143FF"/>
    <w:rsid w:val="00A1546A"/>
    <w:rsid w:val="00A21092"/>
    <w:rsid w:val="00A220C6"/>
    <w:rsid w:val="00A22CC0"/>
    <w:rsid w:val="00A27BAD"/>
    <w:rsid w:val="00A32533"/>
    <w:rsid w:val="00A36FED"/>
    <w:rsid w:val="00A416C6"/>
    <w:rsid w:val="00A44A02"/>
    <w:rsid w:val="00A541CF"/>
    <w:rsid w:val="00A571AA"/>
    <w:rsid w:val="00A60F5E"/>
    <w:rsid w:val="00A61480"/>
    <w:rsid w:val="00A62420"/>
    <w:rsid w:val="00A64F05"/>
    <w:rsid w:val="00A73D3C"/>
    <w:rsid w:val="00A76163"/>
    <w:rsid w:val="00A7657F"/>
    <w:rsid w:val="00A774D9"/>
    <w:rsid w:val="00A80083"/>
    <w:rsid w:val="00A81C6B"/>
    <w:rsid w:val="00A83510"/>
    <w:rsid w:val="00A8361D"/>
    <w:rsid w:val="00A858FA"/>
    <w:rsid w:val="00A86C9A"/>
    <w:rsid w:val="00A94ADD"/>
    <w:rsid w:val="00AA757E"/>
    <w:rsid w:val="00AB1141"/>
    <w:rsid w:val="00AB5842"/>
    <w:rsid w:val="00AB5A89"/>
    <w:rsid w:val="00AC14BE"/>
    <w:rsid w:val="00AC2D69"/>
    <w:rsid w:val="00AD00F4"/>
    <w:rsid w:val="00AE0F41"/>
    <w:rsid w:val="00AE52A5"/>
    <w:rsid w:val="00AF15C2"/>
    <w:rsid w:val="00AF1EC8"/>
    <w:rsid w:val="00AF4096"/>
    <w:rsid w:val="00AF45CA"/>
    <w:rsid w:val="00AF59C7"/>
    <w:rsid w:val="00AF6EE0"/>
    <w:rsid w:val="00B045E6"/>
    <w:rsid w:val="00B10FFA"/>
    <w:rsid w:val="00B1163E"/>
    <w:rsid w:val="00B132D2"/>
    <w:rsid w:val="00B13363"/>
    <w:rsid w:val="00B174A0"/>
    <w:rsid w:val="00B177F1"/>
    <w:rsid w:val="00B17E48"/>
    <w:rsid w:val="00B2529A"/>
    <w:rsid w:val="00B266DE"/>
    <w:rsid w:val="00B303EA"/>
    <w:rsid w:val="00B360B4"/>
    <w:rsid w:val="00B36E0D"/>
    <w:rsid w:val="00B507A9"/>
    <w:rsid w:val="00B50F72"/>
    <w:rsid w:val="00B57844"/>
    <w:rsid w:val="00B722DC"/>
    <w:rsid w:val="00B725C7"/>
    <w:rsid w:val="00B800BE"/>
    <w:rsid w:val="00B86248"/>
    <w:rsid w:val="00B87076"/>
    <w:rsid w:val="00B91C23"/>
    <w:rsid w:val="00B932AA"/>
    <w:rsid w:val="00B93DA4"/>
    <w:rsid w:val="00B9546F"/>
    <w:rsid w:val="00B95D40"/>
    <w:rsid w:val="00B95D9A"/>
    <w:rsid w:val="00BA3AA9"/>
    <w:rsid w:val="00BA7CCA"/>
    <w:rsid w:val="00BB0A89"/>
    <w:rsid w:val="00BB134B"/>
    <w:rsid w:val="00BB6157"/>
    <w:rsid w:val="00BB7583"/>
    <w:rsid w:val="00BC1E6E"/>
    <w:rsid w:val="00BC3493"/>
    <w:rsid w:val="00BC6F18"/>
    <w:rsid w:val="00BD1465"/>
    <w:rsid w:val="00BD3D9D"/>
    <w:rsid w:val="00BD65E4"/>
    <w:rsid w:val="00BD679A"/>
    <w:rsid w:val="00BE2E5D"/>
    <w:rsid w:val="00BF0C42"/>
    <w:rsid w:val="00BF11E9"/>
    <w:rsid w:val="00BF279A"/>
    <w:rsid w:val="00BF3B88"/>
    <w:rsid w:val="00BF7F75"/>
    <w:rsid w:val="00C02915"/>
    <w:rsid w:val="00C066D8"/>
    <w:rsid w:val="00C06D0F"/>
    <w:rsid w:val="00C122E8"/>
    <w:rsid w:val="00C202D6"/>
    <w:rsid w:val="00C209D6"/>
    <w:rsid w:val="00C2421B"/>
    <w:rsid w:val="00C31A56"/>
    <w:rsid w:val="00C31DE2"/>
    <w:rsid w:val="00C3228F"/>
    <w:rsid w:val="00C33155"/>
    <w:rsid w:val="00C34AFB"/>
    <w:rsid w:val="00C43F3C"/>
    <w:rsid w:val="00C446B0"/>
    <w:rsid w:val="00C44CC5"/>
    <w:rsid w:val="00C4500A"/>
    <w:rsid w:val="00C47EC8"/>
    <w:rsid w:val="00C5020F"/>
    <w:rsid w:val="00C52BF7"/>
    <w:rsid w:val="00C54863"/>
    <w:rsid w:val="00C56761"/>
    <w:rsid w:val="00C571E0"/>
    <w:rsid w:val="00C616E2"/>
    <w:rsid w:val="00C64627"/>
    <w:rsid w:val="00C64B26"/>
    <w:rsid w:val="00C65DCA"/>
    <w:rsid w:val="00C67236"/>
    <w:rsid w:val="00C72F94"/>
    <w:rsid w:val="00C77D31"/>
    <w:rsid w:val="00C83729"/>
    <w:rsid w:val="00C84521"/>
    <w:rsid w:val="00C905D1"/>
    <w:rsid w:val="00C91C2D"/>
    <w:rsid w:val="00C9534E"/>
    <w:rsid w:val="00C95465"/>
    <w:rsid w:val="00CA0915"/>
    <w:rsid w:val="00CA1B06"/>
    <w:rsid w:val="00CA3282"/>
    <w:rsid w:val="00CB2F90"/>
    <w:rsid w:val="00CB407C"/>
    <w:rsid w:val="00CB6A3B"/>
    <w:rsid w:val="00CC2FDA"/>
    <w:rsid w:val="00CC559C"/>
    <w:rsid w:val="00CD0DE4"/>
    <w:rsid w:val="00CE4F3A"/>
    <w:rsid w:val="00CF023E"/>
    <w:rsid w:val="00CF2404"/>
    <w:rsid w:val="00CF29A8"/>
    <w:rsid w:val="00CF73AB"/>
    <w:rsid w:val="00D0645F"/>
    <w:rsid w:val="00D11357"/>
    <w:rsid w:val="00D11A88"/>
    <w:rsid w:val="00D17EB1"/>
    <w:rsid w:val="00D21BB9"/>
    <w:rsid w:val="00D33AA8"/>
    <w:rsid w:val="00D3762E"/>
    <w:rsid w:val="00D4029C"/>
    <w:rsid w:val="00D44B4E"/>
    <w:rsid w:val="00D46804"/>
    <w:rsid w:val="00D46C13"/>
    <w:rsid w:val="00D517A0"/>
    <w:rsid w:val="00D52371"/>
    <w:rsid w:val="00D528D5"/>
    <w:rsid w:val="00D53014"/>
    <w:rsid w:val="00D63232"/>
    <w:rsid w:val="00D6363F"/>
    <w:rsid w:val="00D64624"/>
    <w:rsid w:val="00D65C5A"/>
    <w:rsid w:val="00D71B17"/>
    <w:rsid w:val="00D76134"/>
    <w:rsid w:val="00D90C57"/>
    <w:rsid w:val="00D97801"/>
    <w:rsid w:val="00DA3B49"/>
    <w:rsid w:val="00DB0C27"/>
    <w:rsid w:val="00DC77CC"/>
    <w:rsid w:val="00DD52ED"/>
    <w:rsid w:val="00DE125E"/>
    <w:rsid w:val="00DF0460"/>
    <w:rsid w:val="00DF3BAC"/>
    <w:rsid w:val="00DF3BD5"/>
    <w:rsid w:val="00DF3D71"/>
    <w:rsid w:val="00E0076C"/>
    <w:rsid w:val="00E0152E"/>
    <w:rsid w:val="00E031D1"/>
    <w:rsid w:val="00E050FE"/>
    <w:rsid w:val="00E1021A"/>
    <w:rsid w:val="00E22193"/>
    <w:rsid w:val="00E22A0A"/>
    <w:rsid w:val="00E22F73"/>
    <w:rsid w:val="00E26522"/>
    <w:rsid w:val="00E310CA"/>
    <w:rsid w:val="00E332EC"/>
    <w:rsid w:val="00E41B62"/>
    <w:rsid w:val="00E43789"/>
    <w:rsid w:val="00E4402D"/>
    <w:rsid w:val="00E44C51"/>
    <w:rsid w:val="00E51FFD"/>
    <w:rsid w:val="00E52656"/>
    <w:rsid w:val="00E566BA"/>
    <w:rsid w:val="00E56BBC"/>
    <w:rsid w:val="00E5734C"/>
    <w:rsid w:val="00E57E12"/>
    <w:rsid w:val="00E61E71"/>
    <w:rsid w:val="00E627CC"/>
    <w:rsid w:val="00E65906"/>
    <w:rsid w:val="00E73EA7"/>
    <w:rsid w:val="00E75360"/>
    <w:rsid w:val="00E75BD5"/>
    <w:rsid w:val="00E8642F"/>
    <w:rsid w:val="00E900F6"/>
    <w:rsid w:val="00E91BC0"/>
    <w:rsid w:val="00E931C2"/>
    <w:rsid w:val="00E9577E"/>
    <w:rsid w:val="00EA2AAB"/>
    <w:rsid w:val="00EA4932"/>
    <w:rsid w:val="00EA57ED"/>
    <w:rsid w:val="00EB3FA0"/>
    <w:rsid w:val="00EB4B34"/>
    <w:rsid w:val="00EB721E"/>
    <w:rsid w:val="00EC0B57"/>
    <w:rsid w:val="00EC1404"/>
    <w:rsid w:val="00EC2390"/>
    <w:rsid w:val="00EC481A"/>
    <w:rsid w:val="00EC7512"/>
    <w:rsid w:val="00ED25F9"/>
    <w:rsid w:val="00EE28A9"/>
    <w:rsid w:val="00EE3FA6"/>
    <w:rsid w:val="00EF0278"/>
    <w:rsid w:val="00EF6A8A"/>
    <w:rsid w:val="00EF7C16"/>
    <w:rsid w:val="00EF7D71"/>
    <w:rsid w:val="00F00E7D"/>
    <w:rsid w:val="00F04857"/>
    <w:rsid w:val="00F11F05"/>
    <w:rsid w:val="00F12F04"/>
    <w:rsid w:val="00F1364C"/>
    <w:rsid w:val="00F14F64"/>
    <w:rsid w:val="00F176E4"/>
    <w:rsid w:val="00F244F5"/>
    <w:rsid w:val="00F24B26"/>
    <w:rsid w:val="00F334FD"/>
    <w:rsid w:val="00F34454"/>
    <w:rsid w:val="00F426D0"/>
    <w:rsid w:val="00F5240B"/>
    <w:rsid w:val="00F567F8"/>
    <w:rsid w:val="00F643B6"/>
    <w:rsid w:val="00F64607"/>
    <w:rsid w:val="00F723DA"/>
    <w:rsid w:val="00F8339A"/>
    <w:rsid w:val="00F85558"/>
    <w:rsid w:val="00F86444"/>
    <w:rsid w:val="00F91CCB"/>
    <w:rsid w:val="00F9213F"/>
    <w:rsid w:val="00F92E15"/>
    <w:rsid w:val="00F97F5C"/>
    <w:rsid w:val="00FA4625"/>
    <w:rsid w:val="00FA703E"/>
    <w:rsid w:val="00FB493C"/>
    <w:rsid w:val="00FB57EE"/>
    <w:rsid w:val="00FB6B47"/>
    <w:rsid w:val="00FC278A"/>
    <w:rsid w:val="00FC6BA8"/>
    <w:rsid w:val="00FD5092"/>
    <w:rsid w:val="00FD6090"/>
    <w:rsid w:val="00FE3EF2"/>
    <w:rsid w:val="00FE46E4"/>
    <w:rsid w:val="00FE5948"/>
    <w:rsid w:val="00FF0625"/>
    <w:rsid w:val="00FF1229"/>
    <w:rsid w:val="00FF12EC"/>
    <w:rsid w:val="00FF394F"/>
    <w:rsid w:val="00FF78B9"/>
    <w:rsid w:val="00FF7CF0"/>
    <w:rsid w:val="6DDDDC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新宋体" w:eastAsia="仿宋_GB2312"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0"/>
      <w:szCs w:val="20"/>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sz w:val="24"/>
    </w:rPr>
  </w:style>
  <w:style w:type="character" w:customStyle="1" w:styleId="8">
    <w:name w:val="Header Char"/>
    <w:basedOn w:val="7"/>
    <w:link w:val="4"/>
    <w:qFormat/>
    <w:locked/>
    <w:uiPriority w:val="99"/>
    <w:rPr>
      <w:rFonts w:ascii="Times New Roman" w:hAnsi="Times New Roman" w:eastAsia="宋体"/>
      <w:kern w:val="0"/>
      <w:sz w:val="18"/>
    </w:rPr>
  </w:style>
  <w:style w:type="character" w:customStyle="1" w:styleId="9">
    <w:name w:val="Footer Char"/>
    <w:basedOn w:val="7"/>
    <w:link w:val="3"/>
    <w:qFormat/>
    <w:locked/>
    <w:uiPriority w:val="99"/>
    <w:rPr>
      <w:rFonts w:ascii="Times New Roman" w:hAnsi="Times New Roman" w:eastAsia="宋体"/>
      <w:kern w:val="0"/>
      <w:sz w:val="18"/>
    </w:rPr>
  </w:style>
  <w:style w:type="paragraph" w:customStyle="1" w:styleId="10">
    <w:name w:val="p17"/>
    <w:basedOn w:val="1"/>
    <w:qFormat/>
    <w:uiPriority w:val="99"/>
    <w:pPr>
      <w:widowControl/>
      <w:snapToGrid w:val="0"/>
      <w:jc w:val="left"/>
    </w:pPr>
    <w:rPr>
      <w:rFonts w:ascii="??w..??." w:hAnsi="??w..??." w:cs="宋体"/>
      <w:color w:val="000000"/>
      <w:sz w:val="24"/>
      <w:szCs w:val="24"/>
    </w:rPr>
  </w:style>
  <w:style w:type="character" w:customStyle="1" w:styleId="11">
    <w:name w:val="Date Char"/>
    <w:basedOn w:val="7"/>
    <w:link w:val="2"/>
    <w:semiHidden/>
    <w:qFormat/>
    <w:locked/>
    <w:uiPriority w:val="99"/>
    <w:rPr>
      <w:rFonts w:ascii="Times New Roman" w:hAnsi="Times New Roman" w:eastAsia="宋体"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footer" Target="footer3.xml"/>
  <Relationship Id="rId6" Type="http://schemas.openxmlformats.org/officeDocument/2006/relationships/footer" Target="footer4.xml"/>
  <Relationship Id="rId7" Type="http://schemas.openxmlformats.org/officeDocument/2006/relationships/theme" Target="theme/theme1.xml"/>
  <Relationship Id="rId8" Type="http://schemas.openxmlformats.org/officeDocument/2006/relationships/image" Target="media/image1.png"/>
  <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27</Pages>
  <Words>2119</Words>
  <Characters>12079</Characters>
  <Lines>0</Lines>
  <Paragraphs>0</Paragraphs>
  <TotalTime>362</TotalTime>
  <ScaleCrop>false</ScaleCrop>
  <LinksUpToDate>false</LinksUpToDate>
  <CharactersWithSpaces>0</CharactersWithSpaces>
  <Application>WPS Office_11.8.2.9695_F1E327BC-269C-435d-A152-05C5408002CA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2017-01-13T11:37:00Z</dcterms:created>
  <dc:creator>微软用户</dc:creator>
  <lastModifiedBy>Huzhou</lastModifiedBy>
  <lastPrinted>2016-12-07T11:36:00Z</lastPrinted>
  <dcterms:modified xsi:type="dcterms:W3CDTF">2022-10-08T15:33:13Z</dcterms:modified>
  <revision>33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