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B2E" w:rsidRDefault="00E02B2E" w:rsidP="00E02B2E">
      <w:pPr>
        <w:rPr>
          <w:rFonts w:ascii="黑体" w:eastAsia="黑体" w:hAnsi="黑体"/>
          <w:sz w:val="32"/>
          <w:szCs w:val="32"/>
          <w:lang w:eastAsia="zh-CN"/>
        </w:rPr>
      </w:pPr>
      <w:r>
        <w:rPr>
          <w:rFonts w:ascii="黑体" w:eastAsia="黑体" w:hAnsi="黑体" w:hint="eastAsia"/>
          <w:sz w:val="32"/>
          <w:szCs w:val="32"/>
          <w:lang w:eastAsia="zh-CN"/>
        </w:rPr>
        <w:t>附件2</w:t>
      </w:r>
    </w:p>
    <w:p w:rsidR="00E02B2E" w:rsidRDefault="00E02B2E" w:rsidP="00E02B2E">
      <w:pPr>
        <w:widowControl w:val="0"/>
        <w:spacing w:line="560" w:lineRule="exact"/>
        <w:jc w:val="center"/>
        <w:rPr>
          <w:rFonts w:ascii="方正小标宋简体" w:eastAsia="方正小标宋简体" w:hAnsi="方正小标宋简体" w:cs="方正小标宋简体"/>
          <w:sz w:val="36"/>
          <w:szCs w:val="36"/>
          <w:lang w:eastAsia="zh-CN"/>
        </w:rPr>
      </w:pPr>
      <w:r>
        <w:rPr>
          <w:rFonts w:ascii="方正小标宋简体" w:eastAsia="方正小标宋简体" w:hAnsi="方正小标宋简体" w:cs="方正小标宋简体" w:hint="eastAsia"/>
          <w:sz w:val="36"/>
          <w:szCs w:val="36"/>
          <w:lang w:eastAsia="zh-CN"/>
        </w:rPr>
        <w:t>2022年南浔区儿童口腔疾病综合干预定点医疗机构自评表</w:t>
      </w:r>
    </w:p>
    <w:tbl>
      <w:tblPr>
        <w:tblStyle w:val="a5"/>
        <w:tblpPr w:leftFromText="180" w:rightFromText="180" w:vertAnchor="page" w:horzAnchor="margin" w:tblpXSpec="center" w:tblpY="3601"/>
        <w:tblW w:w="9162" w:type="dxa"/>
        <w:tblLayout w:type="fixed"/>
        <w:tblLook w:val="04A0"/>
      </w:tblPr>
      <w:tblGrid>
        <w:gridCol w:w="1350"/>
        <w:gridCol w:w="1350"/>
        <w:gridCol w:w="5352"/>
        <w:gridCol w:w="1110"/>
      </w:tblGrid>
      <w:tr w:rsidR="00E02B2E" w:rsidTr="00E02B2E">
        <w:trPr>
          <w:trHeight w:val="624"/>
        </w:trPr>
        <w:tc>
          <w:tcPr>
            <w:tcW w:w="1350" w:type="dxa"/>
            <w:vAlign w:val="center"/>
          </w:tcPr>
          <w:p w:rsidR="00E02B2E" w:rsidRDefault="00E02B2E" w:rsidP="00E02B2E">
            <w:pPr>
              <w:widowControl w:val="0"/>
              <w:spacing w:line="400" w:lineRule="exact"/>
              <w:jc w:val="center"/>
              <w:rPr>
                <w:rFonts w:ascii="宋体" w:eastAsia="宋体" w:hAnsi="宋体" w:cs="宋体"/>
                <w:b/>
              </w:rPr>
            </w:pPr>
            <w:r>
              <w:rPr>
                <w:rFonts w:ascii="宋体" w:eastAsia="宋体" w:hAnsi="宋体" w:cs="宋体" w:hint="eastAsia"/>
                <w:b/>
              </w:rPr>
              <w:t>项目</w:t>
            </w:r>
          </w:p>
        </w:tc>
        <w:tc>
          <w:tcPr>
            <w:tcW w:w="1350" w:type="dxa"/>
            <w:vAlign w:val="center"/>
          </w:tcPr>
          <w:p w:rsidR="00E02B2E" w:rsidRDefault="00E02B2E" w:rsidP="00E02B2E">
            <w:pPr>
              <w:widowControl w:val="0"/>
              <w:spacing w:line="400" w:lineRule="exact"/>
              <w:jc w:val="center"/>
              <w:rPr>
                <w:rFonts w:ascii="宋体" w:eastAsia="宋体" w:hAnsi="宋体" w:cs="宋体"/>
                <w:b/>
              </w:rPr>
            </w:pPr>
            <w:r>
              <w:rPr>
                <w:rFonts w:ascii="宋体" w:eastAsia="宋体" w:hAnsi="宋体" w:cs="宋体" w:hint="eastAsia"/>
                <w:b/>
              </w:rPr>
              <w:t>指标</w:t>
            </w:r>
          </w:p>
        </w:tc>
        <w:tc>
          <w:tcPr>
            <w:tcW w:w="5352" w:type="dxa"/>
            <w:vAlign w:val="center"/>
          </w:tcPr>
          <w:p w:rsidR="00E02B2E" w:rsidRDefault="00E02B2E" w:rsidP="00E02B2E">
            <w:pPr>
              <w:widowControl w:val="0"/>
              <w:spacing w:line="400" w:lineRule="exact"/>
              <w:jc w:val="center"/>
              <w:rPr>
                <w:rFonts w:ascii="宋体" w:eastAsia="宋体" w:hAnsi="宋体" w:cs="宋体"/>
                <w:b/>
              </w:rPr>
            </w:pPr>
            <w:r>
              <w:rPr>
                <w:rFonts w:ascii="宋体" w:eastAsia="宋体" w:hAnsi="宋体" w:cs="宋体" w:hint="eastAsia"/>
                <w:b/>
              </w:rPr>
              <w:t>评分标准</w:t>
            </w:r>
          </w:p>
        </w:tc>
        <w:tc>
          <w:tcPr>
            <w:tcW w:w="1110" w:type="dxa"/>
            <w:vAlign w:val="center"/>
          </w:tcPr>
          <w:p w:rsidR="00E02B2E" w:rsidRDefault="00E02B2E" w:rsidP="00E02B2E">
            <w:pPr>
              <w:widowControl w:val="0"/>
              <w:spacing w:line="400" w:lineRule="exact"/>
              <w:jc w:val="center"/>
              <w:rPr>
                <w:rFonts w:ascii="宋体" w:eastAsia="宋体" w:hAnsi="宋体" w:cs="宋体"/>
                <w:b/>
              </w:rPr>
            </w:pPr>
            <w:r>
              <w:rPr>
                <w:rFonts w:ascii="宋体" w:eastAsia="宋体" w:hAnsi="宋体" w:cs="宋体" w:hint="eastAsia"/>
                <w:b/>
              </w:rPr>
              <w:t>得分</w:t>
            </w:r>
          </w:p>
        </w:tc>
      </w:tr>
      <w:tr w:rsidR="00E02B2E" w:rsidTr="00E02B2E">
        <w:trPr>
          <w:trHeight w:val="852"/>
        </w:trPr>
        <w:tc>
          <w:tcPr>
            <w:tcW w:w="1350" w:type="dxa"/>
            <w:vMerge w:val="restart"/>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服务能力</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30</w:t>
            </w:r>
            <w:r>
              <w:rPr>
                <w:rFonts w:ascii="宋体" w:eastAsia="宋体" w:hAnsi="宋体" w:cs="宋体" w:hint="eastAsia"/>
              </w:rPr>
              <w:t>分）</w:t>
            </w: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机构面积</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8</w:t>
            </w:r>
            <w:r>
              <w:rPr>
                <w:rFonts w:ascii="宋体" w:eastAsia="宋体" w:hAnsi="宋体" w:cs="宋体" w:hint="eastAsia"/>
              </w:rPr>
              <w:t>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医疗机构营业面积在1000平米以上的得8分，1000-500的得5分，500平米以下的得3分。</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745"/>
        </w:trPr>
        <w:tc>
          <w:tcPr>
            <w:tcW w:w="1350" w:type="dxa"/>
            <w:vMerge/>
          </w:tcPr>
          <w:p w:rsidR="00E02B2E" w:rsidRDefault="00E02B2E" w:rsidP="00E02B2E">
            <w:pPr>
              <w:widowControl w:val="0"/>
              <w:spacing w:line="400" w:lineRule="exact"/>
              <w:jc w:val="center"/>
              <w:rPr>
                <w:rFonts w:ascii="宋体" w:eastAsia="宋体" w:hAnsi="宋体" w:cs="宋体"/>
                <w:lang w:eastAsia="zh-CN"/>
              </w:rPr>
            </w:pP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基础设施</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8</w:t>
            </w:r>
            <w:r>
              <w:rPr>
                <w:rFonts w:ascii="宋体" w:eastAsia="宋体" w:hAnsi="宋体" w:cs="宋体" w:hint="eastAsia"/>
              </w:rPr>
              <w:t>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开放牙椅20张以上的得8分，20-5张的得6分，5张以下的得5分。</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700"/>
        </w:trPr>
        <w:tc>
          <w:tcPr>
            <w:tcW w:w="1350" w:type="dxa"/>
            <w:vMerge/>
          </w:tcPr>
          <w:p w:rsidR="00E02B2E" w:rsidRDefault="00E02B2E" w:rsidP="00E02B2E">
            <w:pPr>
              <w:widowControl w:val="0"/>
              <w:spacing w:line="400" w:lineRule="exact"/>
              <w:jc w:val="center"/>
              <w:rPr>
                <w:rFonts w:ascii="宋体" w:eastAsia="宋体" w:hAnsi="宋体" w:cs="宋体"/>
                <w:lang w:eastAsia="zh-CN"/>
              </w:rPr>
            </w:pPr>
          </w:p>
        </w:tc>
        <w:tc>
          <w:tcPr>
            <w:tcW w:w="1350" w:type="dxa"/>
            <w:vMerge w:val="restart"/>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人员力量</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14</w:t>
            </w:r>
            <w:r>
              <w:rPr>
                <w:rFonts w:ascii="宋体" w:eastAsia="宋体" w:hAnsi="宋体" w:cs="宋体" w:hint="eastAsia"/>
              </w:rPr>
              <w:t>分）</w:t>
            </w:r>
          </w:p>
        </w:tc>
        <w:tc>
          <w:tcPr>
            <w:tcW w:w="5352" w:type="dxa"/>
            <w:tcBorders>
              <w:bottom w:val="single" w:sz="4" w:space="0" w:color="auto"/>
            </w:tcBorders>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1.现有医护人员30人以上的得7分，10-20人得5分，5人以下的得4分。</w:t>
            </w:r>
          </w:p>
        </w:tc>
        <w:tc>
          <w:tcPr>
            <w:tcW w:w="1110" w:type="dxa"/>
            <w:tcBorders>
              <w:bottom w:val="single" w:sz="4" w:space="0" w:color="auto"/>
            </w:tcBorders>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670"/>
        </w:trPr>
        <w:tc>
          <w:tcPr>
            <w:tcW w:w="1350" w:type="dxa"/>
            <w:vMerge/>
          </w:tcPr>
          <w:p w:rsidR="00E02B2E" w:rsidRDefault="00E02B2E" w:rsidP="00E02B2E">
            <w:pPr>
              <w:widowControl w:val="0"/>
              <w:spacing w:line="400" w:lineRule="exact"/>
              <w:jc w:val="center"/>
              <w:rPr>
                <w:rFonts w:ascii="宋体" w:eastAsia="宋体" w:hAnsi="宋体" w:cs="宋体"/>
                <w:lang w:eastAsia="zh-CN"/>
              </w:rPr>
            </w:pPr>
          </w:p>
        </w:tc>
        <w:tc>
          <w:tcPr>
            <w:tcW w:w="1350" w:type="dxa"/>
            <w:vMerge/>
            <w:vAlign w:val="center"/>
          </w:tcPr>
          <w:p w:rsidR="00E02B2E" w:rsidRDefault="00E02B2E" w:rsidP="00E02B2E">
            <w:pPr>
              <w:widowControl w:val="0"/>
              <w:spacing w:line="400" w:lineRule="exact"/>
              <w:jc w:val="center"/>
              <w:rPr>
                <w:rFonts w:ascii="宋体" w:eastAsia="宋体" w:hAnsi="宋体" w:cs="宋体"/>
                <w:lang w:eastAsia="zh-CN"/>
              </w:rPr>
            </w:pPr>
          </w:p>
        </w:tc>
        <w:tc>
          <w:tcPr>
            <w:tcW w:w="5352" w:type="dxa"/>
            <w:tcBorders>
              <w:top w:val="single" w:sz="4" w:space="0" w:color="auto"/>
            </w:tcBorders>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2. 现有口腔类别执业医师10人以上的得7分，5-10人的得5分，5人以下的得3分。</w:t>
            </w:r>
          </w:p>
        </w:tc>
        <w:tc>
          <w:tcPr>
            <w:tcW w:w="1110" w:type="dxa"/>
            <w:tcBorders>
              <w:top w:val="single" w:sz="4" w:space="0" w:color="auto"/>
            </w:tcBorders>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684"/>
        </w:trPr>
        <w:tc>
          <w:tcPr>
            <w:tcW w:w="1350" w:type="dxa"/>
            <w:vMerge w:val="restart"/>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服务质量</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40分</w:t>
            </w:r>
            <w:r>
              <w:rPr>
                <w:rFonts w:ascii="宋体" w:eastAsia="宋体" w:hAnsi="宋体" w:cs="宋体" w:hint="eastAsia"/>
              </w:rPr>
              <w:t>）</w:t>
            </w: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项目经验</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w:t>
            </w:r>
            <w:r>
              <w:rPr>
                <w:rFonts w:ascii="宋体" w:eastAsia="宋体" w:hAnsi="宋体" w:cs="宋体" w:hint="eastAsia"/>
                <w:lang w:eastAsia="zh-CN"/>
              </w:rPr>
              <w:t>20</w:t>
            </w:r>
            <w:r>
              <w:rPr>
                <w:rFonts w:ascii="宋体" w:eastAsia="宋体" w:hAnsi="宋体" w:cs="宋体" w:hint="eastAsia"/>
              </w:rPr>
              <w:t>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承担过适龄儿童窝沟封闭项目工作，且任务完成较好的单位得20分；任务完成不好或未承担过不得分。</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797"/>
        </w:trPr>
        <w:tc>
          <w:tcPr>
            <w:tcW w:w="1350" w:type="dxa"/>
            <w:vMerge/>
            <w:vAlign w:val="center"/>
          </w:tcPr>
          <w:p w:rsidR="00E02B2E" w:rsidRDefault="00E02B2E" w:rsidP="00E02B2E">
            <w:pPr>
              <w:widowControl w:val="0"/>
              <w:spacing w:line="400" w:lineRule="exact"/>
              <w:jc w:val="center"/>
              <w:rPr>
                <w:rFonts w:ascii="宋体" w:eastAsia="宋体" w:hAnsi="宋体" w:cs="宋体"/>
                <w:lang w:eastAsia="zh-CN"/>
              </w:rPr>
            </w:pP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项目质量</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（10分）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承担过上一项目年度适龄儿童窝沟封闭项目工作任务的机构适龄儿童窝沟封闭率和完好率分别达85%和80%以上的得10分；未完成指标者该项不得分。新申请单位该项得5分。</w:t>
            </w:r>
          </w:p>
        </w:tc>
        <w:tc>
          <w:tcPr>
            <w:tcW w:w="1110" w:type="dxa"/>
          </w:tcPr>
          <w:p w:rsidR="00E02B2E" w:rsidRDefault="00E02B2E" w:rsidP="00E02B2E">
            <w:pPr>
              <w:widowControl w:val="0"/>
              <w:spacing w:line="400" w:lineRule="exact"/>
              <w:rPr>
                <w:rFonts w:ascii="宋体" w:eastAsia="宋体" w:hAnsi="宋体" w:cs="宋体"/>
                <w:b/>
              </w:rPr>
            </w:pPr>
          </w:p>
        </w:tc>
      </w:tr>
      <w:tr w:rsidR="00E02B2E" w:rsidTr="00E02B2E">
        <w:trPr>
          <w:trHeight w:val="621"/>
        </w:trPr>
        <w:tc>
          <w:tcPr>
            <w:tcW w:w="1350" w:type="dxa"/>
            <w:vMerge/>
            <w:vAlign w:val="center"/>
          </w:tcPr>
          <w:p w:rsidR="00E02B2E" w:rsidRDefault="00E02B2E" w:rsidP="00E02B2E">
            <w:pPr>
              <w:widowControl w:val="0"/>
              <w:spacing w:line="400" w:lineRule="exact"/>
              <w:jc w:val="center"/>
              <w:rPr>
                <w:rFonts w:ascii="宋体" w:eastAsia="宋体" w:hAnsi="宋体" w:cs="宋体"/>
              </w:rPr>
            </w:pP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事故发生</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（10分）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近3年来无重大医疗事故发生得10分，若发现有此情况不得分，并直接取消本次申报资格。</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c>
          <w:tcPr>
            <w:tcW w:w="1350" w:type="dxa"/>
            <w:vMerge w:val="restart"/>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服务便捷</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（30）</w:t>
            </w: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进校封闭</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（15分）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配备有移动牙椅至少2台以上的得15分，配备1台得12分，未配备但能承诺提供进校服务的得10分，不能承诺提供进校服务的该项不得分。</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781"/>
        </w:trPr>
        <w:tc>
          <w:tcPr>
            <w:tcW w:w="1350" w:type="dxa"/>
            <w:vMerge/>
            <w:vAlign w:val="center"/>
          </w:tcPr>
          <w:p w:rsidR="00E02B2E" w:rsidRDefault="00E02B2E" w:rsidP="00E02B2E">
            <w:pPr>
              <w:widowControl w:val="0"/>
              <w:spacing w:line="400" w:lineRule="exact"/>
              <w:jc w:val="center"/>
              <w:rPr>
                <w:rFonts w:ascii="宋体" w:eastAsia="宋体" w:hAnsi="宋体" w:cs="宋体"/>
                <w:lang w:eastAsia="zh-CN"/>
              </w:rPr>
            </w:pPr>
          </w:p>
        </w:tc>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机构地点</w:t>
            </w:r>
          </w:p>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（15分）</w:t>
            </w:r>
          </w:p>
        </w:tc>
        <w:tc>
          <w:tcPr>
            <w:tcW w:w="5352" w:type="dxa"/>
            <w:vAlign w:val="center"/>
          </w:tcPr>
          <w:p w:rsidR="00E02B2E" w:rsidRDefault="00E02B2E" w:rsidP="00E02B2E">
            <w:pPr>
              <w:widowControl w:val="0"/>
              <w:spacing w:line="400" w:lineRule="exact"/>
              <w:jc w:val="both"/>
              <w:rPr>
                <w:rFonts w:ascii="宋体" w:eastAsia="宋体" w:hAnsi="宋体" w:cs="宋体"/>
                <w:lang w:eastAsia="zh-CN"/>
              </w:rPr>
            </w:pPr>
            <w:r>
              <w:rPr>
                <w:rFonts w:ascii="宋体" w:eastAsia="宋体" w:hAnsi="宋体" w:cs="宋体" w:hint="eastAsia"/>
                <w:lang w:eastAsia="zh-CN"/>
              </w:rPr>
              <w:t>机构地点在南浔区内的得15分，在湖州市其他县区的得10分，非湖州市内的不得分。</w:t>
            </w:r>
          </w:p>
        </w:tc>
        <w:tc>
          <w:tcPr>
            <w:tcW w:w="1110" w:type="dxa"/>
          </w:tcPr>
          <w:p w:rsidR="00E02B2E" w:rsidRDefault="00E02B2E" w:rsidP="00E02B2E">
            <w:pPr>
              <w:widowControl w:val="0"/>
              <w:spacing w:line="400" w:lineRule="exact"/>
              <w:rPr>
                <w:rFonts w:ascii="宋体" w:eastAsia="宋体" w:hAnsi="宋体" w:cs="宋体"/>
                <w:b/>
                <w:lang w:eastAsia="zh-CN"/>
              </w:rPr>
            </w:pPr>
          </w:p>
        </w:tc>
      </w:tr>
      <w:tr w:rsidR="00E02B2E" w:rsidTr="00E02B2E">
        <w:trPr>
          <w:trHeight w:val="664"/>
        </w:trPr>
        <w:tc>
          <w:tcPr>
            <w:tcW w:w="1350" w:type="dxa"/>
            <w:vAlign w:val="center"/>
          </w:tcPr>
          <w:p w:rsidR="00E02B2E" w:rsidRDefault="00E02B2E" w:rsidP="00E02B2E">
            <w:pPr>
              <w:widowControl w:val="0"/>
              <w:spacing w:line="400" w:lineRule="exact"/>
              <w:jc w:val="center"/>
              <w:rPr>
                <w:rFonts w:ascii="宋体" w:eastAsia="宋体" w:hAnsi="宋体" w:cs="宋体"/>
              </w:rPr>
            </w:pPr>
            <w:r>
              <w:rPr>
                <w:rFonts w:ascii="宋体" w:eastAsia="宋体" w:hAnsi="宋体" w:cs="宋体" w:hint="eastAsia"/>
              </w:rPr>
              <w:t>合  计</w:t>
            </w:r>
          </w:p>
        </w:tc>
        <w:tc>
          <w:tcPr>
            <w:tcW w:w="1350" w:type="dxa"/>
          </w:tcPr>
          <w:p w:rsidR="00E02B2E" w:rsidRDefault="00E02B2E" w:rsidP="00E02B2E">
            <w:pPr>
              <w:widowControl w:val="0"/>
              <w:spacing w:line="400" w:lineRule="exact"/>
              <w:rPr>
                <w:rFonts w:ascii="宋体" w:eastAsia="宋体" w:hAnsi="宋体" w:cs="宋体"/>
              </w:rPr>
            </w:pPr>
          </w:p>
        </w:tc>
        <w:tc>
          <w:tcPr>
            <w:tcW w:w="5352" w:type="dxa"/>
          </w:tcPr>
          <w:p w:rsidR="00E02B2E" w:rsidRDefault="00E02B2E" w:rsidP="00E02B2E">
            <w:pPr>
              <w:widowControl w:val="0"/>
              <w:spacing w:line="400" w:lineRule="exact"/>
              <w:rPr>
                <w:rFonts w:ascii="宋体" w:eastAsia="宋体" w:hAnsi="宋体" w:cs="宋体"/>
              </w:rPr>
            </w:pPr>
          </w:p>
        </w:tc>
        <w:tc>
          <w:tcPr>
            <w:tcW w:w="1110" w:type="dxa"/>
          </w:tcPr>
          <w:p w:rsidR="00E02B2E" w:rsidRDefault="00E02B2E" w:rsidP="00E02B2E">
            <w:pPr>
              <w:widowControl w:val="0"/>
              <w:spacing w:line="400" w:lineRule="exact"/>
              <w:rPr>
                <w:rFonts w:ascii="宋体" w:eastAsia="宋体" w:hAnsi="宋体" w:cs="宋体"/>
                <w:b/>
              </w:rPr>
            </w:pPr>
          </w:p>
        </w:tc>
      </w:tr>
    </w:tbl>
    <w:p w:rsidR="00E02B2E" w:rsidRDefault="00E02B2E" w:rsidP="00E02B2E">
      <w:pPr>
        <w:widowControl w:val="0"/>
        <w:spacing w:line="400" w:lineRule="exact"/>
        <w:rPr>
          <w:lang w:eastAsia="zh-CN"/>
        </w:rPr>
      </w:pPr>
      <w:r>
        <w:rPr>
          <w:rFonts w:hint="eastAsia"/>
          <w:lang w:eastAsia="zh-CN"/>
        </w:rPr>
        <w:t>单位名称（盖章）：</w:t>
      </w:r>
      <w:r>
        <w:rPr>
          <w:rFonts w:hint="eastAsia"/>
          <w:lang w:eastAsia="zh-CN"/>
        </w:rPr>
        <w:t xml:space="preserve">                             </w:t>
      </w:r>
      <w:r>
        <w:rPr>
          <w:rFonts w:hint="eastAsia"/>
          <w:lang w:eastAsia="zh-CN"/>
        </w:rPr>
        <w:t>填报时间：</w:t>
      </w:r>
      <w:r>
        <w:rPr>
          <w:rFonts w:hint="eastAsia"/>
          <w:lang w:eastAsia="zh-CN"/>
        </w:rPr>
        <w:t xml:space="preserve">   </w:t>
      </w:r>
      <w:r>
        <w:rPr>
          <w:rFonts w:hint="eastAsia"/>
          <w:lang w:eastAsia="zh-CN"/>
        </w:rPr>
        <w:t>年</w:t>
      </w:r>
      <w:r>
        <w:rPr>
          <w:rFonts w:hint="eastAsia"/>
          <w:lang w:eastAsia="zh-CN"/>
        </w:rPr>
        <w:t xml:space="preserve">   </w:t>
      </w:r>
      <w:r>
        <w:rPr>
          <w:rFonts w:hint="eastAsia"/>
          <w:lang w:eastAsia="zh-CN"/>
        </w:rPr>
        <w:t>月</w:t>
      </w:r>
      <w:r>
        <w:rPr>
          <w:rFonts w:hint="eastAsia"/>
          <w:lang w:eastAsia="zh-CN"/>
        </w:rPr>
        <w:t xml:space="preserve">   </w:t>
      </w:r>
      <w:r>
        <w:rPr>
          <w:rFonts w:hint="eastAsia"/>
          <w:lang w:eastAsia="zh-CN"/>
        </w:rPr>
        <w:t>日</w:t>
      </w:r>
    </w:p>
    <w:p w:rsidR="00D47C31" w:rsidRPr="00E02B2E" w:rsidRDefault="00E02B2E">
      <w:pPr>
        <w:rPr>
          <w:lang w:eastAsia="zh-CN"/>
        </w:rPr>
      </w:pPr>
      <w:r>
        <w:rPr>
          <w:rFonts w:hint="eastAsia"/>
          <w:lang w:eastAsia="zh-CN"/>
        </w:rPr>
        <w:t>备注：评分在</w:t>
      </w:r>
      <w:r>
        <w:rPr>
          <w:rFonts w:hint="eastAsia"/>
          <w:lang w:eastAsia="zh-CN"/>
        </w:rPr>
        <w:t>50</w:t>
      </w:r>
      <w:r>
        <w:rPr>
          <w:rFonts w:hint="eastAsia"/>
          <w:lang w:eastAsia="zh-CN"/>
        </w:rPr>
        <w:t>分以下的不纳入定点机构遴选。</w:t>
      </w:r>
    </w:p>
    <w:sectPr w:rsidR="00D47C31" w:rsidRPr="00E02B2E" w:rsidSect="000C6D47">
      <w:footerReference w:type="default" r:id="rId6"/>
      <w:pgSz w:w="11906" w:h="16838"/>
      <w:pgMar w:top="1440" w:right="1800" w:bottom="1270" w:left="1800"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C31" w:rsidRDefault="00D47C31" w:rsidP="00E02B2E">
      <w:r>
        <w:separator/>
      </w:r>
    </w:p>
  </w:endnote>
  <w:endnote w:type="continuationSeparator" w:id="1">
    <w:p w:rsidR="00D47C31" w:rsidRDefault="00D47C31" w:rsidP="00E02B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汉仪书宋二KW"/>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D47" w:rsidRDefault="00D47C31">
    <w:pPr>
      <w:pStyle w:val="a4"/>
    </w:pPr>
    <w:r>
      <w:rPr>
        <w:lang w:eastAsia="en-US" w:bidi="en-US"/>
      </w:rPr>
      <w:pict>
        <v:shapetype id="_x0000_t202" coordsize="21600,21600" o:spt="202" path="m,l,21600r21600,l21600,xe">
          <v:stroke joinstyle="miter"/>
          <v:path gradientshapeok="t" o:connecttype="rect"/>
        </v:shapetype>
        <v:shape id="_x0000_s1025" type="#_x0000_t202" style="position:absolute;margin-left:104pt;margin-top:0;width:2in;height:2in;z-index:251660288;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BdxysBMCAAATBAAADgAAAAAAAAABACAAAAA1AQAAZHJzL2Uyb0RvYy54bWxQSwUGAAAAAAYABgBZ&#10;AQAAugUAAAAA&#10;" filled="f" stroked="f" strokeweight=".5pt">
          <v:textbox style="mso-fit-shape-to-text:t" inset="0,0,0,0">
            <w:txbxContent>
              <w:p w:rsidR="000C6D47" w:rsidRDefault="00D47C31">
                <w:pPr>
                  <w:pStyle w:val="a4"/>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E02B2E">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C31" w:rsidRDefault="00D47C31" w:rsidP="00E02B2E">
      <w:r>
        <w:separator/>
      </w:r>
    </w:p>
  </w:footnote>
  <w:footnote w:type="continuationSeparator" w:id="1">
    <w:p w:rsidR="00D47C31" w:rsidRDefault="00D47C31" w:rsidP="00E02B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02B2E"/>
    <w:rsid w:val="00D47C31"/>
    <w:rsid w:val="00E02B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B2E"/>
    <w:rPr>
      <w:rFonts w:cs="Times New Roman"/>
      <w:kern w:val="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02B2E"/>
    <w:pPr>
      <w:widowControl w:val="0"/>
      <w:pBdr>
        <w:bottom w:val="single" w:sz="6" w:space="1" w:color="auto"/>
      </w:pBdr>
      <w:tabs>
        <w:tab w:val="center" w:pos="4153"/>
        <w:tab w:val="right" w:pos="8306"/>
      </w:tabs>
      <w:snapToGrid w:val="0"/>
      <w:jc w:val="center"/>
    </w:pPr>
    <w:rPr>
      <w:rFonts w:cstheme="minorBidi"/>
      <w:kern w:val="2"/>
      <w:sz w:val="18"/>
      <w:szCs w:val="18"/>
      <w:lang w:eastAsia="zh-CN" w:bidi="ar-SA"/>
    </w:rPr>
  </w:style>
  <w:style w:type="character" w:customStyle="1" w:styleId="Char">
    <w:name w:val="页眉 Char"/>
    <w:basedOn w:val="a0"/>
    <w:link w:val="a3"/>
    <w:uiPriority w:val="99"/>
    <w:semiHidden/>
    <w:rsid w:val="00E02B2E"/>
    <w:rPr>
      <w:sz w:val="18"/>
      <w:szCs w:val="18"/>
    </w:rPr>
  </w:style>
  <w:style w:type="paragraph" w:styleId="a4">
    <w:name w:val="footer"/>
    <w:basedOn w:val="a"/>
    <w:link w:val="Char0"/>
    <w:uiPriority w:val="99"/>
    <w:semiHidden/>
    <w:unhideWhenUsed/>
    <w:qFormat/>
    <w:rsid w:val="00E02B2E"/>
    <w:pPr>
      <w:widowControl w:val="0"/>
      <w:tabs>
        <w:tab w:val="center" w:pos="4153"/>
        <w:tab w:val="right" w:pos="8306"/>
      </w:tabs>
      <w:snapToGrid w:val="0"/>
    </w:pPr>
    <w:rPr>
      <w:rFonts w:cstheme="minorBidi"/>
      <w:kern w:val="2"/>
      <w:sz w:val="18"/>
      <w:szCs w:val="18"/>
      <w:lang w:eastAsia="zh-CN" w:bidi="ar-SA"/>
    </w:rPr>
  </w:style>
  <w:style w:type="character" w:customStyle="1" w:styleId="Char0">
    <w:name w:val="页脚 Char"/>
    <w:basedOn w:val="a0"/>
    <w:link w:val="a4"/>
    <w:uiPriority w:val="99"/>
    <w:semiHidden/>
    <w:rsid w:val="00E02B2E"/>
    <w:rPr>
      <w:sz w:val="18"/>
      <w:szCs w:val="18"/>
    </w:rPr>
  </w:style>
  <w:style w:type="table" w:styleId="a5">
    <w:name w:val="Table Grid"/>
    <w:basedOn w:val="a1"/>
    <w:uiPriority w:val="59"/>
    <w:qFormat/>
    <w:rsid w:val="00E02B2E"/>
    <w:rPr>
      <w:rFonts w:cs="Times New Roman"/>
      <w:kern w:val="0"/>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Words>
  <Characters>610</Characters>
  <Application>Microsoft Office Word</Application>
  <DocSecurity>0</DocSecurity>
  <Lines>5</Lines>
  <Paragraphs>1</Paragraphs>
  <ScaleCrop>false</ScaleCrop>
  <Company>WorkGroup</Company>
  <LinksUpToDate>false</LinksUpToDate>
  <CharactersWithSpaces>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101261</dc:creator>
  <cp:keywords/>
  <dc:description/>
  <cp:lastModifiedBy>101261</cp:lastModifiedBy>
  <cp:revision>2</cp:revision>
  <dcterms:created xsi:type="dcterms:W3CDTF">2022-08-15T07:34:00Z</dcterms:created>
  <dcterms:modified xsi:type="dcterms:W3CDTF">2022-08-15T07:35:00Z</dcterms:modified>
</cp:coreProperties>
</file>