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意外伤害情况说明及医疗费用报销</w:t>
      </w:r>
      <w:r>
        <w:rPr>
          <w:rFonts w:hint="eastAsia"/>
          <w:b/>
          <w:sz w:val="36"/>
          <w:szCs w:val="36"/>
          <w:lang w:eastAsia="zh-CN"/>
        </w:rPr>
        <w:t>申请</w:t>
      </w:r>
      <w:bookmarkEnd w:id="0"/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伤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害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赔偿情况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7920" w:type="dxa"/>
            <w:gridSpan w:val="4"/>
            <w:noWrap w:val="0"/>
            <w:vAlign w:val="center"/>
          </w:tcPr>
          <w:p>
            <w:pPr>
              <w:ind w:firstLine="686" w:firstLineChars="24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本人已知晓以欺诈、伪造证明材料或者其他手段骗取养老、医疗、工伤、失业、生育等社会保险金或者其他社会保险待遇的，属于《</w:t>
            </w:r>
            <w:r>
              <w:rPr>
                <w:rFonts w:hint="eastAsia"/>
                <w:sz w:val="28"/>
                <w:szCs w:val="28"/>
                <w:lang w:eastAsia="zh-CN"/>
              </w:rPr>
              <w:t>中华人民共和国</w:t>
            </w:r>
            <w:r>
              <w:rPr>
                <w:rFonts w:hint="eastAsia"/>
                <w:sz w:val="28"/>
                <w:szCs w:val="28"/>
              </w:rPr>
              <w:t>刑法》第二百六十六条规定的诈骗公私财物的行为。现承诺上述意外受伤经过情况属实，如有隐瞒所有报销的医疗费用全部退回，并承担由此产生的法律责任。</w:t>
            </w:r>
          </w:p>
          <w:p>
            <w:pPr>
              <w:ind w:firstLine="3998" w:firstLineChars="1428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4555" w:firstLineChars="162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default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D143B"/>
    <w:rsid w:val="288237B6"/>
    <w:rsid w:val="39B61FB4"/>
    <w:rsid w:val="49A24ACA"/>
    <w:rsid w:val="7EEFDDB2"/>
    <w:rsid w:val="BDBFA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2021-06-01T10:03:00Z</dcterms:created>
  <dc:creator>Administrator</dc:creator>
  <lastModifiedBy>Huzhou</lastModifiedBy>
  <dcterms:modified xsi:type="dcterms:W3CDTF">2022-06-14T16:33:21Z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D32244B619D14E9DA35E918F7C2C6B45</vt:lpwstr>
  </property>
</Properties>
</file>