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Times New Roman" w:eastAsia="方正小标宋简体" w:cs="方正小标宋简体"/>
          <w:sz w:val="44"/>
          <w:szCs w:val="44"/>
        </w:rPr>
        <w:t>南浔区“共富联盟”建设实施方案</w:t>
      </w:r>
    </w:p>
    <w:p>
      <w:pPr>
        <w:spacing w:line="560" w:lineRule="exact"/>
        <w:jc w:val="center"/>
        <w:rPr>
          <w:rFonts w:hint="eastAsia" w:asci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eastAsia="方正小标宋简体" w:cs="方正小标宋简体"/>
          <w:sz w:val="44"/>
          <w:szCs w:val="44"/>
          <w:lang w:eastAsia="zh-CN"/>
        </w:rPr>
        <w:t>（征求意见稿）</w:t>
      </w:r>
    </w:p>
    <w:bookmarkEnd w:id="0"/>
    <w:p>
      <w:pPr>
        <w:spacing w:line="560" w:lineRule="exact"/>
        <w:rPr>
          <w:rFonts w:ascii="Times New Roman" w:cs="仿宋_GB2312"/>
          <w:spacing w:val="-2"/>
          <w:sz w:val="32"/>
          <w:szCs w:val="32"/>
        </w:rPr>
      </w:pPr>
      <w:r>
        <w:rPr>
          <w:rFonts w:hint="eastAsia" w:ascii="Times New Roman" w:cs="仿宋_GB2312"/>
          <w:spacing w:val="-2"/>
          <w:sz w:val="32"/>
          <w:szCs w:val="32"/>
        </w:rPr>
        <w:t xml:space="preserve">   </w:t>
      </w:r>
    </w:p>
    <w:p>
      <w:pPr>
        <w:spacing w:line="560" w:lineRule="exact"/>
        <w:rPr>
          <w:rFonts w:ascii="Times New Roman" w:cs="仿宋_GB2312"/>
          <w:spacing w:val="-2"/>
          <w:sz w:val="32"/>
          <w:szCs w:val="32"/>
        </w:rPr>
      </w:pPr>
      <w:r>
        <w:rPr>
          <w:rFonts w:hint="eastAsia" w:ascii="Times New Roman" w:cs="仿宋_GB2312"/>
          <w:spacing w:val="-2"/>
          <w:sz w:val="32"/>
          <w:szCs w:val="32"/>
        </w:rPr>
        <w:t xml:space="preserve">    为深入贯彻落实省市区共同富裕建设工作决策部署以及区委“5912工作体系”安排，深入实施乡村振兴战略，加快打造城乡均衡、绿色共富的新时代鱼米之乡，特制定本工作方案。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eastAsia="黑体"/>
          <w:color w:val="000000"/>
          <w:sz w:val="32"/>
          <w:szCs w:val="32"/>
        </w:rPr>
      </w:pPr>
      <w:r>
        <w:rPr>
          <w:rFonts w:hint="eastAsia" w:ascii="Times New Roman" w:eastAsia="黑体"/>
          <w:color w:val="000000"/>
          <w:sz w:val="32"/>
          <w:szCs w:val="32"/>
        </w:rPr>
        <w:t>指导思想</w:t>
      </w:r>
    </w:p>
    <w:p>
      <w:pPr>
        <w:spacing w:line="560" w:lineRule="exact"/>
        <w:rPr>
          <w:rFonts w:ascii="Times New Roman" w:cs="仿宋_GB2312"/>
          <w:spacing w:val="-2"/>
          <w:sz w:val="32"/>
          <w:szCs w:val="32"/>
        </w:rPr>
      </w:pPr>
      <w:r>
        <w:rPr>
          <w:rFonts w:hint="eastAsia" w:ascii="Times New Roman" w:cs="仿宋_GB2312"/>
          <w:spacing w:val="-2"/>
          <w:sz w:val="32"/>
          <w:szCs w:val="32"/>
        </w:rPr>
        <w:t xml:space="preserve">    以习近平新时代中国特色社会主义思想为指导，贯彻落实党的十九大和十九届五中、六中全会精神，按照区委“全市引领、全省示范、全国争先”总要求，以全面推进共同富裕为总目标，以全区乡村产业为平台，以农合联为纽带，以促进资源共享和互利共赢为手段，充分发挥农业龙头企业、示范性家庭农场、专业合作社的引领带动作用，联合强村公司、高校院所、金融机构，组建“共富联盟”，在土地资源、技术研发、示范应用、市场开拓、金融保障等方面创新资源优化组合，做强产业链，做大特色产业增量，不断提升整体竞争力，全力推进共同富裕工作走在前列。</w:t>
      </w:r>
    </w:p>
    <w:p>
      <w:pPr>
        <w:spacing w:line="560" w:lineRule="exact"/>
        <w:ind w:firstLine="640" w:firstLineChars="200"/>
        <w:rPr>
          <w:rFonts w:ascii="Times New Roman" w:eastAsia="黑体"/>
          <w:color w:val="000000"/>
          <w:sz w:val="32"/>
          <w:szCs w:val="32"/>
        </w:rPr>
      </w:pPr>
      <w:r>
        <w:rPr>
          <w:rFonts w:hint="eastAsia" w:ascii="Times New Roman" w:eastAsia="黑体"/>
          <w:color w:val="000000"/>
          <w:sz w:val="32"/>
          <w:szCs w:val="32"/>
        </w:rPr>
        <w:t>二、总体目标</w:t>
      </w:r>
    </w:p>
    <w:p>
      <w:pPr>
        <w:pStyle w:val="2"/>
        <w:spacing w:line="560" w:lineRule="exact"/>
        <w:ind w:firstLine="626" w:firstLineChars="0"/>
        <w:jc w:val="both"/>
        <w:rPr>
          <w:rFonts w:ascii="Times New Roman" w:cs="仿宋_GB2312"/>
          <w:b w:val="0"/>
          <w:bCs w:val="0"/>
          <w:spacing w:val="-2"/>
          <w:sz w:val="32"/>
          <w:szCs w:val="32"/>
        </w:rPr>
      </w:pPr>
      <w:r>
        <w:rPr>
          <w:rFonts w:hint="eastAsia" w:ascii="Times New Roman" w:cs="仿宋_GB2312"/>
          <w:b w:val="0"/>
          <w:bCs w:val="0"/>
          <w:spacing w:val="-2"/>
          <w:sz w:val="32"/>
          <w:szCs w:val="32"/>
        </w:rPr>
        <w:t>通过组建南浔区“共富联盟”，合力构建产供销、金介研于一体的强大联合，全面开展技术攻坚、推动共享知识产权、合力打造乡村产业、合作开拓内外市场、组织开展技术交流、全域覆盖金融服务，不断深化共富内涵，推动农业增效、农村繁荣、农民增收。计划到2022年底，区农林牧渔业总产值53.89亿元，农业增加值增长2.5%以上；农村居民可支配收入达到41146元以上，增长9.5%以上，村均集体经营性收入突破150万元，消除70万以下欠发达村；低收入农户可支配收入增长13%以上；农业经营主体数字化应用覆盖率达80%以上；区域公用品牌农产品销售额突破2.5亿元。</w:t>
      </w:r>
    </w:p>
    <w:p>
      <w:pPr>
        <w:pStyle w:val="2"/>
        <w:spacing w:line="560" w:lineRule="exact"/>
        <w:ind w:firstLine="626" w:firstLineChars="0"/>
        <w:jc w:val="both"/>
        <w:rPr>
          <w:rFonts w:ascii="Times New Roman" w:eastAsia="黑体" w:cs="黑体"/>
          <w:b w:val="0"/>
          <w:bCs w:val="0"/>
          <w:spacing w:val="-2"/>
          <w:sz w:val="32"/>
          <w:szCs w:val="32"/>
        </w:rPr>
      </w:pPr>
      <w:r>
        <w:rPr>
          <w:rFonts w:hint="eastAsia" w:ascii="Times New Roman" w:eastAsia="黑体" w:cs="黑体"/>
          <w:b w:val="0"/>
          <w:bCs w:val="0"/>
          <w:spacing w:val="-2"/>
          <w:sz w:val="32"/>
          <w:szCs w:val="32"/>
        </w:rPr>
        <w:t>三、组建原则</w:t>
      </w:r>
    </w:p>
    <w:p>
      <w:pPr>
        <w:spacing w:line="560" w:lineRule="exact"/>
        <w:ind w:firstLine="643" w:firstLineChars="200"/>
        <w:rPr>
          <w:rFonts w:ascii="Times New Roman" w:cs="仿宋_GB2312"/>
          <w:spacing w:val="-2"/>
          <w:sz w:val="32"/>
          <w:szCs w:val="32"/>
        </w:rPr>
      </w:pPr>
      <w:r>
        <w:rPr>
          <w:rFonts w:hint="eastAsia" w:ascii="Times New Roman" w:eastAsia="楷体_GB2312"/>
          <w:b/>
          <w:bCs/>
          <w:sz w:val="32"/>
          <w:szCs w:val="32"/>
        </w:rPr>
        <w:t>（一）政府引导、主体自愿。</w:t>
      </w:r>
      <w:r>
        <w:rPr>
          <w:rFonts w:hint="eastAsia" w:ascii="Times New Roman" w:cs="仿宋_GB2312"/>
          <w:spacing w:val="-2"/>
          <w:sz w:val="32"/>
          <w:szCs w:val="32"/>
        </w:rPr>
        <w:t>发挥农合联“三位一体”改革优势和作用，集中</w:t>
      </w:r>
      <w:r>
        <w:rPr>
          <w:rFonts w:hint="eastAsia" w:ascii="Times New Roman" w:cs="仿宋_GB2312"/>
          <w:spacing w:val="-2"/>
          <w:sz w:val="32"/>
          <w:szCs w:val="32"/>
          <w:lang w:eastAsia="zh-CN"/>
        </w:rPr>
        <w:t>各方</w:t>
      </w:r>
      <w:r>
        <w:rPr>
          <w:rFonts w:hint="eastAsia" w:ascii="Times New Roman" w:cs="仿宋_GB2312"/>
          <w:spacing w:val="-2"/>
          <w:sz w:val="32"/>
          <w:szCs w:val="32"/>
        </w:rPr>
        <w:t>力量，切实尊重主体意愿，发挥主体作用，实行自愿加入，不搞强迫命令。</w:t>
      </w:r>
    </w:p>
    <w:p>
      <w:pPr>
        <w:spacing w:line="560" w:lineRule="exact"/>
        <w:ind w:firstLine="643" w:firstLineChars="200"/>
        <w:rPr>
          <w:rFonts w:ascii="Times New Roman" w:cs="仿宋_GB2312"/>
          <w:spacing w:val="-2"/>
          <w:sz w:val="32"/>
          <w:szCs w:val="32"/>
        </w:rPr>
      </w:pPr>
      <w:r>
        <w:rPr>
          <w:rFonts w:hint="eastAsia" w:ascii="Times New Roman" w:eastAsia="楷体_GB2312"/>
          <w:b/>
          <w:bCs/>
          <w:sz w:val="32"/>
          <w:szCs w:val="32"/>
        </w:rPr>
        <w:t>（二）统一要求、分类推进。</w:t>
      </w:r>
      <w:r>
        <w:rPr>
          <w:rFonts w:hint="eastAsia" w:ascii="Times New Roman" w:cs="仿宋_GB2312"/>
          <w:spacing w:val="-2"/>
          <w:sz w:val="32"/>
          <w:szCs w:val="32"/>
        </w:rPr>
        <w:t>制定联盟总体框架，统一规范运行，同时根据资源条件、发展基础不同，成立产业分联盟，形成各具特色的发展模式。</w:t>
      </w:r>
    </w:p>
    <w:p>
      <w:pPr>
        <w:spacing w:line="560" w:lineRule="exact"/>
        <w:ind w:firstLine="643" w:firstLineChars="200"/>
        <w:rPr>
          <w:rFonts w:hint="eastAsia" w:ascii="Times New Roman" w:eastAsia="仿宋_GB2312"/>
          <w:b/>
          <w:bCs/>
          <w:sz w:val="32"/>
          <w:szCs w:val="32"/>
          <w:lang w:eastAsia="zh-CN"/>
        </w:rPr>
      </w:pPr>
      <w:r>
        <w:rPr>
          <w:rFonts w:hint="eastAsia" w:ascii="Times New Roman" w:eastAsia="楷体_GB2312"/>
          <w:b/>
          <w:bCs/>
          <w:sz w:val="32"/>
          <w:szCs w:val="32"/>
          <w:lang w:eastAsia="zh-CN"/>
        </w:rPr>
        <w:t>（三）资源整合、整体规划。</w:t>
      </w:r>
      <w:r>
        <w:rPr>
          <w:rFonts w:hint="eastAsia" w:ascii="Times New Roman" w:eastAsia="仿宋_GB2312" w:cs="仿宋_GB2312"/>
          <w:b w:val="0"/>
          <w:bCs w:val="0"/>
          <w:spacing w:val="-2"/>
          <w:sz w:val="32"/>
          <w:szCs w:val="32"/>
        </w:rPr>
        <w:t>以全域土地综合整治为抓手，</w:t>
      </w:r>
      <w:r>
        <w:rPr>
          <w:rFonts w:hint="eastAsia" w:ascii="Times New Roman" w:cs="仿宋_GB2312"/>
          <w:b w:val="0"/>
          <w:bCs w:val="0"/>
          <w:spacing w:val="-2"/>
          <w:sz w:val="32"/>
          <w:szCs w:val="32"/>
          <w:lang w:eastAsia="zh-CN"/>
        </w:rPr>
        <w:t>通过组建强村富民集团，积极探索</w:t>
      </w:r>
      <w:r>
        <w:rPr>
          <w:rFonts w:hint="eastAsia" w:ascii="Times New Roman" w:eastAsia="仿宋_GB2312" w:cs="仿宋_GB2312"/>
          <w:b w:val="0"/>
          <w:bCs w:val="0"/>
          <w:spacing w:val="-2"/>
          <w:sz w:val="32"/>
          <w:szCs w:val="32"/>
        </w:rPr>
        <w:t>“土地</w:t>
      </w:r>
      <w:r>
        <w:rPr>
          <w:rFonts w:hint="eastAsia" w:ascii="Times New Roman" w:cs="仿宋_GB2312"/>
          <w:b w:val="0"/>
          <w:bCs w:val="0"/>
          <w:spacing w:val="-2"/>
          <w:sz w:val="32"/>
          <w:szCs w:val="32"/>
          <w:lang w:eastAsia="zh-CN"/>
        </w:rPr>
        <w:t>统一</w:t>
      </w:r>
      <w:r>
        <w:rPr>
          <w:rFonts w:hint="eastAsia" w:ascii="Times New Roman" w:eastAsia="仿宋_GB2312" w:cs="仿宋_GB2312"/>
          <w:b w:val="0"/>
          <w:bCs w:val="0"/>
          <w:spacing w:val="-2"/>
          <w:sz w:val="32"/>
          <w:szCs w:val="32"/>
        </w:rPr>
        <w:t>流转+产业</w:t>
      </w:r>
      <w:r>
        <w:rPr>
          <w:rFonts w:hint="eastAsia" w:ascii="Times New Roman" w:cs="仿宋_GB2312"/>
          <w:b w:val="0"/>
          <w:bCs w:val="0"/>
          <w:spacing w:val="-2"/>
          <w:sz w:val="32"/>
          <w:szCs w:val="32"/>
          <w:lang w:eastAsia="zh-CN"/>
        </w:rPr>
        <w:t>统一规划</w:t>
      </w:r>
      <w:r>
        <w:rPr>
          <w:rFonts w:hint="eastAsia" w:ascii="Times New Roman" w:eastAsia="仿宋_GB2312" w:cs="仿宋_GB2312"/>
          <w:b w:val="0"/>
          <w:bCs w:val="0"/>
          <w:spacing w:val="-2"/>
          <w:sz w:val="32"/>
          <w:szCs w:val="32"/>
        </w:rPr>
        <w:t>”组合模式，优化用地结构，促进产</w:t>
      </w:r>
      <w:r>
        <w:rPr>
          <w:rFonts w:hint="eastAsia" w:ascii="Times New Roman" w:cs="仿宋_GB2312"/>
          <w:b w:val="0"/>
          <w:bCs w:val="0"/>
          <w:spacing w:val="-2"/>
          <w:sz w:val="32"/>
          <w:szCs w:val="32"/>
          <w:lang w:eastAsia="zh-CN"/>
        </w:rPr>
        <w:t>村</w:t>
      </w:r>
      <w:r>
        <w:rPr>
          <w:rFonts w:hint="eastAsia" w:ascii="Times New Roman" w:eastAsia="仿宋_GB2312" w:cs="仿宋_GB2312"/>
          <w:b w:val="0"/>
          <w:bCs w:val="0"/>
          <w:spacing w:val="-2"/>
          <w:sz w:val="32"/>
          <w:szCs w:val="32"/>
        </w:rPr>
        <w:t>融合</w:t>
      </w:r>
      <w:r>
        <w:rPr>
          <w:rFonts w:hint="eastAsia" w:ascii="Times New Roman" w:cs="仿宋_GB2312"/>
          <w:b w:val="0"/>
          <w:bCs w:val="0"/>
          <w:spacing w:val="-2"/>
          <w:sz w:val="32"/>
          <w:szCs w:val="32"/>
          <w:lang w:eastAsia="zh-CN"/>
        </w:rPr>
        <w:t>。</w:t>
      </w:r>
    </w:p>
    <w:p>
      <w:pPr>
        <w:spacing w:line="560" w:lineRule="exact"/>
        <w:ind w:firstLine="643" w:firstLineChars="200"/>
        <w:rPr>
          <w:rFonts w:ascii="Times New Roman" w:cs="仿宋_GB2312"/>
          <w:spacing w:val="-2"/>
          <w:sz w:val="32"/>
          <w:szCs w:val="32"/>
        </w:rPr>
      </w:pPr>
      <w:r>
        <w:rPr>
          <w:rFonts w:hint="eastAsia" w:ascii="Times New Roman" w:eastAsia="楷体_GB2312"/>
          <w:b/>
          <w:bCs/>
          <w:sz w:val="32"/>
          <w:szCs w:val="32"/>
        </w:rPr>
        <w:t>（</w:t>
      </w:r>
      <w:r>
        <w:rPr>
          <w:rFonts w:hint="eastAsia" w:ascii="Times New Roman" w:eastAsia="楷体_GB2312"/>
          <w:b/>
          <w:bCs/>
          <w:sz w:val="32"/>
          <w:szCs w:val="32"/>
          <w:lang w:eastAsia="zh-CN"/>
        </w:rPr>
        <w:t>四</w:t>
      </w:r>
      <w:r>
        <w:rPr>
          <w:rFonts w:hint="eastAsia" w:ascii="Times New Roman" w:eastAsia="楷体_GB2312"/>
          <w:b/>
          <w:bCs/>
          <w:sz w:val="32"/>
          <w:szCs w:val="32"/>
        </w:rPr>
        <w:t>）市场运作、优势互补。</w:t>
      </w:r>
      <w:r>
        <w:rPr>
          <w:rFonts w:hint="eastAsia" w:ascii="Times New Roman" w:cs="仿宋_GB2312"/>
          <w:spacing w:val="-2"/>
          <w:sz w:val="32"/>
          <w:szCs w:val="32"/>
        </w:rPr>
        <w:t>立足于企业创新发展的内在要求和合作各方的共同利益，建立有法律效力的联盟契约，平等协商、互利互惠，对联盟成员形成有效的行为约束和利益保护。</w:t>
      </w:r>
    </w:p>
    <w:p>
      <w:pPr>
        <w:spacing w:line="560" w:lineRule="exact"/>
        <w:ind w:firstLine="632" w:firstLineChars="200"/>
        <w:rPr>
          <w:rFonts w:ascii="Times New Roman" w:eastAsia="黑体" w:cs="黑体"/>
          <w:spacing w:val="-2"/>
          <w:sz w:val="32"/>
          <w:szCs w:val="32"/>
        </w:rPr>
      </w:pPr>
      <w:r>
        <w:rPr>
          <w:rFonts w:hint="eastAsia" w:ascii="Times New Roman" w:eastAsia="黑体" w:cs="黑体"/>
          <w:spacing w:val="-2"/>
          <w:sz w:val="32"/>
          <w:szCs w:val="32"/>
        </w:rPr>
        <w:t>四、重点任务</w:t>
      </w:r>
    </w:p>
    <w:p>
      <w:pPr>
        <w:widowControl/>
        <w:spacing w:line="560" w:lineRule="exact"/>
        <w:rPr>
          <w:rFonts w:hint="eastAsia" w:ascii="楷体_GB2312" w:hAnsi="楷体_GB2312" w:eastAsia="楷体_GB2312" w:cs="楷体_GB2312"/>
          <w:spacing w:val="-2"/>
          <w:sz w:val="32"/>
          <w:szCs w:val="32"/>
        </w:rPr>
      </w:pPr>
      <w:r>
        <w:rPr>
          <w:rFonts w:hint="eastAsia" w:ascii="Times New Roman" w:cs="仿宋_GB2312"/>
          <w:b/>
          <w:bCs/>
          <w:spacing w:val="-2"/>
          <w:sz w:val="32"/>
          <w:szCs w:val="32"/>
        </w:rPr>
        <w:t xml:space="preserve">    </w:t>
      </w:r>
      <w:r>
        <w:rPr>
          <w:rFonts w:hint="eastAsia" w:ascii="Times New Roman" w:eastAsia="楷体_GB2312"/>
          <w:b/>
          <w:bCs/>
          <w:sz w:val="32"/>
          <w:szCs w:val="32"/>
        </w:rPr>
        <w:t>（一）联盟共建。</w:t>
      </w:r>
      <w:r>
        <w:rPr>
          <w:rFonts w:hint="eastAsia" w:ascii="Times New Roman" w:cs="仿宋_GB2312"/>
          <w:spacing w:val="-2"/>
          <w:sz w:val="32"/>
          <w:szCs w:val="32"/>
        </w:rPr>
        <w:t>充分发挥农合联的合作联合作用，面向全区强村公司、农业龙头企业、示范性家庭农场、农民专业合作社、有合作基础的高校院所、相关中介机构、金融行业合作组建共富联盟。制定联盟章程，明确联盟定位、组织结构、运作机制、产业发展目标、联盟成员的权利和义务，在总体框架下，以各细分产业为基础，成立分联盟，具体推进工作开展。成立专家咨询委员会，不断研究完善联盟运行机制，确保共富联盟正常运作、切实有效、健康发展。</w:t>
      </w:r>
      <w:r>
        <w:rPr>
          <w:rFonts w:hint="eastAsia" w:ascii="楷体_GB2312" w:hAnsi="楷体_GB2312" w:eastAsia="楷体_GB2312" w:cs="楷体_GB2312"/>
          <w:spacing w:val="-2"/>
          <w:sz w:val="32"/>
          <w:szCs w:val="32"/>
        </w:rPr>
        <w:t>（区农合联、区委组织部、区农业农村局、区科技局、区金融发展中心）</w:t>
      </w:r>
    </w:p>
    <w:p>
      <w:pPr>
        <w:pStyle w:val="6"/>
        <w:widowControl/>
        <w:spacing w:line="560" w:lineRule="exact"/>
        <w:ind w:firstLine="626" w:firstLineChars="0"/>
        <w:jc w:val="both"/>
        <w:rPr>
          <w:rFonts w:ascii="Times New Roman" w:hAnsi="Times New Roman" w:eastAsia="仿宋_GB2312" w:cs="仿宋_GB2312"/>
          <w:spacing w:val="-2"/>
          <w:sz w:val="32"/>
          <w:szCs w:val="32"/>
        </w:rPr>
      </w:pPr>
      <w:r>
        <w:rPr>
          <w:rFonts w:hint="eastAsia" w:ascii="Times New Roman" w:hAnsi="Times New Roman" w:eastAsia="楷体_GB2312"/>
          <w:spacing w:val="0"/>
          <w:kern w:val="2"/>
          <w:sz w:val="32"/>
          <w:szCs w:val="32"/>
        </w:rPr>
        <w:t>（二）产业共兴。</w:t>
      </w:r>
      <w:r>
        <w:rPr>
          <w:rStyle w:val="8"/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32"/>
        </w:rPr>
        <w:t>围绕“中心极化、两翼北进、菱和振兴、南部开发”全域布局，</w:t>
      </w:r>
      <w:r>
        <w:rPr>
          <w:rStyle w:val="8"/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32"/>
        </w:rPr>
        <w:t>谋细谋深</w:t>
      </w:r>
      <w:r>
        <w:rPr>
          <w:rStyle w:val="8"/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32"/>
        </w:rPr>
        <w:t>乡村产业</w:t>
      </w:r>
      <w:r>
        <w:rPr>
          <w:rStyle w:val="8"/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32"/>
        </w:rPr>
        <w:t>发展，强化土地资源空间共享、集约利用，培育和引进新项目、</w:t>
      </w:r>
      <w:r>
        <w:rPr>
          <w:rStyle w:val="8"/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32"/>
        </w:rPr>
        <w:t>新业态、</w:t>
      </w:r>
      <w:r>
        <w:rPr>
          <w:rStyle w:val="8"/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32"/>
        </w:rPr>
        <w:t>新模式，引导乡村产业集聚发展，</w:t>
      </w:r>
      <w:r>
        <w:rPr>
          <w:rStyle w:val="8"/>
          <w:rFonts w:hint="eastAsia" w:ascii="Times New Roman" w:hAnsi="Times New Roman" w:eastAsia="仿宋_GB2312"/>
          <w:b w:val="0"/>
          <w:bCs w:val="0"/>
          <w:spacing w:val="0"/>
          <w:sz w:val="32"/>
          <w:szCs w:val="32"/>
        </w:rPr>
        <w:t>形成“一核三带六片区N园”新平台，力争成为南浔乡村振兴主战场。探索以集体经济制度为基础，以混合所有制、农民专业合作社等多样化联合合作发展为特征，引导强村公司和企业共建项目，激活闲置的房屋和土地等资源，创新村集体、农业主体、农民三方共同参与的共建共治模式。成立强村富民集团，加快制定覆盖全域的土地统一流转政策，不断提高农户土地租金收入和土地集约利用水平。结合乡村特色景区优势、绿色农业产业优势、农产品资源优势、美丽乡村建设优势，布局乡村旅游一张图，推动农文旅深度融合发展。计划到2022年底，全区强村公司与农业龙头企业等联合新建乡村产业项目5个以上，提供就业岗位100个以上、建成未来农村4个。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（区农业农村局、区委组织部、农高区、区自然资源和规划分局）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</w:rPr>
        <w:t xml:space="preserve">    </w:t>
      </w:r>
    </w:p>
    <w:p>
      <w:pPr>
        <w:spacing w:line="560" w:lineRule="exact"/>
        <w:rPr>
          <w:rFonts w:ascii="Times New Roman" w:cs="仿宋_GB2312"/>
          <w:sz w:val="32"/>
          <w:szCs w:val="32"/>
        </w:rPr>
      </w:pPr>
      <w:r>
        <w:rPr>
          <w:rFonts w:hint="eastAsia" w:ascii="Times New Roman" w:cs="仿宋_GB2312"/>
          <w:spacing w:val="-2"/>
          <w:sz w:val="32"/>
          <w:szCs w:val="32"/>
        </w:rPr>
        <w:t xml:space="preserve">   </w:t>
      </w:r>
      <w:r>
        <w:rPr>
          <w:rFonts w:hint="eastAsia" w:ascii="Times New Roman" w:eastAsia="楷体_GB2312"/>
          <w:b/>
          <w:sz w:val="32"/>
          <w:szCs w:val="32"/>
        </w:rPr>
        <w:t xml:space="preserve"> （三）市场共拓。</w:t>
      </w:r>
      <w:r>
        <w:rPr>
          <w:rStyle w:val="8"/>
          <w:rFonts w:hint="eastAsia" w:ascii="Times New Roman" w:hAnsi="Times New Roman" w:eastAsia="仿宋_GB2312"/>
          <w:sz w:val="32"/>
          <w:szCs w:val="32"/>
        </w:rPr>
        <w:t>融合区农合联、农业龙头企业、农民专业合作社、家庭农场等各方渠道，加快形成合作紧密、资源互补、利益共享的强大合力。以同质产业为基础，切实发挥合作联合优势，打造特色产业农合联，完成从“分”到“和”的转变，彻底</w:t>
      </w:r>
      <w:r>
        <w:rPr>
          <w:rFonts w:hint="eastAsia" w:ascii="Times New Roman" w:cs="仿宋_GB2312"/>
          <w:spacing w:val="-2"/>
          <w:sz w:val="32"/>
          <w:szCs w:val="32"/>
        </w:rPr>
        <w:t>打破主体单打独斗、各自为战，合作不诚、联合不精、互设羁绊、无序竞争局面，共同抵御市场风险，合作开拓更广阔的市场。</w:t>
      </w:r>
      <w:r>
        <w:rPr>
          <w:rFonts w:hint="eastAsia" w:ascii="Times New Roman" w:cs="仿宋_GB2312"/>
          <w:spacing w:val="-2"/>
          <w:sz w:val="32"/>
          <w:szCs w:val="32"/>
          <w:lang w:eastAsia="zh-CN"/>
        </w:rPr>
        <w:t>总结“温式模式”“星光模式”等订单农业模式，紧密联结生产</w:t>
      </w:r>
      <w:r>
        <w:rPr>
          <w:rFonts w:hint="eastAsia" w:ascii="Times New Roman" w:cs="仿宋_GB2312"/>
          <w:spacing w:val="-2"/>
          <w:sz w:val="32"/>
          <w:szCs w:val="32"/>
          <w:lang w:val="en-US" w:eastAsia="zh-CN"/>
        </w:rPr>
        <w:t>-供应企业，降低农业生产风险，促进农产品产量、品质有效提升。</w:t>
      </w:r>
      <w:r>
        <w:rPr>
          <w:rFonts w:hint="eastAsia" w:ascii="Times New Roman" w:cs="仿宋_GB2312"/>
          <w:sz w:val="32"/>
          <w:szCs w:val="32"/>
        </w:rPr>
        <w:t>全力推动区域公用品牌运营，引导龙头企业、农民专业合作社、示范性家庭农场优质产品入住品牌体系。不断创新宣传手段,拓宽宣传领域和覆盖面，将农产品区域公用品牌纳入城市品牌体系，围绕上海、杭州、苏州等长三角大中城市，持之以恒开办推介会、参加展销会，不断扩大区域公用品牌市场竞争力。推动传统行业向电商直播行业转型升级，大力开展电子商务进农村、进社区、走出去专项行动，推动商品交易网络化、农产品进出双向化发展。计划到2022年底，累计建成产业农合联8个以上，联合农业主体100家以上，实现全区主要农产品产业农合联全覆盖；举办推介会、展现会3场以上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（区农合联、区农业农村局、区商务局、区委宣传部、区融媒体中心）</w:t>
      </w:r>
    </w:p>
    <w:p>
      <w:pPr>
        <w:spacing w:line="560" w:lineRule="exact"/>
        <w:ind w:firstLine="624"/>
        <w:rPr>
          <w:rFonts w:ascii="Times New Roman" w:cs="仿宋_GB2312"/>
          <w:spacing w:val="-2"/>
          <w:sz w:val="32"/>
          <w:szCs w:val="32"/>
        </w:rPr>
      </w:pPr>
      <w:r>
        <w:rPr>
          <w:rFonts w:hint="eastAsia" w:ascii="Times New Roman" w:eastAsia="楷体_GB2312"/>
          <w:b/>
          <w:sz w:val="32"/>
          <w:szCs w:val="32"/>
          <w:lang w:eastAsia="zh-CN"/>
        </w:rPr>
        <w:t>（四）标准共育。</w:t>
      </w:r>
      <w:r>
        <w:rPr>
          <w:rFonts w:hint="eastAsia" w:ascii="Times New Roman" w:eastAsia="仿宋_GB2312" w:cs="仿宋_GB2312"/>
          <w:b w:val="0"/>
          <w:sz w:val="32"/>
          <w:szCs w:val="32"/>
          <w:lang w:eastAsia="zh-CN"/>
        </w:rPr>
        <w:t>充分认识农业标准化重要意义，</w:t>
      </w:r>
      <w:r>
        <w:rPr>
          <w:rFonts w:hint="eastAsia" w:ascii="Times New Roman" w:cs="仿宋_GB2312"/>
          <w:b w:val="0"/>
          <w:sz w:val="32"/>
          <w:szCs w:val="32"/>
          <w:lang w:eastAsia="zh-CN"/>
        </w:rPr>
        <w:t>坚持把</w:t>
      </w:r>
      <w:r>
        <w:rPr>
          <w:rFonts w:hint="eastAsia" w:ascii="Times New Roman" w:eastAsia="仿宋_GB2312" w:cs="仿宋_GB2312"/>
          <w:b w:val="0"/>
          <w:sz w:val="32"/>
          <w:szCs w:val="32"/>
        </w:rPr>
        <w:t>农业标准化作为</w:t>
      </w:r>
      <w:r>
        <w:rPr>
          <w:rFonts w:hint="eastAsia" w:ascii="Times New Roman" w:cs="仿宋_GB2312"/>
          <w:b w:val="0"/>
          <w:sz w:val="32"/>
          <w:szCs w:val="32"/>
          <w:lang w:eastAsia="zh-CN"/>
        </w:rPr>
        <w:t>打造</w:t>
      </w:r>
      <w:r>
        <w:rPr>
          <w:rFonts w:hint="eastAsia" w:ascii="Times New Roman" w:eastAsia="仿宋_GB2312" w:cs="仿宋_GB2312"/>
          <w:b w:val="0"/>
          <w:sz w:val="32"/>
          <w:szCs w:val="32"/>
        </w:rPr>
        <w:t>农业名牌、推进</w:t>
      </w:r>
      <w:r>
        <w:rPr>
          <w:rFonts w:hint="eastAsia" w:ascii="Times New Roman" w:cs="仿宋_GB2312"/>
          <w:b w:val="0"/>
          <w:sz w:val="32"/>
          <w:szCs w:val="32"/>
          <w:lang w:eastAsia="zh-CN"/>
        </w:rPr>
        <w:t>产业发展</w:t>
      </w:r>
      <w:r>
        <w:rPr>
          <w:rFonts w:hint="eastAsia" w:ascii="Times New Roman" w:eastAsia="仿宋_GB2312" w:cs="仿宋_GB2312"/>
          <w:b w:val="0"/>
          <w:sz w:val="32"/>
          <w:szCs w:val="32"/>
        </w:rPr>
        <w:t>、</w:t>
      </w:r>
      <w:r>
        <w:rPr>
          <w:rFonts w:hint="eastAsia" w:ascii="Times New Roman" w:cs="仿宋_GB2312"/>
          <w:b w:val="0"/>
          <w:sz w:val="32"/>
          <w:szCs w:val="32"/>
          <w:lang w:eastAsia="zh-CN"/>
        </w:rPr>
        <w:t>提升农业附加值</w:t>
      </w:r>
      <w:r>
        <w:rPr>
          <w:rFonts w:hint="eastAsia" w:ascii="Times New Roman" w:eastAsia="仿宋_GB2312" w:cs="仿宋_GB2312"/>
          <w:b w:val="0"/>
          <w:sz w:val="32"/>
          <w:szCs w:val="32"/>
        </w:rPr>
        <w:t>的一项基础性工作</w:t>
      </w:r>
      <w:r>
        <w:rPr>
          <w:rFonts w:hint="eastAsia" w:ascii="Times New Roman" w:cs="仿宋_GB2312"/>
          <w:b w:val="0"/>
          <w:sz w:val="32"/>
          <w:szCs w:val="32"/>
          <w:lang w:eastAsia="zh-CN"/>
        </w:rPr>
        <w:t>来抓，</w:t>
      </w:r>
      <w:r>
        <w:rPr>
          <w:rFonts w:hint="eastAsia" w:ascii="Times New Roman" w:eastAsia="仿宋_GB2312" w:cs="仿宋_GB2312"/>
          <w:b w:val="0"/>
          <w:sz w:val="32"/>
          <w:szCs w:val="32"/>
        </w:rPr>
        <w:t>从</w:t>
      </w:r>
      <w:r>
        <w:rPr>
          <w:rFonts w:hint="eastAsia" w:ascii="Times New Roman" w:cs="仿宋_GB2312"/>
          <w:b w:val="0"/>
          <w:sz w:val="32"/>
          <w:szCs w:val="32"/>
          <w:lang w:eastAsia="zh-CN"/>
        </w:rPr>
        <w:t>南浔农业</w:t>
      </w:r>
      <w:r>
        <w:rPr>
          <w:rFonts w:hint="eastAsia" w:ascii="Times New Roman" w:eastAsia="仿宋_GB2312" w:cs="仿宋_GB2312"/>
          <w:b w:val="0"/>
          <w:sz w:val="32"/>
          <w:szCs w:val="32"/>
        </w:rPr>
        <w:t>实际出发，</w:t>
      </w:r>
      <w:r>
        <w:rPr>
          <w:rFonts w:hint="eastAsia" w:ascii="Times New Roman" w:cs="仿宋_GB2312"/>
          <w:b w:val="0"/>
          <w:sz w:val="32"/>
          <w:szCs w:val="32"/>
          <w:lang w:eastAsia="zh-CN"/>
        </w:rPr>
        <w:t>围绕湖羊、红美人柑橘、跑道鱼、稻虾等</w:t>
      </w:r>
      <w:r>
        <w:rPr>
          <w:rFonts w:hint="eastAsia" w:ascii="Times New Roman" w:eastAsia="仿宋_GB2312" w:cs="仿宋_GB2312"/>
          <w:b w:val="0"/>
          <w:sz w:val="32"/>
          <w:szCs w:val="32"/>
        </w:rPr>
        <w:t>主导产业、主导产品，逐个制定系列标准。加强部门协调配合</w:t>
      </w:r>
      <w:r>
        <w:rPr>
          <w:rFonts w:hint="eastAsia" w:ascii="Times New Roman" w:cs="仿宋_GB2312"/>
          <w:b w:val="0"/>
          <w:sz w:val="32"/>
          <w:szCs w:val="32"/>
          <w:lang w:eastAsia="zh-CN"/>
        </w:rPr>
        <w:t>，</w:t>
      </w:r>
      <w:r>
        <w:rPr>
          <w:rFonts w:hint="eastAsia" w:ascii="Times New Roman" w:eastAsia="仿宋_GB2312" w:cs="仿宋_GB2312"/>
          <w:b w:val="0"/>
          <w:sz w:val="32"/>
          <w:szCs w:val="32"/>
        </w:rPr>
        <w:t>明确农</w:t>
      </w:r>
      <w:r>
        <w:rPr>
          <w:rFonts w:hint="eastAsia" w:ascii="Times New Roman" w:cs="仿宋_GB2312"/>
          <w:b w:val="0"/>
          <w:sz w:val="32"/>
          <w:szCs w:val="32"/>
          <w:lang w:eastAsia="zh-CN"/>
        </w:rPr>
        <w:t>业</w:t>
      </w:r>
      <w:r>
        <w:rPr>
          <w:rFonts w:hint="eastAsia" w:ascii="Times New Roman" w:eastAsia="仿宋_GB2312" w:cs="仿宋_GB2312"/>
          <w:b w:val="0"/>
          <w:sz w:val="32"/>
          <w:szCs w:val="32"/>
        </w:rPr>
        <w:t>、</w:t>
      </w:r>
      <w:r>
        <w:rPr>
          <w:rFonts w:hint="eastAsia" w:ascii="Times New Roman" w:cs="仿宋_GB2312"/>
          <w:b w:val="0"/>
          <w:sz w:val="32"/>
          <w:szCs w:val="32"/>
          <w:lang w:eastAsia="zh-CN"/>
        </w:rPr>
        <w:t>市场监管</w:t>
      </w:r>
      <w:r>
        <w:rPr>
          <w:rFonts w:hint="eastAsia" w:ascii="Times New Roman" w:eastAsia="仿宋_GB2312" w:cs="仿宋_GB2312"/>
          <w:b w:val="0"/>
          <w:sz w:val="32"/>
          <w:szCs w:val="32"/>
        </w:rPr>
        <w:t>、</w:t>
      </w:r>
      <w:r>
        <w:rPr>
          <w:rFonts w:hint="eastAsia" w:ascii="Times New Roman" w:cs="仿宋_GB2312"/>
          <w:b w:val="0"/>
          <w:sz w:val="32"/>
          <w:szCs w:val="32"/>
          <w:lang w:eastAsia="zh-CN"/>
        </w:rPr>
        <w:t>科技</w:t>
      </w:r>
      <w:r>
        <w:rPr>
          <w:rFonts w:hint="eastAsia" w:ascii="Times New Roman" w:eastAsia="仿宋_GB2312" w:cs="仿宋_GB2312"/>
          <w:b w:val="0"/>
          <w:sz w:val="32"/>
          <w:szCs w:val="32"/>
        </w:rPr>
        <w:t>等部门职责</w:t>
      </w:r>
      <w:r>
        <w:rPr>
          <w:rFonts w:hint="eastAsia" w:ascii="Times New Roman" w:cs="仿宋_GB2312"/>
          <w:b w:val="0"/>
          <w:sz w:val="32"/>
          <w:szCs w:val="32"/>
          <w:lang w:eastAsia="zh-CN"/>
        </w:rPr>
        <w:t>，</w:t>
      </w:r>
      <w:r>
        <w:rPr>
          <w:rFonts w:hint="eastAsia" w:ascii="Times New Roman" w:eastAsia="仿宋_GB2312" w:cs="仿宋_GB2312"/>
          <w:b w:val="0"/>
          <w:sz w:val="32"/>
          <w:szCs w:val="32"/>
        </w:rPr>
        <w:t>齐心协力抓好</w:t>
      </w:r>
      <w:r>
        <w:rPr>
          <w:rFonts w:hint="eastAsia" w:ascii="Times New Roman" w:cs="仿宋_GB2312"/>
          <w:b w:val="0"/>
          <w:sz w:val="32"/>
          <w:szCs w:val="32"/>
          <w:lang w:eastAsia="zh-CN"/>
        </w:rPr>
        <w:t>标准培育和创建</w:t>
      </w:r>
      <w:r>
        <w:rPr>
          <w:rFonts w:hint="eastAsia" w:ascii="Times New Roman" w:eastAsia="仿宋_GB2312" w:cs="仿宋_GB2312"/>
          <w:b w:val="0"/>
          <w:sz w:val="32"/>
          <w:szCs w:val="32"/>
        </w:rPr>
        <w:t>工作。</w:t>
      </w:r>
      <w:r>
        <w:rPr>
          <w:rFonts w:hint="eastAsia" w:ascii="Times New Roman" w:cs="仿宋_GB2312"/>
          <w:b w:val="0"/>
          <w:sz w:val="32"/>
          <w:szCs w:val="32"/>
          <w:lang w:eastAsia="zh-CN"/>
        </w:rPr>
        <w:t>紧密衔接生产企业、销售企业、科技企业、中介机构等各方力量，</w:t>
      </w:r>
      <w:r>
        <w:rPr>
          <w:rFonts w:hint="eastAsia" w:ascii="Times New Roman" w:eastAsia="仿宋_GB2312" w:cs="仿宋_GB2312"/>
          <w:b w:val="0"/>
          <w:sz w:val="32"/>
          <w:szCs w:val="32"/>
        </w:rPr>
        <w:t>将农业标准延伸到产前、产中、产后的全过程，</w:t>
      </w:r>
      <w:r>
        <w:rPr>
          <w:rFonts w:hint="eastAsia" w:ascii="Times New Roman" w:cs="仿宋_GB2312"/>
          <w:b w:val="0"/>
          <w:sz w:val="32"/>
          <w:szCs w:val="32"/>
          <w:lang w:eastAsia="zh-CN"/>
        </w:rPr>
        <w:t>把</w:t>
      </w:r>
      <w:r>
        <w:rPr>
          <w:rFonts w:hint="eastAsia" w:ascii="Times New Roman" w:eastAsia="仿宋_GB2312" w:cs="仿宋_GB2312"/>
          <w:b w:val="0"/>
          <w:sz w:val="32"/>
          <w:szCs w:val="32"/>
        </w:rPr>
        <w:t>农产品生产技术</w:t>
      </w:r>
      <w:r>
        <w:rPr>
          <w:rFonts w:hint="eastAsia" w:ascii="Times New Roman" w:cs="仿宋_GB2312"/>
          <w:b w:val="0"/>
          <w:sz w:val="32"/>
          <w:szCs w:val="32"/>
          <w:lang w:eastAsia="zh-CN"/>
        </w:rPr>
        <w:t>和</w:t>
      </w:r>
      <w:r>
        <w:rPr>
          <w:rFonts w:hint="eastAsia" w:ascii="Times New Roman" w:eastAsia="仿宋_GB2312" w:cs="仿宋_GB2312"/>
          <w:b w:val="0"/>
          <w:sz w:val="32"/>
          <w:szCs w:val="32"/>
        </w:rPr>
        <w:t>市场的</w:t>
      </w:r>
      <w:r>
        <w:rPr>
          <w:rFonts w:hint="eastAsia" w:ascii="Times New Roman" w:cs="仿宋_GB2312"/>
          <w:b w:val="0"/>
          <w:sz w:val="32"/>
          <w:szCs w:val="32"/>
          <w:lang w:eastAsia="zh-CN"/>
        </w:rPr>
        <w:t>需求</w:t>
      </w:r>
      <w:r>
        <w:rPr>
          <w:rFonts w:hint="eastAsia" w:ascii="Times New Roman" w:eastAsia="仿宋_GB2312" w:cs="仿宋_GB2312"/>
          <w:b w:val="0"/>
          <w:sz w:val="32"/>
          <w:szCs w:val="32"/>
        </w:rPr>
        <w:t>结合起来，实现农业生产与销售商、消费者乃至整个大市场的直接对接。</w:t>
      </w:r>
      <w:r>
        <w:rPr>
          <w:rFonts w:hint="eastAsia" w:ascii="Times New Roman" w:cs="仿宋_GB2312"/>
          <w:b w:val="0"/>
          <w:sz w:val="32"/>
          <w:szCs w:val="32"/>
          <w:lang w:eastAsia="zh-CN"/>
        </w:rPr>
        <w:t>坚持</w:t>
      </w:r>
      <w:r>
        <w:rPr>
          <w:rFonts w:hint="eastAsia" w:ascii="Times New Roman" w:eastAsia="仿宋_GB2312" w:cs="仿宋_GB2312"/>
          <w:b w:val="0"/>
          <w:sz w:val="32"/>
          <w:szCs w:val="32"/>
        </w:rPr>
        <w:t>以点带面，努力抓好农业标准的实施和推广</w:t>
      </w:r>
      <w:r>
        <w:rPr>
          <w:rFonts w:hint="eastAsia" w:ascii="Times New Roman" w:cs="仿宋_GB2312"/>
          <w:b w:val="0"/>
          <w:sz w:val="32"/>
          <w:szCs w:val="32"/>
          <w:lang w:eastAsia="zh-CN"/>
        </w:rPr>
        <w:t>，充分</w:t>
      </w:r>
      <w:r>
        <w:rPr>
          <w:rFonts w:hint="eastAsia" w:ascii="Times New Roman" w:eastAsia="仿宋_GB2312" w:cs="仿宋_GB2312"/>
          <w:b w:val="0"/>
          <w:sz w:val="32"/>
          <w:szCs w:val="32"/>
        </w:rPr>
        <w:t>发挥</w:t>
      </w:r>
      <w:r>
        <w:rPr>
          <w:rFonts w:hint="eastAsia" w:ascii="Times New Roman" w:cs="仿宋_GB2312"/>
          <w:b w:val="0"/>
          <w:sz w:val="32"/>
          <w:szCs w:val="32"/>
          <w:lang w:eastAsia="zh-CN"/>
        </w:rPr>
        <w:t>规模</w:t>
      </w:r>
      <w:r>
        <w:rPr>
          <w:rFonts w:hint="eastAsia" w:ascii="Times New Roman" w:eastAsia="仿宋_GB2312" w:cs="仿宋_GB2312"/>
          <w:b w:val="0"/>
          <w:sz w:val="32"/>
          <w:szCs w:val="32"/>
        </w:rPr>
        <w:t>园区</w:t>
      </w:r>
      <w:r>
        <w:rPr>
          <w:rFonts w:hint="eastAsia" w:ascii="Times New Roman" w:cs="仿宋_GB2312"/>
          <w:b w:val="0"/>
          <w:sz w:val="32"/>
          <w:szCs w:val="32"/>
          <w:lang w:eastAsia="zh-CN"/>
        </w:rPr>
        <w:t>、龙头企业</w:t>
      </w:r>
      <w:r>
        <w:rPr>
          <w:rFonts w:hint="eastAsia" w:ascii="Times New Roman" w:eastAsia="仿宋_GB2312" w:cs="仿宋_GB2312"/>
          <w:b w:val="0"/>
          <w:sz w:val="32"/>
          <w:szCs w:val="32"/>
        </w:rPr>
        <w:t>的辐射带动作用，落实推广措施，使农业技术标准一直贯彻到农户和企业，真正发挥作用。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（区农业农村局、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区市场监管局、</w:t>
      </w:r>
      <w:r>
        <w:rPr>
          <w:rFonts w:hint="eastAsia" w:ascii="楷体_GB2312" w:hAnsi="楷体_GB2312" w:eastAsia="楷体_GB2312" w:cs="楷体_GB2312"/>
          <w:sz w:val="32"/>
          <w:szCs w:val="32"/>
        </w:rPr>
        <w:t>区科技局）</w:t>
      </w:r>
    </w:p>
    <w:p>
      <w:pPr>
        <w:spacing w:line="560" w:lineRule="exact"/>
        <w:ind w:firstLine="624"/>
        <w:rPr>
          <w:rFonts w:ascii="Times New Roman" w:cs="仿宋_GB2312"/>
          <w:spacing w:val="-2"/>
          <w:sz w:val="32"/>
          <w:szCs w:val="32"/>
        </w:rPr>
      </w:pPr>
      <w:r>
        <w:rPr>
          <w:rFonts w:hint="eastAsia" w:ascii="Times New Roman" w:eastAsia="楷体_GB2312"/>
          <w:b/>
          <w:sz w:val="32"/>
          <w:szCs w:val="32"/>
        </w:rPr>
        <w:t>（</w:t>
      </w:r>
      <w:r>
        <w:rPr>
          <w:rFonts w:hint="eastAsia" w:ascii="Times New Roman" w:eastAsia="楷体_GB2312"/>
          <w:b/>
          <w:sz w:val="32"/>
          <w:szCs w:val="32"/>
          <w:lang w:eastAsia="zh-CN"/>
        </w:rPr>
        <w:t>五</w:t>
      </w:r>
      <w:r>
        <w:rPr>
          <w:rFonts w:hint="eastAsia" w:ascii="Times New Roman" w:eastAsia="楷体_GB2312"/>
          <w:b/>
          <w:sz w:val="32"/>
          <w:szCs w:val="32"/>
        </w:rPr>
        <w:t>）技术共享。</w:t>
      </w:r>
      <w:r>
        <w:rPr>
          <w:rFonts w:hint="eastAsia" w:ascii="Times New Roman" w:cs="仿宋_GB2312"/>
          <w:spacing w:val="-2"/>
          <w:sz w:val="32"/>
          <w:szCs w:val="32"/>
        </w:rPr>
        <w:t>以南浔区现代农业产学研联盟为基础，引进专家组成员入住“共富联盟”，健全专家考核评价制度，加快技术成果转化，促进科技与经济的有效、全面、可持续对接。</w:t>
      </w:r>
      <w:r>
        <w:rPr>
          <w:rFonts w:hint="eastAsia" w:ascii="Times New Roman" w:cs="仿宋_GB2312"/>
          <w:sz w:val="32"/>
          <w:szCs w:val="32"/>
        </w:rPr>
        <w:t>计划到2022年底，联合农业企业（专业合作社、家庭农场）申报市级及以上农业科技攻关或成果转化项目3项以上，引进新品种、新模式、新机具、新技术5个以上，培训农民2000人以上。</w:t>
      </w:r>
      <w:r>
        <w:rPr>
          <w:rFonts w:hint="eastAsia" w:ascii="Times New Roman" w:cs="仿宋_GB2312"/>
          <w:spacing w:val="-2"/>
          <w:sz w:val="32"/>
          <w:szCs w:val="32"/>
        </w:rPr>
        <w:t>深入分析工业企业与农业企业不同特点，制定支持农业企业科技创新政策意见，在创新主体培育、研发平台建设、科技成果转化等方面落实具体举措。深入实施“联镇结村帮户”活动，选派具有丰富专业知识的专业人才，直接进驻农业龙头企业，切实排忧解难。开展农业科技大户“一帮一”活动，通过科技示范户技术上、管理上、经营上的结对帮持，促进广大农户共享科技发展的成果，共走科技致富之路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（区农业农村局、区科技局）</w:t>
      </w:r>
    </w:p>
    <w:p>
      <w:pPr>
        <w:spacing w:line="560" w:lineRule="exact"/>
        <w:ind w:firstLine="624"/>
        <w:rPr>
          <w:rFonts w:hint="eastAsia" w:ascii="楷体_GB2312" w:hAnsi="楷体_GB2312" w:eastAsia="楷体_GB2312" w:cs="楷体_GB2312"/>
          <w:b/>
          <w:bCs/>
          <w:spacing w:val="-2"/>
          <w:kern w:val="0"/>
          <w:sz w:val="32"/>
          <w:szCs w:val="32"/>
        </w:rPr>
      </w:pPr>
      <w:r>
        <w:rPr>
          <w:rFonts w:hint="eastAsia" w:ascii="Times New Roman" w:eastAsia="楷体_GB2312"/>
          <w:b/>
          <w:sz w:val="32"/>
          <w:szCs w:val="32"/>
        </w:rPr>
        <w:t>（</w:t>
      </w:r>
      <w:r>
        <w:rPr>
          <w:rFonts w:hint="eastAsia" w:ascii="Times New Roman" w:eastAsia="楷体_GB2312"/>
          <w:b/>
          <w:sz w:val="32"/>
          <w:szCs w:val="32"/>
          <w:lang w:eastAsia="zh-CN"/>
        </w:rPr>
        <w:t>六</w:t>
      </w:r>
      <w:r>
        <w:rPr>
          <w:rFonts w:hint="eastAsia" w:ascii="Times New Roman" w:eastAsia="楷体_GB2312"/>
          <w:b/>
          <w:sz w:val="32"/>
          <w:szCs w:val="32"/>
        </w:rPr>
        <w:t>）金融共扶。</w:t>
      </w:r>
      <w:r>
        <w:rPr>
          <w:rFonts w:hint="eastAsia" w:ascii="Times New Roman" w:cs="仿宋_GB2312"/>
          <w:sz w:val="32"/>
          <w:szCs w:val="32"/>
        </w:rPr>
        <w:t>深度融合产业链、供应链、服务链，着力打造会员授信、贷款、担保、保险等金融服务平台。深入推进“两美农合贷”“兴农贷”“政银担”等金融贷款担保服务，全面扩大对农业企业、合作社、家庭农场等农业经营主体的信用服务覆盖面，目标授信总额3亿元以上，实际担保额度每年递增。依托金融机构信息数据，完善数字金融服务建设，实现平台数据共享，提高金融支农能力，为农业主体提供更加便利、优质、满意的服务。积极探索农产品流通领域信贷扶持政策，通过开发免担保低息的新型贷款产品，支持鼓励农户在家门口开办“南浔知味”加盟店，不断提升农户收入。积极开展政策性农业保险，调整完善政策、创新特色险种，不断扩大覆盖范围，持续提升农业产业风险抵御能力。计划到2022年底，全区政策性农业保险投保户数、保费同比增长20%，新推广特色保险2个以上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pacing w:val="-2"/>
          <w:sz w:val="32"/>
          <w:szCs w:val="32"/>
        </w:rPr>
        <w:t>区农合联、区农业农村局、区金融发展服务中心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eastAsia="黑体" w:cs="黑体"/>
          <w:sz w:val="32"/>
          <w:szCs w:val="32"/>
        </w:rPr>
      </w:pPr>
      <w:r>
        <w:rPr>
          <w:rFonts w:hint="eastAsia" w:ascii="Times New Roman" w:eastAsia="黑体" w:cs="黑体"/>
          <w:sz w:val="32"/>
          <w:szCs w:val="32"/>
        </w:rPr>
        <w:t>五、保障措施</w:t>
      </w:r>
    </w:p>
    <w:p>
      <w:pPr>
        <w:spacing w:line="560" w:lineRule="exact"/>
        <w:ind w:firstLine="636"/>
        <w:rPr>
          <w:rFonts w:ascii="Times New Roman" w:cs="仿宋_GB2312"/>
          <w:sz w:val="32"/>
          <w:szCs w:val="32"/>
        </w:rPr>
      </w:pPr>
      <w:r>
        <w:rPr>
          <w:rFonts w:hint="eastAsia" w:ascii="Times New Roman" w:eastAsia="楷体_GB2312"/>
          <w:b/>
          <w:sz w:val="32"/>
          <w:szCs w:val="32"/>
        </w:rPr>
        <w:t>（一）健全体制机制。</w:t>
      </w:r>
      <w:r>
        <w:rPr>
          <w:rFonts w:hint="eastAsia" w:ascii="Times New Roman" w:cs="仿宋_GB2312"/>
          <w:sz w:val="32"/>
          <w:szCs w:val="32"/>
        </w:rPr>
        <w:t>建立健全政府领导、农办牵头、农合联执行、相关各方协同的领导体制和工作机制，成立由分管副区长任组长，区农办、区农合联为副组长，相关单位为成员的南浔区共富联盟建设领导小组，明确责任落实、精心组织实施，确保相关各方形成合心合力合拍深化改革的良好局面。</w:t>
      </w:r>
    </w:p>
    <w:p>
      <w:pPr>
        <w:spacing w:line="560" w:lineRule="exact"/>
        <w:ind w:firstLine="636"/>
        <w:rPr>
          <w:rFonts w:ascii="Times New Roman" w:cs="仿宋_GB2312"/>
          <w:sz w:val="32"/>
          <w:szCs w:val="32"/>
        </w:rPr>
      </w:pPr>
      <w:r>
        <w:rPr>
          <w:rFonts w:hint="eastAsia" w:ascii="Times New Roman" w:eastAsia="楷体_GB2312"/>
          <w:b/>
          <w:sz w:val="32"/>
          <w:szCs w:val="32"/>
        </w:rPr>
        <w:t>（二）加强改革协同。</w:t>
      </w:r>
      <w:r>
        <w:rPr>
          <w:rFonts w:hint="eastAsia" w:ascii="Times New Roman" w:cs="仿宋_GB2312"/>
          <w:sz w:val="32"/>
          <w:szCs w:val="32"/>
          <w:lang w:val="zh-CN"/>
        </w:rPr>
        <w:t>区级各有关部门要加强组建“共富联盟”的指导、管理和服务，统筹安排相应资金，在人、财、地、物、技等方面积极制定政策，全面抓好落实。</w:t>
      </w:r>
      <w:r>
        <w:rPr>
          <w:rFonts w:hint="eastAsia" w:ascii="Times New Roman" w:cs="仿宋_GB2312"/>
          <w:sz w:val="32"/>
          <w:szCs w:val="32"/>
        </w:rPr>
        <w:t>建立问题“发现、会商、解决”闭环化解机制，对联盟共建、产业共兴、市场共拓、技术共享、金融共扶等任务进行监督指导，实行差异化考核。</w:t>
      </w:r>
    </w:p>
    <w:p>
      <w:pPr>
        <w:widowControl/>
        <w:spacing w:line="560" w:lineRule="exact"/>
        <w:ind w:firstLine="642"/>
        <w:jc w:val="left"/>
        <w:rPr>
          <w:rFonts w:ascii="Times New Roman" w:cs="仿宋_GB2312"/>
          <w:sz w:val="32"/>
          <w:szCs w:val="32"/>
        </w:rPr>
      </w:pPr>
      <w:r>
        <w:rPr>
          <w:rFonts w:hint="eastAsia" w:ascii="Times New Roman" w:eastAsia="楷体_GB2312"/>
          <w:b/>
          <w:sz w:val="32"/>
          <w:szCs w:val="32"/>
        </w:rPr>
        <w:t>（三）营造良好氛围。</w:t>
      </w:r>
      <w:r>
        <w:rPr>
          <w:rFonts w:hint="eastAsia" w:ascii="Times New Roman" w:cs="仿宋_GB2312"/>
          <w:sz w:val="32"/>
          <w:szCs w:val="32"/>
        </w:rPr>
        <w:t>坚持从严从实，强化宣传领导，不断提升宣传针对性、实效性，为“共同联盟”组建营造良好舆论氛围。认真做好经验提炼、复制推广，发挥先进典型的示范作用，不断扩大社会影响，汇聚起全社会共同支持、配合“共富联盟”的强大合力，推动各项工作干在实处、走在前列。</w:t>
      </w:r>
    </w:p>
    <w:p>
      <w:pPr>
        <w:spacing w:line="560" w:lineRule="exact"/>
        <w:rPr>
          <w:rFonts w:ascii="Times New Roman" w:cs="仿宋_GB2312"/>
          <w:sz w:val="32"/>
          <w:szCs w:val="32"/>
        </w:rPr>
      </w:pPr>
      <w:r>
        <w:rPr>
          <w:rFonts w:hint="eastAsia" w:ascii="Times New Roman" w:cs="仿宋_GB2312"/>
          <w:sz w:val="32"/>
          <w:szCs w:val="32"/>
        </w:rPr>
        <w:t xml:space="preserve">    </w:t>
      </w:r>
    </w:p>
    <w:p>
      <w:pPr>
        <w:spacing w:line="560" w:lineRule="exact"/>
        <w:rPr>
          <w:rFonts w:ascii="Times New Roman" w:cs="仿宋_GB2312"/>
          <w:sz w:val="32"/>
          <w:szCs w:val="32"/>
        </w:rPr>
      </w:pPr>
      <w:r>
        <w:rPr>
          <w:rFonts w:hint="eastAsia" w:ascii="Times New Roman" w:cs="仿宋_GB2312"/>
          <w:sz w:val="32"/>
          <w:szCs w:val="32"/>
        </w:rPr>
        <w:t xml:space="preserve">    附件：</w:t>
      </w:r>
      <w:r>
        <w:rPr>
          <w:rFonts w:hint="eastAsia" w:ascii="Times New Roman" w:cs="仿宋_GB2312"/>
          <w:sz w:val="32"/>
          <w:szCs w:val="32"/>
          <w:lang w:val="en-US" w:eastAsia="zh-CN"/>
        </w:rPr>
        <w:t>5-1</w:t>
      </w:r>
      <w:r>
        <w:rPr>
          <w:rFonts w:hint="eastAsia" w:ascii="Times New Roman" w:cs="仿宋_GB2312"/>
          <w:sz w:val="32"/>
          <w:szCs w:val="32"/>
        </w:rPr>
        <w:t>南浔区共富联盟建设领导小组</w:t>
      </w:r>
    </w:p>
    <w:p>
      <w:pPr>
        <w:pStyle w:val="2"/>
        <w:spacing w:line="560" w:lineRule="exact"/>
        <w:ind w:firstLine="0" w:firstLineChars="0"/>
        <w:jc w:val="both"/>
        <w:rPr>
          <w:rFonts w:ascii="Times New Roman"/>
        </w:rPr>
      </w:pPr>
    </w:p>
    <w:p>
      <w:pPr>
        <w:spacing w:line="560" w:lineRule="exact"/>
        <w:rPr>
          <w:rFonts w:ascii="Times New Roman"/>
        </w:rPr>
      </w:pPr>
    </w:p>
    <w:p>
      <w:pPr>
        <w:pStyle w:val="2"/>
        <w:spacing w:line="560" w:lineRule="exact"/>
        <w:ind w:firstLine="321"/>
        <w:rPr>
          <w:rFonts w:ascii="Times New Roman"/>
        </w:rPr>
      </w:pPr>
    </w:p>
    <w:p>
      <w:pPr>
        <w:spacing w:line="560" w:lineRule="exact"/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pStyle w:val="2"/>
        <w:spacing w:line="560" w:lineRule="exact"/>
        <w:ind w:firstLine="0" w:firstLineChars="0"/>
        <w:jc w:val="both"/>
        <w:rPr>
          <w:rFonts w:hint="default" w:asci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cs="仿宋_GB2312"/>
          <w:b w:val="0"/>
          <w:bCs w:val="0"/>
          <w:spacing w:val="0"/>
          <w:kern w:val="0"/>
          <w:sz w:val="32"/>
          <w:szCs w:val="32"/>
        </w:rPr>
        <w:t>附件</w:t>
      </w:r>
      <w:r>
        <w:rPr>
          <w:rFonts w:hint="eastAsia" w:ascii="Times New Roman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5-1</w:t>
      </w:r>
    </w:p>
    <w:p>
      <w:pPr>
        <w:pStyle w:val="2"/>
        <w:spacing w:line="560" w:lineRule="exact"/>
        <w:ind w:firstLine="400"/>
        <w:rPr>
          <w:rFonts w:ascii="Times New Roman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Times New Roman" w:eastAsia="方正小标宋简体" w:cs="方正小标宋简体"/>
          <w:b w:val="0"/>
          <w:bCs w:val="0"/>
          <w:spacing w:val="0"/>
          <w:sz w:val="44"/>
          <w:szCs w:val="44"/>
        </w:rPr>
        <w:t>南浔区共富联盟建设领导小组</w:t>
      </w:r>
    </w:p>
    <w:p>
      <w:pPr>
        <w:pStyle w:val="6"/>
        <w:spacing w:line="560" w:lineRule="exact"/>
        <w:ind w:firstLine="320"/>
        <w:jc w:val="both"/>
        <w:rPr>
          <w:rFonts w:ascii="Times New Roman" w:hAnsi="Times New Roman" w:eastAsia="仿宋_GB2312" w:cs="仿宋_GB2312"/>
          <w:b w:val="0"/>
          <w:bCs w:val="0"/>
          <w:spacing w:val="0"/>
          <w:sz w:val="32"/>
          <w:szCs w:val="32"/>
        </w:rPr>
      </w:pPr>
    </w:p>
    <w:p>
      <w:pPr>
        <w:pStyle w:val="6"/>
        <w:spacing w:line="560" w:lineRule="exact"/>
        <w:ind w:firstLine="320"/>
        <w:jc w:val="both"/>
        <w:rPr>
          <w:rFonts w:ascii="Times New Roman" w:hAnsi="Times New Roman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</w:rPr>
        <w:t>组      长：费学梅</w:t>
      </w:r>
    </w:p>
    <w:p>
      <w:pPr>
        <w:pStyle w:val="6"/>
        <w:spacing w:line="560" w:lineRule="exact"/>
        <w:ind w:firstLine="320"/>
        <w:jc w:val="both"/>
        <w:rPr>
          <w:rFonts w:ascii="Times New Roman" w:hAnsi="Times New Roman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</w:rPr>
        <w:t>副  组  长：卫  良  李建平</w:t>
      </w:r>
    </w:p>
    <w:p>
      <w:pPr>
        <w:pStyle w:val="6"/>
        <w:spacing w:line="560" w:lineRule="exact"/>
        <w:ind w:firstLine="320"/>
        <w:jc w:val="both"/>
        <w:rPr>
          <w:rFonts w:ascii="Times New Roman" w:hAnsi="Times New Roman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</w:rPr>
        <w:t>成      员：沈  亮（区委办）</w:t>
      </w:r>
    </w:p>
    <w:p>
      <w:pPr>
        <w:pStyle w:val="6"/>
        <w:spacing w:line="560" w:lineRule="exact"/>
        <w:ind w:firstLine="2240" w:firstLineChars="700"/>
        <w:jc w:val="both"/>
        <w:rPr>
          <w:rFonts w:ascii="Times New Roman" w:hAnsi="Times New Roman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</w:rPr>
        <w:t>沈晓斌（区政府办）</w:t>
      </w:r>
    </w:p>
    <w:p>
      <w:pPr>
        <w:pStyle w:val="6"/>
        <w:spacing w:line="560" w:lineRule="exact"/>
        <w:ind w:firstLine="2240" w:firstLineChars="700"/>
        <w:jc w:val="both"/>
        <w:rPr>
          <w:rFonts w:ascii="Times New Roman" w:hAnsi="Times New Roman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eastAsia="zh-CN"/>
        </w:rPr>
        <w:t>周海琪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</w:rPr>
        <w:t>（区委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eastAsia="zh-CN"/>
        </w:rPr>
        <w:t>组织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</w:rPr>
        <w:t>部）</w:t>
      </w:r>
    </w:p>
    <w:p>
      <w:pPr>
        <w:pStyle w:val="6"/>
        <w:spacing w:line="560" w:lineRule="exact"/>
        <w:ind w:firstLine="2240" w:firstLineChars="700"/>
        <w:jc w:val="both"/>
        <w:rPr>
          <w:rFonts w:ascii="Times New Roman" w:hAnsi="Times New Roman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eastAsia="zh-CN"/>
        </w:rPr>
        <w:t>沈中心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</w:rPr>
        <w:t>（区委宣传部）</w:t>
      </w:r>
    </w:p>
    <w:p>
      <w:pPr>
        <w:pStyle w:val="6"/>
        <w:spacing w:line="560" w:lineRule="exact"/>
        <w:ind w:firstLine="2240" w:firstLineChars="700"/>
        <w:jc w:val="both"/>
        <w:rPr>
          <w:rFonts w:ascii="Times New Roman" w:hAnsi="Times New Roman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eastAsia="zh-CN"/>
        </w:rPr>
        <w:t>徐根红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</w:rPr>
        <w:t>（区融媒体中心）</w:t>
      </w:r>
    </w:p>
    <w:p>
      <w:pPr>
        <w:pStyle w:val="6"/>
        <w:spacing w:line="560" w:lineRule="exact"/>
        <w:ind w:firstLine="2240" w:firstLineChars="700"/>
        <w:jc w:val="both"/>
        <w:rPr>
          <w:rFonts w:ascii="Times New Roman" w:hAnsi="Times New Roman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eastAsia="zh-CN"/>
        </w:rPr>
        <w:t>詹家峰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</w:rPr>
        <w:t>（区发改经信局）</w:t>
      </w:r>
    </w:p>
    <w:p>
      <w:pPr>
        <w:pStyle w:val="6"/>
        <w:spacing w:line="560" w:lineRule="exact"/>
        <w:ind w:firstLine="2240" w:firstLineChars="700"/>
        <w:jc w:val="both"/>
        <w:rPr>
          <w:rFonts w:ascii="Times New Roman" w:hAnsi="Times New Roman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eastAsia="zh-CN"/>
        </w:rPr>
        <w:t>邹贤华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</w:rPr>
        <w:t>（区科技局）</w:t>
      </w:r>
    </w:p>
    <w:p>
      <w:pPr>
        <w:pStyle w:val="6"/>
        <w:spacing w:line="560" w:lineRule="exact"/>
        <w:ind w:firstLine="2240" w:firstLineChars="700"/>
        <w:jc w:val="both"/>
        <w:rPr>
          <w:rFonts w:ascii="Times New Roman" w:hAnsi="Times New Roman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</w:rPr>
        <w:t>李卫英（区财政局）</w:t>
      </w:r>
    </w:p>
    <w:p>
      <w:pPr>
        <w:spacing w:line="560" w:lineRule="exact"/>
        <w:rPr>
          <w:rFonts w:ascii="Times New Roman" w:cs="仿宋_GB2312"/>
          <w:kern w:val="0"/>
          <w:sz w:val="32"/>
          <w:szCs w:val="32"/>
        </w:rPr>
      </w:pPr>
      <w:r>
        <w:rPr>
          <w:rFonts w:hint="eastAsia" w:ascii="Times New Roman" w:cs="仿宋_GB2312"/>
          <w:kern w:val="0"/>
          <w:sz w:val="32"/>
          <w:szCs w:val="32"/>
        </w:rPr>
        <w:t xml:space="preserve">              </w:t>
      </w:r>
      <w:r>
        <w:rPr>
          <w:rFonts w:hint="eastAsia" w:ascii="Times New Roman" w:cs="仿宋_GB2312"/>
          <w:kern w:val="0"/>
          <w:sz w:val="32"/>
          <w:szCs w:val="32"/>
          <w:lang w:eastAsia="zh-CN"/>
        </w:rPr>
        <w:t>沈敏毅</w:t>
      </w:r>
      <w:r>
        <w:rPr>
          <w:rFonts w:hint="eastAsia" w:ascii="Times New Roman" w:cs="仿宋_GB2312"/>
          <w:kern w:val="0"/>
          <w:sz w:val="32"/>
          <w:szCs w:val="32"/>
        </w:rPr>
        <w:t>（区水利局）</w:t>
      </w:r>
    </w:p>
    <w:p>
      <w:pPr>
        <w:pStyle w:val="6"/>
        <w:spacing w:line="560" w:lineRule="exact"/>
        <w:ind w:firstLine="2240" w:firstLineChars="700"/>
        <w:jc w:val="both"/>
        <w:rPr>
          <w:rFonts w:ascii="Times New Roman" w:hAnsi="Times New Roman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</w:rPr>
        <w:t>盛雅萍（区农业农村局）</w:t>
      </w:r>
    </w:p>
    <w:p>
      <w:pPr>
        <w:pStyle w:val="6"/>
        <w:spacing w:line="560" w:lineRule="exact"/>
        <w:ind w:firstLine="2240" w:firstLineChars="700"/>
        <w:jc w:val="both"/>
        <w:rPr>
          <w:rFonts w:ascii="Times New Roman" w:hAnsi="Times New Roman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eastAsia="zh-CN"/>
        </w:rPr>
        <w:t>王慧芳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</w:rPr>
        <w:t>（区商务局）</w:t>
      </w:r>
    </w:p>
    <w:p>
      <w:pPr>
        <w:spacing w:line="560" w:lineRule="exact"/>
        <w:ind w:firstLine="2240" w:firstLineChars="700"/>
        <w:jc w:val="both"/>
        <w:rPr>
          <w:rFonts w:ascii="Times New Roman" w:hAnsi="Times New Roman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Times New Roman" w:cs="仿宋_GB2312"/>
          <w:kern w:val="0"/>
          <w:sz w:val="32"/>
          <w:szCs w:val="32"/>
          <w:lang w:eastAsia="zh-CN"/>
        </w:rPr>
        <w:t>温晓波</w:t>
      </w:r>
      <w:r>
        <w:rPr>
          <w:rFonts w:hint="eastAsia" w:ascii="Times New Roman" w:cs="仿宋_GB2312"/>
          <w:kern w:val="0"/>
          <w:sz w:val="32"/>
          <w:szCs w:val="32"/>
        </w:rPr>
        <w:t>（</w:t>
      </w:r>
      <w:r>
        <w:rPr>
          <w:rFonts w:hint="eastAsia" w:ascii="Times New Roman" w:cs="仿宋_GB2312"/>
          <w:sz w:val="32"/>
          <w:szCs w:val="32"/>
        </w:rPr>
        <w:t>区文广旅体局</w:t>
      </w:r>
      <w:r>
        <w:rPr>
          <w:rFonts w:hint="eastAsia" w:ascii="Times New Roman" w:cs="仿宋_GB2312"/>
          <w:kern w:val="0"/>
          <w:sz w:val="32"/>
          <w:szCs w:val="32"/>
        </w:rPr>
        <w:t>）</w:t>
      </w:r>
      <w:r>
        <w:rPr>
          <w:rFonts w:hint="eastAsia" w:ascii="Times New Roman" w:cs="仿宋_GB2312"/>
          <w:kern w:val="0"/>
          <w:sz w:val="32"/>
          <w:szCs w:val="32"/>
        </w:rPr>
        <w:br w:type="textWrapping"/>
      </w:r>
      <w:r>
        <w:rPr>
          <w:rFonts w:hint="eastAsia" w:ascii="Times New Roman" w:cs="仿宋_GB2312"/>
          <w:kern w:val="0"/>
          <w:sz w:val="32"/>
          <w:szCs w:val="32"/>
        </w:rPr>
        <w:t xml:space="preserve">        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</w:rPr>
        <w:t xml:space="preserve">      </w:t>
      </w:r>
      <w:r>
        <w:rPr>
          <w:rFonts w:hint="eastAsia" w:ascii="Times New Roman" w:cs="仿宋_GB2312"/>
          <w:b w:val="0"/>
          <w:bCs w:val="0"/>
          <w:spacing w:val="0"/>
          <w:sz w:val="32"/>
          <w:szCs w:val="32"/>
          <w:lang w:eastAsia="zh-CN"/>
        </w:rPr>
        <w:t>周国华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</w:rPr>
        <w:t>（农高区）</w:t>
      </w:r>
    </w:p>
    <w:p>
      <w:pPr>
        <w:pStyle w:val="6"/>
        <w:spacing w:line="560" w:lineRule="exact"/>
        <w:ind w:firstLine="2240" w:firstLineChars="700"/>
        <w:jc w:val="both"/>
        <w:rPr>
          <w:rFonts w:ascii="Times New Roman" w:hAnsi="Times New Roman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eastAsia="zh-CN"/>
        </w:rPr>
        <w:t>孙漱石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</w:rPr>
        <w:t>（区金融发展服务中心）</w:t>
      </w:r>
    </w:p>
    <w:p>
      <w:pPr>
        <w:pStyle w:val="6"/>
        <w:spacing w:line="560" w:lineRule="exact"/>
        <w:ind w:firstLine="2240" w:firstLineChars="700"/>
        <w:jc w:val="both"/>
        <w:rPr>
          <w:rFonts w:ascii="Times New Roman" w:hAnsi="Times New Roman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</w:rPr>
        <w:t>沈  杨（区农合联）</w:t>
      </w:r>
    </w:p>
    <w:p>
      <w:pPr>
        <w:spacing w:line="560" w:lineRule="exact"/>
        <w:rPr>
          <w:rFonts w:ascii="Times New Roman" w:cs="仿宋_GB2312"/>
          <w:sz w:val="32"/>
          <w:szCs w:val="32"/>
        </w:rPr>
      </w:pPr>
      <w:r>
        <w:rPr>
          <w:rFonts w:hint="eastAsia" w:ascii="Times New Roman"/>
        </w:rPr>
        <w:t xml:space="preserve">   </w:t>
      </w:r>
      <w:r>
        <w:rPr>
          <w:rFonts w:hint="eastAsia" w:ascii="Times New Roman" w:cs="仿宋_GB2312"/>
          <w:sz w:val="32"/>
          <w:szCs w:val="32"/>
        </w:rPr>
        <w:t xml:space="preserve">           蒋学兵（区自然资源和规划分局）     </w:t>
      </w:r>
    </w:p>
    <w:p>
      <w:pPr>
        <w:spacing w:line="540" w:lineRule="exact"/>
        <w:rPr>
          <w:rFonts w:hint="eastAsia" w:ascii="Times New Roman" w:cs="仿宋_GB2312"/>
          <w:sz w:val="32"/>
          <w:szCs w:val="32"/>
          <w:lang w:val="en-US" w:eastAsia="zh-CN"/>
        </w:rPr>
      </w:pPr>
      <w:r>
        <w:rPr>
          <w:rFonts w:hint="eastAsia" w:ascii="Times New Roman" w:cs="仿宋_GB2312"/>
          <w:sz w:val="32"/>
          <w:szCs w:val="32"/>
          <w:lang w:val="en-US" w:eastAsia="zh-CN"/>
        </w:rPr>
        <w:t xml:space="preserve">    </w:t>
      </w:r>
    </w:p>
    <w:p>
      <w:r>
        <w:rPr>
          <w:rFonts w:hint="eastAsia" w:ascii="Times New Roman" w:cs="仿宋_GB2312"/>
          <w:sz w:val="32"/>
          <w:szCs w:val="32"/>
        </w:rPr>
        <w:t>领导小组下设办公室，办公室设在区农合联，李建平任办公室主任（兼）。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FE03DD"/>
    <w:multiLevelType w:val="singleLevel"/>
    <w:tmpl w:val="BAFE03D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B6AB7"/>
    <w:rsid w:val="1D5B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tabs>
        <w:tab w:val="left" w:pos="3380"/>
      </w:tabs>
      <w:ind w:firstLine="420" w:firstLineChars="100"/>
    </w:pPr>
  </w:style>
  <w:style w:type="paragraph" w:styleId="3">
    <w:name w:val="Body Text"/>
    <w:basedOn w:val="1"/>
    <w:next w:val="2"/>
    <w:qFormat/>
    <w:uiPriority w:val="99"/>
    <w:pPr>
      <w:tabs>
        <w:tab w:val="left" w:pos="3380"/>
      </w:tabs>
      <w:jc w:val="center"/>
    </w:pPr>
    <w:rPr>
      <w:b/>
      <w:bCs/>
      <w:spacing w:val="-20"/>
      <w:sz w:val="36"/>
    </w:rPr>
  </w:style>
  <w:style w:type="paragraph" w:customStyle="1" w:styleId="6">
    <w:name w:val="BodyText1I"/>
    <w:basedOn w:val="7"/>
    <w:next w:val="1"/>
    <w:qFormat/>
    <w:uiPriority w:val="0"/>
    <w:pPr>
      <w:tabs>
        <w:tab w:val="left" w:pos="3380"/>
      </w:tabs>
      <w:ind w:firstLine="420" w:firstLineChars="100"/>
    </w:pPr>
    <w:rPr>
      <w:rFonts w:ascii="宋体" w:hAnsi="宋体"/>
      <w:sz w:val="28"/>
      <w:szCs w:val="28"/>
    </w:rPr>
  </w:style>
  <w:style w:type="paragraph" w:customStyle="1" w:styleId="7">
    <w:name w:val="BodyText"/>
    <w:basedOn w:val="1"/>
    <w:next w:val="1"/>
    <w:qFormat/>
    <w:uiPriority w:val="0"/>
    <w:pPr>
      <w:tabs>
        <w:tab w:val="left" w:pos="3380"/>
      </w:tabs>
      <w:jc w:val="center"/>
      <w:textAlignment w:val="baseline"/>
    </w:pPr>
    <w:rPr>
      <w:rFonts w:ascii="Times New Roman" w:hAnsi="Calibri" w:eastAsia="宋体"/>
      <w:b/>
      <w:bCs/>
      <w:spacing w:val="-20"/>
      <w:kern w:val="0"/>
      <w:sz w:val="36"/>
    </w:rPr>
  </w:style>
  <w:style w:type="character" w:customStyle="1" w:styleId="8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2022-03-29T07:42:00Z</dcterms:created>
  <dc:creator>沈小肉丸儿</dc:creator>
  <lastModifiedBy>沈小肉丸儿</lastModifiedBy>
  <dcterms:modified xsi:type="dcterms:W3CDTF">2022-03-29T07:43:18Z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2E811DE667C040B99C22D7A02609ABD2</vt:lpwstr>
  </property>
</Properties>
</file>