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民用建筑节能评估评分表</w:t>
      </w:r>
    </w:p>
    <w:bookmarkEnd w:id="0"/>
    <w:p>
      <w:pPr>
        <w:spacing w:line="500" w:lineRule="exact"/>
        <w:jc w:val="center"/>
        <w:rPr>
          <w:rFonts w:hint="eastAsia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4110"/>
        <w:gridCol w:w="8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评分项</w:t>
            </w:r>
          </w:p>
        </w:tc>
        <w:tc>
          <w:tcPr>
            <w:tcW w:w="41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  <w:t>得 分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评估文件的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完整性（20分）</w:t>
            </w:r>
          </w:p>
        </w:tc>
        <w:tc>
          <w:tcPr>
            <w:tcW w:w="41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评估文件应从相关资料收集、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设计评估、碳排放预测、绿色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建筑预测等方面进行收集与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分析，结构完整，内容详实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评估文件的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准确性（20分）</w:t>
            </w:r>
          </w:p>
        </w:tc>
        <w:tc>
          <w:tcPr>
            <w:tcW w:w="41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评估文件中项目的基础信息及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各专业评估中相关技术指标，数据准确，符合规范、标准要求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评估意见及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建议的针对性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（25分）</w:t>
            </w:r>
          </w:p>
        </w:tc>
        <w:tc>
          <w:tcPr>
            <w:tcW w:w="41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评估对策及措施应根据项目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特点，从技术可行性出发，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科学、合理、针对性的提出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对策及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措施落实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（20分）</w:t>
            </w:r>
          </w:p>
        </w:tc>
        <w:tc>
          <w:tcPr>
            <w:tcW w:w="41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评估提出的能源资源利用效率、降低能源资源消耗的对策和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措施，在设计文件中的落实情况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评审会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组织准备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（15分）</w:t>
            </w:r>
          </w:p>
        </w:tc>
        <w:tc>
          <w:tcPr>
            <w:tcW w:w="41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评审会现场设计单位、评估机构各专业人员到位、项目介绍、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现场问题沟通、回复情况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合计得分</w:t>
            </w:r>
          </w:p>
        </w:tc>
        <w:tc>
          <w:tcPr>
            <w:tcW w:w="16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3123F"/>
    <w:rsid w:val="4A6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2022-02-25T02:29:00Z</dcterms:created>
  <dc:creator>本宫是细作❁ᴗ͈ˬᴗ͈</dc:creator>
  <cp:lastModifiedBy>本宫是细作❁ᴗ͈ˬᴗ͈</cp:lastModifiedBy>
  <dcterms:modified xsi:type="dcterms:W3CDTF">2022-02-25T02:29:59Z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