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南浔区农业农村领域“共富细胞”三年行动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实施方案(征求意见稿)</w:t>
      </w:r>
    </w:p>
    <w:bookmarkEnd w:id="0"/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为全面贯彻中央、省市委关于实施乡村振兴、共同富裕等重大决策部署，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《浙江高质量发展建设共同富裕示范区实施方案（2021—2025年）》及《湖州市“共富班车”机制实施方案》要求，围绕“扩中提低、共富基本单元”等要求，提出《南浔区农业农村领域“共富细胞”三年行动实施方案》，具体方案如下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一、总体要求</w:t>
      </w:r>
    </w:p>
    <w:p>
      <w:pPr>
        <w:spacing w:line="560" w:lineRule="exact"/>
        <w:ind w:firstLine="643" w:firstLineChars="200"/>
        <w:rPr>
          <w:rStyle w:val="17"/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黑体"/>
          <w:b/>
          <w:sz w:val="32"/>
          <w:szCs w:val="32"/>
          <w:highlight w:val="none"/>
        </w:rPr>
        <w:t>（一）指导思想。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深入贯彻习近平总书记关于“三农”工作的重要论述，围绕实现共同富裕、农业农村现代化发展目标，不断深化数字化改革、深入推进科技强农、机械强农“双强行动”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广泛聚焦共富基本单元，以连点成线、连线成面态势，提高农业生产效率和效益导向，为强村富民持续提供动力源泉，</w:t>
      </w:r>
      <w:r>
        <w:rPr>
          <w:rStyle w:val="17"/>
          <w:rFonts w:hint="eastAsia" w:ascii="仿宋_GB2312" w:hAnsi="仿宋_GB2312" w:eastAsia="仿宋_GB2312"/>
          <w:color w:val="000000"/>
          <w:kern w:val="0"/>
          <w:sz w:val="32"/>
          <w:szCs w:val="32"/>
          <w:highlight w:val="none"/>
        </w:rPr>
        <w:t>全力塑造绿色均衡共富的新时代鱼米之乡示范区。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（二）主要目标。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围绕共富基本单元建设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sz w:val="32"/>
          <w:szCs w:val="32"/>
        </w:rPr>
        <w:t>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年时间，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乡村建设、农业产业发展、</w:t>
      </w:r>
      <w:r>
        <w:rPr>
          <w:rFonts w:ascii="Times New Roman" w:hAnsi="Times New Roman" w:eastAsia="仿宋_GB2312" w:cs="Times New Roman"/>
          <w:sz w:val="32"/>
          <w:szCs w:val="32"/>
        </w:rPr>
        <w:t>休闲农业领域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聚力打造引领乡村高质量发展的乡村、园区、农场等共富细胞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/>
        </w:rPr>
        <w:t>100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个，其中：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乡村类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10个、园区类30个、农场类60个、农品类N个，通过细胞单元发力，以点带面，不断推进南浔区农村融合，农业机械化、数字化，农品标准化，助力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共同富裕绿色样本建设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二、创建标准</w:t>
      </w:r>
    </w:p>
    <w:p>
      <w:pPr>
        <w:pStyle w:val="8"/>
        <w:spacing w:line="560" w:lineRule="exact"/>
        <w:ind w:left="0" w:leftChars="0" w:firstLine="643" w:firstLineChars="200"/>
        <w:rPr>
          <w:rFonts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（一）“共富乡村”细胞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1.经济实力强。</w:t>
      </w:r>
      <w:r>
        <w:rPr>
          <w:rFonts w:hint="eastAsia" w:ascii="Times New Roman" w:hAnsi="Times New Roman" w:eastAsia="仿宋_GB2312"/>
          <w:sz w:val="32"/>
          <w:szCs w:val="32"/>
        </w:rPr>
        <w:t>2022年度村级集体经营性收入在200万元以上或村级集体经营性收入增幅同比增长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以上，村级债权债务良性，可控可化解。</w:t>
      </w:r>
      <w:r>
        <w:rPr>
          <w:rFonts w:hint="eastAsia" w:ascii="仿宋_GB2312" w:eastAsia="仿宋_GB2312"/>
          <w:sz w:val="32"/>
          <w:szCs w:val="32"/>
        </w:rPr>
        <w:t>同时村内工商、社会资本等投资的产业开发项目能为村级集体增收，乡村产业项目经营良好、可持续增收，</w:t>
      </w:r>
      <w:r>
        <w:rPr>
          <w:rFonts w:hint="eastAsia" w:ascii="仿宋_GB2312" w:eastAsia="仿宋_GB2312"/>
          <w:color w:val="000000"/>
          <w:sz w:val="32"/>
          <w:szCs w:val="32"/>
        </w:rPr>
        <w:t>实现社员分红（含福利性赋利）。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2.村庄品质高。</w:t>
      </w:r>
      <w:r>
        <w:rPr>
          <w:rFonts w:hint="eastAsia" w:ascii="仿宋_GB2312" w:eastAsia="仿宋_GB2312"/>
          <w:sz w:val="32"/>
          <w:szCs w:val="32"/>
        </w:rPr>
        <w:t>按照宜居宜业高品位建设农村人居环境。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</w:t>
      </w:r>
      <w:r>
        <w:rPr>
          <w:rFonts w:hint="eastAsia" w:ascii="仿宋_GB2312" w:hAnsi="Calibri" w:eastAsia="仿宋_GB2312" w:cs="Times New Roman"/>
          <w:sz w:val="32"/>
          <w:szCs w:val="32"/>
        </w:rPr>
        <w:t>市美丽乡村精品村</w:t>
      </w:r>
      <w:r>
        <w:rPr>
          <w:rFonts w:hint="eastAsia" w:ascii="仿宋_GB2312" w:eastAsia="仿宋_GB2312"/>
          <w:sz w:val="32"/>
          <w:szCs w:val="32"/>
        </w:rPr>
        <w:t>、历史文化村落保护利用重点村或</w:t>
      </w:r>
      <w:r>
        <w:rPr>
          <w:rFonts w:hint="eastAsia" w:ascii="仿宋_GB2312" w:hAnsi="Calibri" w:eastAsia="仿宋_GB2312" w:cs="Times New Roman"/>
          <w:sz w:val="32"/>
          <w:szCs w:val="32"/>
        </w:rPr>
        <w:t>新时代美丽乡村样板片</w:t>
      </w:r>
      <w:r>
        <w:rPr>
          <w:rFonts w:hint="eastAsia" w:ascii="仿宋_GB2312" w:eastAsia="仿宋_GB2312"/>
          <w:sz w:val="32"/>
          <w:szCs w:val="32"/>
        </w:rPr>
        <w:t>区建设村。对照产业特色明、经营效益优、收入水平高的要求，实现品牌化村庄运营，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美丽庭院创建比例达100%，</w:t>
      </w:r>
      <w:r>
        <w:rPr>
          <w:rFonts w:hint="eastAsia" w:ascii="仿宋_GB2312" w:eastAsia="仿宋_GB2312"/>
          <w:sz w:val="32"/>
          <w:szCs w:val="32"/>
        </w:rPr>
        <w:t>有大好高项目或市级以上现代农业园区1家以上。</w:t>
      </w:r>
    </w:p>
    <w:p>
      <w:pPr>
        <w:widowControl/>
        <w:spacing w:line="560" w:lineRule="exact"/>
        <w:ind w:firstLine="643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3.乡村治理好。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深化乡村治理“余村经验”，持续推进幸福邻里中心建设，打造“家门口”的便民服务圈，完善村规民约和红白理事会、道德评议会等制度，“数字乡村一张图”应用场景群众活跃度达到80%以上。</w:t>
      </w:r>
    </w:p>
    <w:p>
      <w:pPr>
        <w:widowControl/>
        <w:spacing w:line="560" w:lineRule="exact"/>
        <w:ind w:firstLine="643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4.村民收入增。</w:t>
      </w:r>
      <w:r>
        <w:rPr>
          <w:rFonts w:hint="eastAsia" w:ascii="仿宋_GB2312" w:eastAsia="仿宋_GB2312"/>
          <w:sz w:val="32"/>
          <w:szCs w:val="32"/>
        </w:rPr>
        <w:t>实现产村融合发展，能以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土地租赁、入股分红、订单带动、社会化服务、提供就业岗位等方式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对村域发展起到显著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带动作用，全面提高村集体收益，有效帮助农民增收，达到“扩中提低”目的。同时完善促进创业带动就业、多渠道灵活就业，加强就业困难人员培训、帮扶，确保零就业家庭动态清零，引导农户自愿以土地经营权等入股企业，带动农民就近就地创业就业。区域内就业率达到90%以上，家庭年可支配收入10—50万元的群体比例达到80%、20—60万元的群体比例达到45%。</w:t>
      </w:r>
    </w:p>
    <w:p>
      <w:pPr>
        <w:spacing w:line="560" w:lineRule="exact"/>
        <w:ind w:firstLine="643" w:firstLineChars="200"/>
      </w:pPr>
      <w:r>
        <w:rPr>
          <w:rFonts w:hint="eastAsia" w:eastAsia="仿宋_GB2312" w:cs="仿宋_GB2312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扶持共享优。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实施助力困难群众共同富裕行动，通过多渠道筹措资金，建立低收入家庭扶持增收帮扶资金，投入至强村公司等单位，每年获得稳定的分红收益，实现低收入农户年增收超30</w:t>
      </w:r>
      <w:r>
        <w:rPr>
          <w:rFonts w:hint="eastAsia" w:ascii="仿宋_GB2312" w:eastAsia="仿宋_GB2312"/>
          <w:sz w:val="32"/>
          <w:szCs w:val="32"/>
        </w:rPr>
        <w:t>00元。</w:t>
      </w:r>
    </w:p>
    <w:p>
      <w:pPr>
        <w:pStyle w:val="8"/>
        <w:spacing w:line="560" w:lineRule="exact"/>
        <w:ind w:left="0" w:leftChars="0" w:firstLine="643" w:firstLineChars="200"/>
        <w:rPr>
          <w:rFonts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（二）“共富园区”细胞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1.产业规模集聚。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园区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土地集中连片、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功能定位明确，建设规模与生产条件、环境承载能力、技术应用和管理水平相匹配。种植业类：建设面积3000亩以上，辐射面积达1万亩以上；渔业类规模1000亩以上；花卉苗木类规模3000亩以上。新建农场投资额达到2000万元以上，改造提升农场新增投资不少于400万元。</w:t>
      </w:r>
    </w:p>
    <w:p>
      <w:pPr>
        <w:spacing w:line="560" w:lineRule="exact"/>
        <w:ind w:firstLine="643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2.要素集约完备。</w:t>
      </w:r>
      <w:r>
        <w:rPr>
          <w:rFonts w:hint="eastAsia" w:ascii="仿宋_GB2312" w:eastAsia="仿宋_GB2312"/>
          <w:kern w:val="0"/>
          <w:sz w:val="32"/>
          <w:szCs w:val="32"/>
        </w:rPr>
        <w:t>园区布局合理、主导产业突出、生态环境优良，建有适宜机械化作业的高标准农田和智能大棚（牧场、渔场），配备必要的专业技术人员，制定生产、管理等应用相关制度，规范操作流程。</w:t>
      </w:r>
      <w:r>
        <w:rPr>
          <w:rFonts w:hint="eastAsia" w:eastAsia="仿宋_GB2312" w:cs="仿宋_GB2312"/>
          <w:sz w:val="32"/>
          <w:szCs w:val="32"/>
        </w:rPr>
        <w:t>农作物采后处理场地装置、水产养殖废水净化装置、各区块沟渠路等设施配套合理、排灌方便。用电安全方便，配套机电排灌设备等。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3.科学智能管理。</w:t>
      </w:r>
      <w:r>
        <w:rPr>
          <w:rFonts w:hint="eastAsia" w:eastAsia="仿宋_GB2312" w:cs="仿宋_GB2312"/>
          <w:sz w:val="32"/>
          <w:szCs w:val="32"/>
        </w:rPr>
        <w:t>全面应用先进技术，主要生产环节采用机械化、自动化生产。</w:t>
      </w:r>
      <w:r>
        <w:rPr>
          <w:rFonts w:hint="eastAsia" w:ascii="仿宋_GB2312" w:eastAsia="仿宋_GB2312"/>
          <w:kern w:val="0"/>
          <w:sz w:val="32"/>
          <w:szCs w:val="32"/>
        </w:rPr>
        <w:t>有基于农业物联网、农业遥感等先进技术的数字化、智能化管理平台。</w:t>
      </w:r>
      <w:r>
        <w:rPr>
          <w:rFonts w:hint="eastAsia" w:eastAsia="仿宋_GB2312" w:cs="仿宋_GB2312"/>
          <w:sz w:val="32"/>
          <w:szCs w:val="32"/>
        </w:rPr>
        <w:t>全面加强与科研所（院校）等合作关系，有较强的科技研发能力和成果应用转化能力。全面推行标准化生产，主要农产品有生产技术标准和安全生产操作规程，建立可追溯制度。全面提升从业者素质，各产业区块责任农技员到位，农技培训制度健全，主要从业人员需参加新型职业技能培训，持证上岗。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 xml:space="preserve"> 4.利益联结共享。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园区内农业景观化水平较高，具备一定的休闲观光、科普教育、健康养生等派生功能，实施“园区+主体+农户”模式，户均收入20万元以上。园区内农业龙头企业、农民专业合作社、家庭农场等新型农业经营主体为低收入农户提供农业生产基地、种子种苗、技术指导、产品销售等帮助，带动低收入农户10户以上，年户均增收3000元以上。</w:t>
      </w:r>
    </w:p>
    <w:p>
      <w:pPr>
        <w:pStyle w:val="8"/>
        <w:spacing w:line="560" w:lineRule="exact"/>
        <w:ind w:left="0" w:leftChars="0" w:firstLine="643" w:firstLineChars="200"/>
        <w:rPr>
          <w:rFonts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（三）“共富农场”细胞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1.建设水准高。</w:t>
      </w:r>
      <w:r>
        <w:rPr>
          <w:rFonts w:ascii="Times New Roman" w:hAnsi="Times New Roman" w:eastAsia="仿宋_GB2312" w:cs="仿宋_GB2312"/>
          <w:sz w:val="32"/>
          <w:szCs w:val="32"/>
        </w:rPr>
        <w:t>农场选址合理，与当地交通、水利条件和生态环境相适应；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农场</w:t>
      </w:r>
      <w:r>
        <w:rPr>
          <w:rFonts w:ascii="Times New Roman" w:hAnsi="Times New Roman" w:eastAsia="仿宋_GB2312" w:cs="仿宋_GB2312"/>
          <w:sz w:val="32"/>
          <w:szCs w:val="32"/>
        </w:rPr>
        <w:t>规划布局合理，功能定位明确；符合生态循环农业要求，符合当地产业发展方向，代表性强，示范作用明显。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种</w:t>
      </w:r>
      <w:r>
        <w:rPr>
          <w:rFonts w:hint="eastAsia" w:ascii="Times New Roman" w:hAnsi="Times New Roman" w:eastAsia="仿宋_GB2312" w:cs="仿宋_GB2312"/>
          <w:sz w:val="32"/>
          <w:szCs w:val="32"/>
        </w:rPr>
        <w:t>植业：面积达200亩以上；畜禽类：羊存栏1000头以上，种禽、蛋禽存栏1万羽、2万羽以上，肉禽年出栏5万羽以上，其余畜禽规模按排泄物产生量折算达到相应标准，场址不得位于畜禽养殖禁养区内；渔业：面积集中连片200亩以上；休闲农业：核心区面积连片集中300亩以上。新建农场投资额达到1000万元以上，改造提升农场新增投资不少于200万元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2.质量效益高。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全面推广应用优良品种，主导品种及优良品种覆盖率80%以上；全面落实农产品有生产技术标准和安全生产操作规程，农产品质量安全可追溯，食用农产品质量原则上达到无公害食品要求，抽检合格率达100%。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3. 科技含量高。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落实责任农技推广制度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，实行首席农技专家负责制度，各产业区块责任农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技员到位、工作任务量化到人，主体参加“1+1+N”产业联盟。落实新技术引进推广要求，农业（林业）农场需引进、转化或创新应用先进适用技术2项以上；渔业农场先进适用技术应用率不低于80%；水稻生产实现全程机械化，耕种收机械化率达到100%；每个农场建成应用数字化场景3个以上。</w:t>
      </w:r>
    </w:p>
    <w:p>
      <w:pPr>
        <w:pStyle w:val="8"/>
        <w:spacing w:line="560" w:lineRule="exact"/>
        <w:ind w:left="0" w:leftChars="0" w:firstLine="643" w:firstLineChars="200"/>
        <w:rPr>
          <w:rFonts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（四）“共富农品”细胞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依托“南浔知味”区域公共品牌打造共富农产品N个。</w:t>
      </w:r>
    </w:p>
    <w:p>
      <w:pPr>
        <w:pStyle w:val="8"/>
        <w:spacing w:line="560" w:lineRule="exact"/>
        <w:ind w:left="0" w:leftChars="0" w:firstLine="643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theme="minorBidi"/>
          <w:b/>
          <w:bCs/>
          <w:sz w:val="32"/>
          <w:szCs w:val="32"/>
        </w:rPr>
        <w:t>1.产品生产规范。</w:t>
      </w:r>
      <w:r>
        <w:rPr>
          <w:rFonts w:hint="eastAsia" w:eastAsia="仿宋_GB2312" w:cs="仿宋_GB2312"/>
          <w:color w:val="000000"/>
          <w:sz w:val="32"/>
          <w:szCs w:val="32"/>
        </w:rPr>
        <w:t>产品属于区农产品五大主导产业，符合建立统一的规范的产业种、养殖标准，体系内农产品可溯源化达100%。农业主体依托数字农业进行规范化生产、管理，有效实施</w:t>
      </w:r>
      <w:r>
        <w:rPr>
          <w:rFonts w:hint="eastAsia" w:eastAsia="仿宋_GB2312" w:cs="仿宋_GB2312"/>
          <w:color w:val="000000"/>
          <w:sz w:val="32"/>
          <w:szCs w:val="32"/>
          <w:lang w:val="zh-CN"/>
        </w:rPr>
        <w:t>“肥药双减”，</w:t>
      </w:r>
      <w:r>
        <w:rPr>
          <w:rFonts w:hint="eastAsia" w:eastAsia="仿宋_GB2312" w:cs="仿宋_GB2312"/>
          <w:color w:val="000000"/>
          <w:sz w:val="32"/>
          <w:szCs w:val="32"/>
        </w:rPr>
        <w:t>达到地方农产品准入标准，</w:t>
      </w:r>
      <w:r>
        <w:rPr>
          <w:rFonts w:hint="eastAsia" w:eastAsia="仿宋_GB2312" w:cs="仿宋_GB2312"/>
          <w:color w:val="000000"/>
          <w:sz w:val="32"/>
          <w:szCs w:val="32"/>
          <w:lang w:val="zh-CN"/>
        </w:rPr>
        <w:t>做到</w:t>
      </w:r>
      <w:r>
        <w:rPr>
          <w:rFonts w:hint="eastAsia" w:eastAsia="仿宋_GB2312" w:cs="仿宋_GB2312"/>
          <w:color w:val="000000"/>
          <w:sz w:val="32"/>
          <w:szCs w:val="32"/>
        </w:rPr>
        <w:t>品质可控、有标可依。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2.数字运用广泛。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主体能积极运用数字农业进行规范化生产，生产符合现下潮流的优质农产品，在生产、加工，仓储、物流、销售等环节能广泛运用数字化技术提高运转效率。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3.带动效益明显。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产品具有较强共富属性，能丰富“南浔知味”品牌内涵，活跃农村经济，提供农民就业岗位，对农户增收、村集体经济增强具有带动作用。</w:t>
      </w:r>
    </w:p>
    <w:p>
      <w:pPr>
        <w:pStyle w:val="8"/>
        <w:spacing w:line="560" w:lineRule="exact"/>
        <w:ind w:left="0" w:leftChars="0" w:firstLine="643" w:firstLineChars="200"/>
        <w:rPr>
          <w:rFonts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负面清单</w:t>
      </w:r>
    </w:p>
    <w:p>
      <w:pPr>
        <w:pStyle w:val="2"/>
        <w:ind w:firstLine="320"/>
        <w:jc w:val="left"/>
        <w:rPr>
          <w:rFonts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  <w:t xml:space="preserve">  对出现下列情形的，认为不具备创建条件或不能参与“共富细胞”创建：</w:t>
      </w:r>
    </w:p>
    <w:p>
      <w:pPr>
        <w:pStyle w:val="2"/>
        <w:ind w:firstLine="480" w:firstLineChars="150"/>
        <w:jc w:val="left"/>
        <w:rPr>
          <w:rFonts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  <w:t>1、创建年度村庄长效管理排名30名以后的；</w:t>
      </w:r>
    </w:p>
    <w:p>
      <w:pPr>
        <w:pStyle w:val="2"/>
        <w:ind w:firstLine="480" w:firstLineChars="150"/>
        <w:jc w:val="left"/>
        <w:rPr>
          <w:rFonts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  <w:t>2、农业园区生产主体、农场主营产业和项目不符合产业发展及生态保护相关政策的；</w:t>
      </w:r>
    </w:p>
    <w:p>
      <w:pPr>
        <w:pStyle w:val="2"/>
        <w:ind w:firstLine="480" w:firstLineChars="150"/>
        <w:jc w:val="left"/>
        <w:rPr>
          <w:rFonts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  <w:t>3、农业园区生产主体、农场近2年被市场监管部门列入经营异常名录的；</w:t>
      </w:r>
    </w:p>
    <w:p>
      <w:pPr>
        <w:pStyle w:val="2"/>
        <w:ind w:firstLine="480" w:firstLineChars="150"/>
        <w:jc w:val="left"/>
        <w:rPr>
          <w:rFonts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pacing w:val="0"/>
          <w:sz w:val="32"/>
          <w:szCs w:val="32"/>
        </w:rPr>
        <w:t>4、农业园区生产主体、农场、农产品生产企业近2年发生过重大农产品质量安全事件、受到主管部门处理的；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三、工作重点</w:t>
      </w:r>
    </w:p>
    <w:p>
      <w:pPr>
        <w:pStyle w:val="15"/>
        <w:spacing w:before="0" w:beforeAutospacing="0" w:after="0" w:afterAutospacing="0" w:line="560" w:lineRule="exact"/>
        <w:ind w:firstLine="643" w:firstLineChars="200"/>
        <w:textAlignment w:val="top"/>
        <w:rPr>
          <w:rFonts w:ascii="微软雅黑" w:hAnsi="微软雅黑" w:eastAsia="微软雅黑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一是建立共建共享利益连接机制。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推进现代农业与小农户利益连接机制创新，</w:t>
      </w:r>
      <w:r>
        <w:rPr>
          <w:rFonts w:hint="eastAsia" w:ascii="仿宋_GB2312" w:hAnsi="仿宋" w:eastAsia="仿宋_GB2312" w:cs="Times New Roman"/>
          <w:sz w:val="32"/>
          <w:szCs w:val="32"/>
        </w:rPr>
        <w:t>推广“企业+农户（家庭农场）”新型农业经营模式，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</w:t>
      </w:r>
      <w:r>
        <w:rPr>
          <w:rFonts w:hint="eastAsia" w:ascii="仿宋_GB2312" w:hAnsi="仿宋" w:eastAsia="仿宋_GB2312" w:cs="Times New Roman"/>
          <w:sz w:val="32"/>
          <w:szCs w:val="32"/>
        </w:rPr>
        <w:t>星光、温氏、绿腾等共富模式，带动小农户、低收入农户就业创业，帮扶低收入农户实现产业创收、就业增收。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进一步推动强村公司壮大发展，增强村集体经济造血功能，推动集体经济从“保底型”向“发展型”转变，促进集体经济持续稳定增收、实现“村+公司+农户”利益共享。</w:t>
      </w:r>
    </w:p>
    <w:p>
      <w:pPr>
        <w:pStyle w:val="15"/>
        <w:spacing w:before="0" w:beforeAutospacing="0" w:after="0" w:afterAutospacing="0" w:line="560" w:lineRule="exact"/>
        <w:ind w:firstLine="643" w:firstLineChars="200"/>
        <w:textAlignment w:val="top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二是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主动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搭乘数字科技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动力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快车。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将科技元素、机械元素、数字元素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共富细胞基因，驱动细胞内部运转效率和生产能力。结合“两进两回”工作，吸纳高精人才队伍和高新技术团队；结合“农业双强”行动，全面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科研、种业、宜机化水平；加快推进乡村产业数字化，迭代升级数字乡村一张图、渔业产业大脑、数字大田、数字果蔬等数字化应用场景，实现农村生产生活方式数字化提升，为“共富细胞”不断注入动力养分。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三是大力促进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产业乡村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深度融合。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通过“百企千场带万户”收入倍增行动、“十村百园带千户”产村融合示范行动两大致富项目</w:t>
      </w:r>
      <w:r>
        <w:rPr>
          <w:rFonts w:hint="eastAsia" w:ascii="仿宋_GB2312" w:hAnsi="仿宋" w:eastAsia="仿宋_GB2312" w:cs="Times New Roman"/>
          <w:sz w:val="32"/>
          <w:szCs w:val="32"/>
        </w:rPr>
        <w:t>，促进农户持续增收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开展闲置农宅激活利用、现代农业产业发展和新型休闲业态培育、高品位建设宜居宜业的农村人居环境等重点工作，形成特色鲜明、丰富多样、三产融合发展的农业全产业链，促进美丽环境转化为美丽经济。重点培育一批对周边农业农村发展具有显著带动作用，实行多产业融合发展，能以土地租赁、入股分红、订单带动、社会化服务、提供就业岗位等多种方式有效带动农民增收的共富园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四是着力打造区域优质共富品牌。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充分发挥“公共品牌+主体品牌+浙农码”的三品结构及</w:t>
      </w:r>
      <w:r>
        <w:rPr>
          <w:rFonts w:hint="eastAsia" w:eastAsia="仿宋_GB2312"/>
          <w:bCs/>
          <w:color w:val="000000"/>
          <w:sz w:val="32"/>
          <w:szCs w:val="32"/>
          <w:lang w:val="zh-CN"/>
        </w:rPr>
        <w:t>线上线下销售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模式。提高“南浔知味”市场知名度和竞争力，将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具有较强共富属性，能持续促进农户增收、壮大村集体经济的产品纳入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南浔知味品牌库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，丰富“南浔知味”品牌内涵。大力支持、引育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具有带动效应的主体品牌，如</w:t>
      </w:r>
      <w:r>
        <w:rPr>
          <w:rFonts w:hint="eastAsia" w:ascii="仿宋_GB2312" w:hAnsi="仿宋" w:eastAsia="仿宋_GB2312" w:cs="Times New Roman"/>
          <w:sz w:val="32"/>
          <w:szCs w:val="32"/>
        </w:rPr>
        <w:t>星光大米、温氏鸡、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绿</w:t>
      </w:r>
      <w:r>
        <w:rPr>
          <w:rFonts w:hint="eastAsia" w:ascii="仿宋_GB2312" w:hAnsi="仿宋" w:eastAsia="仿宋_GB2312" w:cs="Times New Roman"/>
          <w:sz w:val="32"/>
          <w:szCs w:val="32"/>
        </w:rPr>
        <w:t>腾十八甲等，不断强化主体在品牌塑造过程中的共富意识，不断完善品牌利益联结机制，在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实现品牌自身增值的同时，完成品牌“共富溢价”，提高其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活跃农村经济、带动农户持续增收的作用。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四、保障举措</w:t>
      </w:r>
    </w:p>
    <w:p>
      <w:pPr>
        <w:pStyle w:val="8"/>
        <w:spacing w:line="560" w:lineRule="exact"/>
        <w:ind w:left="0" w:leftChars="0" w:firstLine="643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（一）加强组织领导。</w:t>
      </w:r>
      <w:r>
        <w:rPr>
          <w:rFonts w:hint="eastAsia" w:eastAsia="仿宋_GB2312" w:cs="仿宋_GB2312"/>
          <w:sz w:val="32"/>
          <w:szCs w:val="32"/>
        </w:rPr>
        <w:t>由区共富办组织实施，区农业农村局具体落实推进。各部门（单位）结合各自工作实际，各司其职、各负其责，创造性开展工作，形成上下联动、高效协同、闭环管理的工作网络，共同打造</w:t>
      </w:r>
      <w:r>
        <w:rPr>
          <w:rFonts w:hint="eastAsia" w:eastAsia="仿宋_GB2312" w:cs="仿宋_GB2312"/>
          <w:kern w:val="0"/>
          <w:sz w:val="32"/>
          <w:szCs w:val="32"/>
        </w:rPr>
        <w:t>“共富细胞”集群。</w:t>
      </w:r>
    </w:p>
    <w:p>
      <w:pPr>
        <w:pStyle w:val="8"/>
        <w:spacing w:line="560" w:lineRule="exact"/>
        <w:ind w:left="0" w:leftChars="0"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（二）强化政策支撑。</w:t>
      </w:r>
      <w:r>
        <w:rPr>
          <w:rFonts w:hint="eastAsia" w:eastAsia="仿宋_GB2312" w:cs="仿宋_GB2312"/>
          <w:sz w:val="32"/>
          <w:szCs w:val="32"/>
        </w:rPr>
        <w:t>各级各相关部门要紧紧围绕共富大局，</w:t>
      </w:r>
      <w:r>
        <w:rPr>
          <w:rFonts w:hint="eastAsia" w:eastAsia="仿宋_GB2312"/>
          <w:sz w:val="32"/>
          <w:szCs w:val="32"/>
        </w:rPr>
        <w:t>积极发挥财政引导和杠杆作用，对于培育创建的“共富细胞”制定考核办法，严格验收程序，明确奖补标准，在政策上给予合理倾斜，提高“共富细胞”健康值、活力值</w:t>
      </w:r>
      <w:r>
        <w:rPr>
          <w:rFonts w:hint="eastAsia" w:eastAsia="仿宋_GB2312" w:cs="仿宋_GB2312"/>
          <w:sz w:val="32"/>
          <w:szCs w:val="32"/>
        </w:rPr>
        <w:t>，推动村集体经济壮大和农民增收，成为助力南浔共同富裕的动力单元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1736"/>
        </w:tabs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仿宋_GB231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（三）形成制度成果。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强化清单推进、协同推进、责任推进，实现“共富细胞”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项目统筹实施、信息共享、工作共推、靶向发力、落地落实。项目实施过程中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注重汲取各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“共富细胞”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先进经验和创新做法，精选一批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可看可学的样板和典型，提供可复制、可借鉴的建设经验，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加快形成实践成果和制度成果。</w:t>
      </w:r>
    </w:p>
    <w:p>
      <w:pPr>
        <w:spacing w:line="560" w:lineRule="exact"/>
        <w:ind w:firstLine="800" w:firstLineChars="250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8"/>
        <w:spacing w:line="560" w:lineRule="exact"/>
        <w:ind w:left="209" w:leftChars="5" w:hanging="199" w:hangingChars="95"/>
        <w:rPr>
          <w:rFonts w:eastAsia="仿宋_GB2312" w:cs="仿宋_GB2312"/>
        </w:rPr>
      </w:pPr>
    </w:p>
    <w:p/>
    <w:p>
      <w:pPr>
        <w:widowControl/>
        <w:jc w:val="left"/>
        <w:rPr>
          <w:rFonts w:ascii="宋体" w:hAnsi="宋体" w:eastAsia="宋体" w:cs="Times New Roman"/>
          <w:b/>
          <w:bCs/>
          <w:spacing w:val="-20"/>
          <w:sz w:val="28"/>
          <w:szCs w:val="28"/>
        </w:rPr>
      </w:pPr>
      <w:r>
        <w:br w:type="page"/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共富乡村申报表</w:t>
      </w:r>
    </w:p>
    <w:p>
      <w:pPr>
        <w:widowControl/>
        <w:spacing w:line="540" w:lineRule="exact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9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13"/>
        <w:gridCol w:w="1424"/>
        <w:gridCol w:w="253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况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行政村名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村党组织书记姓名、电话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自然村数个数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户数（户）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上年度村集体经济经营性收入（万元）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村集体经营性收入增幅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就业率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家庭年可支配收入10-50万元群体比例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建成市美丽乡村精品村、新时代美丽乡村样板片区或省历史文化村落保护利用重点村时间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美丽庭院创建比例（%）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特色和优势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在村庄风貌、自然生态、历史人文、经典产业等方面的特点和在经济实力、村庄品质、乡村治理、村民收入、扶持共享等方面的优势：</w:t>
            </w: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0" w:firstLineChars="0"/>
              <w:jc w:val="both"/>
            </w:pPr>
          </w:p>
          <w:p>
            <w:pPr>
              <w:pStyle w:val="2"/>
              <w:ind w:firstLine="241"/>
            </w:pPr>
          </w:p>
          <w:p>
            <w:pPr>
              <w:pStyle w:val="2"/>
              <w:ind w:firstLine="24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乡镇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人民政府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意见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年   月   日</w:t>
            </w:r>
          </w:p>
        </w:tc>
      </w:tr>
    </w:tbl>
    <w:p/>
    <w:p>
      <w:pPr>
        <w:pStyle w:val="2"/>
        <w:ind w:firstLine="241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共富园区申报表</w:t>
      </w:r>
    </w:p>
    <w:tbl>
      <w:tblPr>
        <w:tblStyle w:val="9"/>
        <w:tblW w:w="91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736"/>
        <w:gridCol w:w="1503"/>
        <w:gridCol w:w="187"/>
        <w:gridCol w:w="300"/>
        <w:gridCol w:w="725"/>
        <w:gridCol w:w="291"/>
        <w:gridCol w:w="559"/>
        <w:gridCol w:w="851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园区名称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建设地点</w:t>
            </w: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园区类型（精品园、示范区）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园区规模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（种植面积、养殖数量、渔业面积）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已建成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今后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始建年月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产业类型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社会信用代码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9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园区主要负责人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总投入（万元）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  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市级以上财政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其它各级财政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自筹资金投入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总产值（万元）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设施农业面积（亩）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流转面积（亩）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绿色农产品</w:t>
            </w:r>
          </w:p>
        </w:tc>
        <w:tc>
          <w:tcPr>
            <w:tcW w:w="3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0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园区简介（基础设施、科技水平、绿色经济、利益联结）</w:t>
            </w:r>
          </w:p>
        </w:tc>
        <w:tc>
          <w:tcPr>
            <w:tcW w:w="714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申报主体对材料真实性声明</w:t>
            </w:r>
          </w:p>
        </w:tc>
        <w:tc>
          <w:tcPr>
            <w:tcW w:w="71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此次共富园区所提交的申报材料均真实、准确。如有不实之处，愿承担由此产生的一切后果。特此声明！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乡镇人民政府意见</w:t>
            </w:r>
          </w:p>
        </w:tc>
        <w:tc>
          <w:tcPr>
            <w:tcW w:w="71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日</w:t>
            </w:r>
          </w:p>
        </w:tc>
      </w:tr>
    </w:tbl>
    <w:p>
      <w:pPr>
        <w:jc w:val="left"/>
      </w:pPr>
    </w:p>
    <w:p>
      <w:pPr>
        <w:pStyle w:val="2"/>
        <w:ind w:firstLine="241"/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共富农场申报</w:t>
      </w:r>
      <w:r>
        <w:rPr>
          <w:rFonts w:ascii="Times New Roman" w:hAnsi="Times New Roman" w:eastAsia="方正小标宋简体"/>
          <w:bCs/>
          <w:sz w:val="44"/>
          <w:szCs w:val="44"/>
        </w:rPr>
        <w:t>表</w:t>
      </w:r>
    </w:p>
    <w:p>
      <w:pPr>
        <w:pStyle w:val="12"/>
        <w:spacing w:line="240" w:lineRule="exact"/>
        <w:ind w:firstLine="320"/>
        <w:rPr>
          <w:rFonts w:ascii="Times New Roman" w:hAnsi="Times New Roman" w:eastAsia="仿宋_GB2312"/>
          <w:kern w:val="0"/>
          <w:sz w:val="32"/>
          <w:szCs w:val="32"/>
        </w:rPr>
      </w:pPr>
    </w:p>
    <w:tbl>
      <w:tblPr>
        <w:tblStyle w:val="9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43"/>
        <w:gridCol w:w="1108"/>
        <w:gridCol w:w="1276"/>
        <w:gridCol w:w="1000"/>
        <w:gridCol w:w="1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家庭农场生产经营情况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（盖章）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农场地址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成立时间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注册性质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固定资产投资（万元）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注册资金（万元）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主营产品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主导品种及优良品种覆盖率（%）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土地流转面积/年限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食用农产品合格证、无公害以上产品认证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食用农产品</w:t>
            </w:r>
            <w:r>
              <w:rPr>
                <w:rFonts w:hint="eastAsia" w:ascii="仿宋" w:hAnsi="仿宋" w:eastAsia="仿宋" w:cs="仿宋_GB2312"/>
                <w:sz w:val="24"/>
              </w:rPr>
              <w:t>抽检合格率（%）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所属行业及规模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种</w:t>
            </w:r>
            <w:r>
              <w:rPr>
                <w:rFonts w:hint="eastAsia" w:ascii="仿宋" w:hAnsi="仿宋" w:eastAsia="仿宋" w:cs="仿宋_GB2312"/>
                <w:sz w:val="24"/>
              </w:rPr>
              <w:t>植业：   面积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亩                </w:t>
            </w:r>
          </w:p>
          <w:p>
            <w:pPr>
              <w:spacing w:line="460" w:lineRule="exact"/>
              <w:ind w:left="1200" w:hanging="1200" w:hangingChars="5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畜禽类：   </w:t>
            </w:r>
            <w:r>
              <w:rPr>
                <w:rFonts w:hint="eastAsia" w:ascii="仿宋" w:hAnsi="仿宋" w:eastAsia="仿宋" w:cs="仿宋_GB2312"/>
                <w:sz w:val="24"/>
              </w:rPr>
              <w:t>羊存栏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头  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种禽、蛋禽存栏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羽    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肉禽年出栏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羽   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其余畜禽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渔</w:t>
            </w:r>
            <w:r>
              <w:rPr>
                <w:rFonts w:hint="eastAsia" w:ascii="仿宋" w:hAnsi="仿宋" w:eastAsia="仿宋" w:cs="仿宋_GB2312"/>
                <w:sz w:val="24"/>
              </w:rPr>
              <w:t>业：     面积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亩 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休闲农</w:t>
            </w:r>
            <w:r>
              <w:rPr>
                <w:rFonts w:hint="eastAsia" w:ascii="仿宋" w:hAnsi="仿宋" w:eastAsia="仿宋" w:cs="仿宋_GB2312"/>
                <w:sz w:val="24"/>
              </w:rPr>
              <w:t>业： 核心区面积连片集中面积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亩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制度落实及科技情况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80" w:lineRule="exact"/>
              <w:ind w:left="480" w:hanging="480" w:hanging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是否落实责任农技推广制度，实行首席农技专家负责制度，各产业区块责任农技员到位、工作任务量化到人，主体参加“1+1+N”产业联盟。  </w:t>
            </w: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是        </w:t>
            </w: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>否</w:t>
            </w:r>
          </w:p>
          <w:p>
            <w:pPr>
              <w:spacing w:line="280" w:lineRule="exact"/>
              <w:ind w:left="480" w:hanging="480" w:hanging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2、 是否落实新技术引进推广要求，农业（林业）农场是否引进、转化或创新应用先进适用技术2项以上。 </w:t>
            </w:r>
          </w:p>
          <w:p>
            <w:pPr>
              <w:spacing w:line="280" w:lineRule="exact"/>
              <w:ind w:left="420" w:left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是        </w:t>
            </w: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>否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3380"/>
              </w:tabs>
              <w:ind w:left="402" w:hanging="402" w:hanging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渔业农场先进适用技术应用率不低于80%。</w:t>
            </w:r>
          </w:p>
          <w:p>
            <w:pPr>
              <w:spacing w:line="280" w:lineRule="exact"/>
              <w:ind w:left="420" w:left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是        </w:t>
            </w: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>否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3380"/>
              </w:tabs>
              <w:ind w:left="402" w:hanging="402" w:hanging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水稻生产是否实现全程机械化，耕种收机械化率达到100%</w:t>
            </w:r>
          </w:p>
          <w:p>
            <w:pPr>
              <w:spacing w:line="280" w:lineRule="exact"/>
              <w:ind w:left="420" w:left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是        </w:t>
            </w:r>
            <w:r>
              <w:rPr>
                <w:rFonts w:hint="eastAsia" w:ascii="仿宋" w:hAnsi="仿宋" w:eastAsia="仿宋" w:cs="仿宋_GB2312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</w:rPr>
              <w:t>否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3380"/>
              </w:tabs>
              <w:ind w:left="402" w:hanging="402" w:hanging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建成应用数字化场景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乡镇人民政府意见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日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共富农品申报表</w:t>
      </w:r>
    </w:p>
    <w:tbl>
      <w:tblPr>
        <w:tblStyle w:val="9"/>
        <w:tblW w:w="49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71"/>
        <w:gridCol w:w="1276"/>
        <w:gridCol w:w="1418"/>
        <w:gridCol w:w="142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一、共富农品主体基本情况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主体名称</w:t>
            </w:r>
          </w:p>
        </w:tc>
        <w:tc>
          <w:tcPr>
            <w:tcW w:w="3634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634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法定代表人姓名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注册商标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主要经营范围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二、共富农品创建指标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创建参数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292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主体年销售额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292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主体规模</w:t>
            </w:r>
          </w:p>
        </w:tc>
        <w:tc>
          <w:tcPr>
            <w:tcW w:w="674" w:type="pct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亩</w:t>
            </w:r>
          </w:p>
        </w:tc>
        <w:tc>
          <w:tcPr>
            <w:tcW w:w="292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无公害食品认证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绿色食品认证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地理标志认证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“品字标”认证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“浙农码”赋码产品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品牌带动效应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科技、机械化水平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乡镇人民政府意见</w:t>
            </w:r>
          </w:p>
        </w:tc>
        <w:tc>
          <w:tcPr>
            <w:tcW w:w="35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 月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注：所属行业参考：粮油、渔业、种植、养殖、休闲农业、食品加工业、初级农产品加工业。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意见反馈表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单位（盖章）：                   日期：</w:t>
      </w:r>
    </w:p>
    <w:tbl>
      <w:tblPr>
        <w:tblStyle w:val="10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91"/>
        <w:gridCol w:w="167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7" w:hRule="atLeast"/>
          <w:jc w:val="center"/>
        </w:trPr>
        <w:tc>
          <w:tcPr>
            <w:tcW w:w="931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反馈意见：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（如无反馈修改意见，请写“无”并加盖公章）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5040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5A8E6"/>
    <w:multiLevelType w:val="singleLevel"/>
    <w:tmpl w:val="BFF5A8E6"/>
    <w:lvl w:ilvl="0" w:tentative="0">
      <w:start w:val="3"/>
      <w:numFmt w:val="decimal"/>
      <w:suff w:val="space"/>
      <w:lvlText w:val="%1、"/>
      <w:lvlJc w:val="left"/>
    </w:lvl>
  </w:abstractNum>
  <w:abstractNum w:abstractNumId="1">
    <w:nsid w:val="FFE7CEF7"/>
    <w:multiLevelType w:val="singleLevel"/>
    <w:tmpl w:val="FFE7CEF7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2"/>
    <w:rsid w:val="0000009F"/>
    <w:rsid w:val="00006985"/>
    <w:rsid w:val="00044909"/>
    <w:rsid w:val="00044CA7"/>
    <w:rsid w:val="00054982"/>
    <w:rsid w:val="0009451A"/>
    <w:rsid w:val="000A177A"/>
    <w:rsid w:val="000A3CC9"/>
    <w:rsid w:val="000B42DB"/>
    <w:rsid w:val="000F0A0A"/>
    <w:rsid w:val="0020109D"/>
    <w:rsid w:val="002A1DE4"/>
    <w:rsid w:val="002B2190"/>
    <w:rsid w:val="002B4222"/>
    <w:rsid w:val="002B7D2E"/>
    <w:rsid w:val="002E2F4C"/>
    <w:rsid w:val="002F0FC2"/>
    <w:rsid w:val="00391E9A"/>
    <w:rsid w:val="003B0450"/>
    <w:rsid w:val="003E020A"/>
    <w:rsid w:val="003E0971"/>
    <w:rsid w:val="00416A69"/>
    <w:rsid w:val="00435892"/>
    <w:rsid w:val="00443541"/>
    <w:rsid w:val="004658D0"/>
    <w:rsid w:val="0047045A"/>
    <w:rsid w:val="004A3303"/>
    <w:rsid w:val="004C06F3"/>
    <w:rsid w:val="004C52A2"/>
    <w:rsid w:val="004E0127"/>
    <w:rsid w:val="004E7326"/>
    <w:rsid w:val="0051792B"/>
    <w:rsid w:val="00520DF0"/>
    <w:rsid w:val="00556079"/>
    <w:rsid w:val="00576078"/>
    <w:rsid w:val="005978EF"/>
    <w:rsid w:val="005B2ADD"/>
    <w:rsid w:val="00613FE0"/>
    <w:rsid w:val="00617671"/>
    <w:rsid w:val="00620577"/>
    <w:rsid w:val="00640B3F"/>
    <w:rsid w:val="00651B9E"/>
    <w:rsid w:val="00662742"/>
    <w:rsid w:val="00662E4C"/>
    <w:rsid w:val="0067624E"/>
    <w:rsid w:val="006A6B22"/>
    <w:rsid w:val="006B597D"/>
    <w:rsid w:val="006C41E1"/>
    <w:rsid w:val="006F6736"/>
    <w:rsid w:val="00730ABA"/>
    <w:rsid w:val="00773495"/>
    <w:rsid w:val="007B3744"/>
    <w:rsid w:val="007B4877"/>
    <w:rsid w:val="00825658"/>
    <w:rsid w:val="008450DA"/>
    <w:rsid w:val="00845A1D"/>
    <w:rsid w:val="0085739C"/>
    <w:rsid w:val="00864EC0"/>
    <w:rsid w:val="008704AD"/>
    <w:rsid w:val="008B4B82"/>
    <w:rsid w:val="008C1A0F"/>
    <w:rsid w:val="008C415E"/>
    <w:rsid w:val="008E250C"/>
    <w:rsid w:val="008F3F1B"/>
    <w:rsid w:val="0098233A"/>
    <w:rsid w:val="00990C80"/>
    <w:rsid w:val="009F1AA9"/>
    <w:rsid w:val="009F43EF"/>
    <w:rsid w:val="009F65C1"/>
    <w:rsid w:val="00A052B7"/>
    <w:rsid w:val="00A07CD2"/>
    <w:rsid w:val="00A259F5"/>
    <w:rsid w:val="00A54851"/>
    <w:rsid w:val="00A965C3"/>
    <w:rsid w:val="00AA08C9"/>
    <w:rsid w:val="00AA59B8"/>
    <w:rsid w:val="00AF0FA6"/>
    <w:rsid w:val="00B36549"/>
    <w:rsid w:val="00B57005"/>
    <w:rsid w:val="00BD0596"/>
    <w:rsid w:val="00BE23EC"/>
    <w:rsid w:val="00BE26CA"/>
    <w:rsid w:val="00C2651B"/>
    <w:rsid w:val="00C64C7B"/>
    <w:rsid w:val="00C736E3"/>
    <w:rsid w:val="00C94207"/>
    <w:rsid w:val="00CA0F48"/>
    <w:rsid w:val="00CE1DED"/>
    <w:rsid w:val="00D07403"/>
    <w:rsid w:val="00D251F5"/>
    <w:rsid w:val="00D30B5A"/>
    <w:rsid w:val="00D54651"/>
    <w:rsid w:val="00D840A2"/>
    <w:rsid w:val="00DB509F"/>
    <w:rsid w:val="00DE1782"/>
    <w:rsid w:val="00E06FB9"/>
    <w:rsid w:val="00E244CF"/>
    <w:rsid w:val="00E316BB"/>
    <w:rsid w:val="00E90727"/>
    <w:rsid w:val="00F00853"/>
    <w:rsid w:val="00F02351"/>
    <w:rsid w:val="00F529F0"/>
    <w:rsid w:val="00F75BB3"/>
    <w:rsid w:val="00F815BB"/>
    <w:rsid w:val="00FB3428"/>
    <w:rsid w:val="00FD5B3E"/>
    <w:rsid w:val="00FF2AD8"/>
    <w:rsid w:val="01CA4053"/>
    <w:rsid w:val="02882A10"/>
    <w:rsid w:val="02D85C3D"/>
    <w:rsid w:val="03004097"/>
    <w:rsid w:val="0347581A"/>
    <w:rsid w:val="04416B69"/>
    <w:rsid w:val="04877EA0"/>
    <w:rsid w:val="06257970"/>
    <w:rsid w:val="082C3E69"/>
    <w:rsid w:val="08EB30F3"/>
    <w:rsid w:val="0CB43020"/>
    <w:rsid w:val="0E9E6512"/>
    <w:rsid w:val="10CD4365"/>
    <w:rsid w:val="12C34799"/>
    <w:rsid w:val="139D4FEA"/>
    <w:rsid w:val="13F43E5A"/>
    <w:rsid w:val="141C177E"/>
    <w:rsid w:val="142179C9"/>
    <w:rsid w:val="14724901"/>
    <w:rsid w:val="153674A4"/>
    <w:rsid w:val="159B37AB"/>
    <w:rsid w:val="15E25939"/>
    <w:rsid w:val="17C84600"/>
    <w:rsid w:val="19BE5CBA"/>
    <w:rsid w:val="1A797225"/>
    <w:rsid w:val="1AF23E6D"/>
    <w:rsid w:val="1BEC2FB3"/>
    <w:rsid w:val="1D961484"/>
    <w:rsid w:val="1F5275D0"/>
    <w:rsid w:val="1FBE07C2"/>
    <w:rsid w:val="20501C7B"/>
    <w:rsid w:val="212136FE"/>
    <w:rsid w:val="222D7E81"/>
    <w:rsid w:val="22EC4D21"/>
    <w:rsid w:val="250C0426"/>
    <w:rsid w:val="25650D88"/>
    <w:rsid w:val="25E24429"/>
    <w:rsid w:val="26FB2C19"/>
    <w:rsid w:val="287F0122"/>
    <w:rsid w:val="29BE3EF0"/>
    <w:rsid w:val="2B5B15BB"/>
    <w:rsid w:val="2D560F91"/>
    <w:rsid w:val="2E20390B"/>
    <w:rsid w:val="2F587FB6"/>
    <w:rsid w:val="2F864C65"/>
    <w:rsid w:val="2FEC7C82"/>
    <w:rsid w:val="32737B32"/>
    <w:rsid w:val="32B827EB"/>
    <w:rsid w:val="32F853D2"/>
    <w:rsid w:val="332D560A"/>
    <w:rsid w:val="338673F1"/>
    <w:rsid w:val="35232A4F"/>
    <w:rsid w:val="356212DA"/>
    <w:rsid w:val="36154A5C"/>
    <w:rsid w:val="36553E90"/>
    <w:rsid w:val="36954284"/>
    <w:rsid w:val="36AB485E"/>
    <w:rsid w:val="38380B13"/>
    <w:rsid w:val="3A1B4721"/>
    <w:rsid w:val="3BDA477E"/>
    <w:rsid w:val="3C30439E"/>
    <w:rsid w:val="3D4A148F"/>
    <w:rsid w:val="3D4B3452"/>
    <w:rsid w:val="3DDC56D9"/>
    <w:rsid w:val="409F1AF2"/>
    <w:rsid w:val="42291898"/>
    <w:rsid w:val="42FC7797"/>
    <w:rsid w:val="43195B8C"/>
    <w:rsid w:val="43DA3792"/>
    <w:rsid w:val="459101D3"/>
    <w:rsid w:val="45C85647"/>
    <w:rsid w:val="476A1B6B"/>
    <w:rsid w:val="48841EAE"/>
    <w:rsid w:val="490746D8"/>
    <w:rsid w:val="493F29DA"/>
    <w:rsid w:val="4A8079F7"/>
    <w:rsid w:val="4ACB6250"/>
    <w:rsid w:val="4D096C71"/>
    <w:rsid w:val="4D553C64"/>
    <w:rsid w:val="501A762D"/>
    <w:rsid w:val="50822FB5"/>
    <w:rsid w:val="51712933"/>
    <w:rsid w:val="518631B4"/>
    <w:rsid w:val="51BF3DA2"/>
    <w:rsid w:val="52BB6C5F"/>
    <w:rsid w:val="5345477B"/>
    <w:rsid w:val="540726F2"/>
    <w:rsid w:val="57925AB5"/>
    <w:rsid w:val="586B7B6C"/>
    <w:rsid w:val="58F24A5D"/>
    <w:rsid w:val="5A8D4B2E"/>
    <w:rsid w:val="5B1559D6"/>
    <w:rsid w:val="5B7D6F53"/>
    <w:rsid w:val="5BC326E1"/>
    <w:rsid w:val="5C0348B7"/>
    <w:rsid w:val="5F1119B5"/>
    <w:rsid w:val="5F8A2976"/>
    <w:rsid w:val="60261490"/>
    <w:rsid w:val="617D27FC"/>
    <w:rsid w:val="61B2122D"/>
    <w:rsid w:val="62632651"/>
    <w:rsid w:val="630D3FB7"/>
    <w:rsid w:val="641E2BAA"/>
    <w:rsid w:val="64A15589"/>
    <w:rsid w:val="64CB41E4"/>
    <w:rsid w:val="667747F4"/>
    <w:rsid w:val="698B6E18"/>
    <w:rsid w:val="698D78AA"/>
    <w:rsid w:val="6A3D7B02"/>
    <w:rsid w:val="6B657311"/>
    <w:rsid w:val="6DBE3DC8"/>
    <w:rsid w:val="6ECD3B4B"/>
    <w:rsid w:val="6EEB5D7F"/>
    <w:rsid w:val="6FCF3CB7"/>
    <w:rsid w:val="70313C65"/>
    <w:rsid w:val="71566079"/>
    <w:rsid w:val="72F35B4A"/>
    <w:rsid w:val="733D0AC3"/>
    <w:rsid w:val="74D379E1"/>
    <w:rsid w:val="773A78A3"/>
    <w:rsid w:val="78464EF1"/>
    <w:rsid w:val="78A551F0"/>
    <w:rsid w:val="79555E90"/>
    <w:rsid w:val="796177D6"/>
    <w:rsid w:val="7A0D370A"/>
    <w:rsid w:val="7AE77F7C"/>
    <w:rsid w:val="7D71357C"/>
    <w:rsid w:val="7E074257"/>
    <w:rsid w:val="7E5516CB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3380"/>
      </w:tabs>
      <w:ind w:firstLine="420" w:firstLineChars="100"/>
    </w:pPr>
    <w:rPr>
      <w:rFonts w:ascii="宋体" w:hAnsi="宋体" w:eastAsia="宋体" w:cs="Times New Roman"/>
      <w:sz w:val="28"/>
      <w:szCs w:val="28"/>
    </w:rPr>
  </w:style>
  <w:style w:type="paragraph" w:styleId="3">
    <w:name w:val="Body Text"/>
    <w:basedOn w:val="1"/>
    <w:next w:val="1"/>
    <w:qFormat/>
    <w:uiPriority w:val="0"/>
    <w:pPr>
      <w:tabs>
        <w:tab w:val="left" w:pos="3380"/>
      </w:tabs>
      <w:jc w:val="center"/>
    </w:pPr>
    <w:rPr>
      <w:b/>
      <w:bCs/>
      <w:spacing w:val="-20"/>
      <w:sz w:val="36"/>
    </w:rPr>
  </w:style>
  <w:style w:type="paragraph" w:styleId="4">
    <w:name w:val="Plain Text"/>
    <w:basedOn w:val="1"/>
    <w:unhideWhenUsed/>
    <w:qFormat/>
    <w:uiPriority w:val="0"/>
    <w:rPr>
      <w:rFonts w:ascii="宋体" w:hAnsi="Courier New" w:cs="宋体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BodyText1I"/>
    <w:basedOn w:val="13"/>
    <w:next w:val="1"/>
    <w:qFormat/>
    <w:uiPriority w:val="0"/>
    <w:pPr>
      <w:spacing w:after="0"/>
      <w:ind w:firstLine="420" w:firstLineChars="100"/>
    </w:pPr>
    <w:rPr>
      <w:rFonts w:ascii="宋体" w:hAnsi="宋体"/>
      <w:sz w:val="28"/>
      <w:szCs w:val="28"/>
    </w:rPr>
  </w:style>
  <w:style w:type="paragraph" w:customStyle="1" w:styleId="13">
    <w:name w:val="Body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14">
    <w:name w:val="Body Text First Indent1"/>
    <w:next w:val="4"/>
    <w:unhideWhenUsed/>
    <w:qFormat/>
    <w:uiPriority w:val="0"/>
    <w:pPr>
      <w:widowControl w:val="0"/>
      <w:spacing w:line="560" w:lineRule="exact"/>
      <w:ind w:firstLine="420" w:firstLineChars="100"/>
      <w:jc w:val="both"/>
    </w:pPr>
    <w:rPr>
      <w:rFonts w:hint="eastAsia" w:ascii="宋体" w:hAnsi="宋体" w:eastAsia="宋体" w:cs="Times New Roman"/>
      <w:kern w:val="2"/>
      <w:sz w:val="28"/>
      <w:szCs w:val="30"/>
      <w:lang w:val="en-US" w:eastAsia="zh-CN" w:bidi="ar-SA"/>
    </w:rPr>
  </w:style>
  <w:style w:type="paragraph" w:customStyle="1" w:styleId="15">
    <w:name w:val="text_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936</Words>
  <Characters>5337</Characters>
  <Lines>44</Lines>
  <Paragraphs>12</Paragraphs>
  <TotalTime>3</TotalTime>
  <ScaleCrop>false</ScaleCrop>
  <LinksUpToDate>false</LinksUpToDate>
  <CharactersWithSpaces>6261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2021-11-25T00:15:00Z</dcterms:created>
  <dc:creator>lenovoz</dc:creator>
  <cp:lastModifiedBy>Administrator</cp:lastModifiedBy>
  <cp:lastPrinted>2022-01-05T01:46:00Z</cp:lastPrinted>
  <dcterms:modified xsi:type="dcterms:W3CDTF">2022-01-12T06:03:57Z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B47B25573E1B404ABE4D45DD9EE49A54</vt:lpwstr>
  </property>
</Properties>
</file>