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ind w:firstLine="5120" w:firstLineChars="1600"/>
        <w:rPr>
          <w:rFonts w:ascii="仿宋" w:hAnsi="仿宋" w:eastAsia="仿宋" w:cs="仿宋"/>
          <w:color w:val="000000" w:themeColor="text1"/>
          <w:sz w:val="32"/>
          <w:szCs w:val="32"/>
        </w:rPr>
      </w:pPr>
    </w:p>
    <w:p>
      <w:pPr>
        <w:jc w:val="left"/>
        <w:rPr>
          <w:rFonts w:ascii="方正小标宋简体" w:hAnsi="仿宋" w:eastAsia="方正小标宋简体" w:cs="仿宋"/>
          <w:color w:val="000000"/>
          <w:sz w:val="28"/>
          <w:szCs w:val="28"/>
        </w:rPr>
      </w:pPr>
    </w:p>
    <w:p/>
    <w:p>
      <w:pPr>
        <w:jc w:val="left"/>
        <w:rPr>
          <w:rFonts w:hint="eastAsia" w:ascii="黑体" w:hAnsi="黑体" w:eastAsia="黑体" w:cs="黑体"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附件5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60" w:lineRule="exact"/>
        <w:jc w:val="center"/>
        <w:textAlignment w:val="auto"/>
        <w:rPr>
          <w:rFonts w:ascii="方正小标宋简体" w:hAnsi="仿宋" w:eastAsia="方正小标宋简体" w:cs="仿宋"/>
          <w:color w:val="000000"/>
          <w:sz w:val="44"/>
          <w:szCs w:val="44"/>
        </w:rPr>
      </w:pPr>
      <w:r>
        <w:rPr>
          <w:rFonts w:hint="eastAsia" w:ascii="方正小标宋简体" w:hAnsi="仿宋" w:eastAsia="方正小标宋简体" w:cs="仿宋"/>
          <w:color w:val="000000"/>
          <w:sz w:val="44"/>
          <w:szCs w:val="44"/>
        </w:rPr>
        <w:t>药品存储温湿度在线监管系统（监管端）</w:t>
      </w:r>
    </w:p>
    <w:p>
      <w:pPr>
        <w:autoSpaceDE w:val="0"/>
        <w:autoSpaceDN w:val="0"/>
        <w:spacing w:line="240" w:lineRule="exact"/>
        <w:jc w:val="center"/>
        <w:rPr>
          <w:rFonts w:ascii="汉仪雪君体简" w:eastAsia="汉仪雪君体简"/>
          <w:sz w:val="72"/>
          <w:szCs w:val="72"/>
        </w:rPr>
      </w:pPr>
    </w:p>
    <w:p>
      <w:pPr>
        <w:autoSpaceDE w:val="0"/>
        <w:autoSpaceDN w:val="0"/>
        <w:jc w:val="center"/>
        <w:rPr>
          <w:rFonts w:ascii="方正小标宋简体" w:hAnsi="仿宋" w:eastAsia="方正小标宋简体" w:cs="仿宋"/>
          <w:color w:val="000000"/>
          <w:sz w:val="44"/>
          <w:szCs w:val="44"/>
        </w:rPr>
      </w:pPr>
      <w:r>
        <w:rPr>
          <w:rFonts w:hint="eastAsia" w:ascii="方正小标宋简体" w:hAnsi="仿宋" w:eastAsia="方正小标宋简体" w:cs="仿宋"/>
          <w:color w:val="000000"/>
          <w:sz w:val="44"/>
          <w:szCs w:val="44"/>
        </w:rPr>
        <w:t>简</w:t>
      </w:r>
    </w:p>
    <w:p>
      <w:pPr>
        <w:autoSpaceDE w:val="0"/>
        <w:autoSpaceDN w:val="0"/>
        <w:jc w:val="center"/>
        <w:rPr>
          <w:rFonts w:ascii="方正小标宋简体" w:hAnsi="仿宋" w:eastAsia="方正小标宋简体" w:cs="仿宋"/>
          <w:color w:val="000000"/>
          <w:sz w:val="44"/>
          <w:szCs w:val="44"/>
        </w:rPr>
      </w:pPr>
      <w:r>
        <w:rPr>
          <w:rFonts w:hint="eastAsia" w:ascii="方正小标宋简体" w:hAnsi="仿宋" w:eastAsia="方正小标宋简体" w:cs="仿宋"/>
          <w:color w:val="000000"/>
          <w:sz w:val="44"/>
          <w:szCs w:val="44"/>
        </w:rPr>
        <w:t>易</w:t>
      </w:r>
    </w:p>
    <w:p>
      <w:pPr>
        <w:autoSpaceDE w:val="0"/>
        <w:autoSpaceDN w:val="0"/>
        <w:jc w:val="center"/>
        <w:rPr>
          <w:rFonts w:ascii="方正小标宋简体" w:hAnsi="仿宋" w:eastAsia="方正小标宋简体" w:cs="仿宋"/>
          <w:color w:val="000000"/>
          <w:sz w:val="44"/>
          <w:szCs w:val="44"/>
        </w:rPr>
      </w:pPr>
      <w:r>
        <w:rPr>
          <w:rFonts w:hint="eastAsia" w:ascii="方正小标宋简体" w:hAnsi="仿宋" w:eastAsia="方正小标宋简体" w:cs="仿宋"/>
          <w:color w:val="000000"/>
          <w:sz w:val="44"/>
          <w:szCs w:val="44"/>
        </w:rPr>
        <w:t>操</w:t>
      </w:r>
    </w:p>
    <w:p>
      <w:pPr>
        <w:autoSpaceDE w:val="0"/>
        <w:autoSpaceDN w:val="0"/>
        <w:jc w:val="center"/>
        <w:rPr>
          <w:rFonts w:ascii="方正小标宋简体" w:hAnsi="仿宋" w:eastAsia="方正小标宋简体" w:cs="仿宋"/>
          <w:color w:val="000000"/>
          <w:sz w:val="44"/>
          <w:szCs w:val="44"/>
        </w:rPr>
      </w:pPr>
      <w:r>
        <w:rPr>
          <w:rFonts w:hint="eastAsia" w:ascii="方正小标宋简体" w:hAnsi="仿宋" w:eastAsia="方正小标宋简体" w:cs="仿宋"/>
          <w:color w:val="000000"/>
          <w:sz w:val="44"/>
          <w:szCs w:val="44"/>
        </w:rPr>
        <w:t>作</w:t>
      </w:r>
    </w:p>
    <w:p>
      <w:pPr>
        <w:autoSpaceDE w:val="0"/>
        <w:autoSpaceDN w:val="0"/>
        <w:jc w:val="center"/>
        <w:rPr>
          <w:rFonts w:ascii="方正小标宋简体" w:hAnsi="仿宋" w:eastAsia="方正小标宋简体" w:cs="仿宋"/>
          <w:color w:val="000000"/>
          <w:sz w:val="44"/>
          <w:szCs w:val="44"/>
        </w:rPr>
      </w:pPr>
      <w:r>
        <w:rPr>
          <w:rFonts w:hint="eastAsia" w:ascii="方正小标宋简体" w:hAnsi="仿宋" w:eastAsia="方正小标宋简体" w:cs="仿宋"/>
          <w:color w:val="000000"/>
          <w:sz w:val="44"/>
          <w:szCs w:val="44"/>
        </w:rPr>
        <w:t>手</w:t>
      </w:r>
    </w:p>
    <w:p>
      <w:pPr>
        <w:autoSpaceDE w:val="0"/>
        <w:autoSpaceDN w:val="0"/>
        <w:jc w:val="center"/>
        <w:rPr>
          <w:rFonts w:ascii="方正小标宋简体" w:hAnsi="仿宋" w:eastAsia="方正小标宋简体" w:cs="仿宋"/>
          <w:color w:val="000000"/>
          <w:sz w:val="44"/>
          <w:szCs w:val="44"/>
        </w:rPr>
      </w:pPr>
      <w:r>
        <w:rPr>
          <w:rFonts w:hint="eastAsia" w:ascii="方正小标宋简体" w:hAnsi="仿宋" w:eastAsia="方正小标宋简体" w:cs="仿宋"/>
          <w:color w:val="000000"/>
          <w:sz w:val="44"/>
          <w:szCs w:val="44"/>
        </w:rPr>
        <w:t>册</w:t>
      </w:r>
    </w:p>
    <w:p>
      <w:pPr>
        <w:autoSpaceDE w:val="0"/>
        <w:autoSpaceDN w:val="0"/>
        <w:jc w:val="center"/>
        <w:rPr>
          <w:rFonts w:ascii="汉仪雪君体简" w:eastAsia="汉仪雪君体简"/>
          <w:sz w:val="84"/>
          <w:szCs w:val="84"/>
        </w:rPr>
      </w:pPr>
    </w:p>
    <w:p>
      <w:pPr>
        <w:autoSpaceDE w:val="0"/>
        <w:autoSpaceDN w:val="0"/>
        <w:jc w:val="center"/>
        <w:rPr>
          <w:rFonts w:ascii="方正小标宋简体" w:hAnsi="仿宋" w:eastAsia="方正小标宋简体" w:cs="仿宋"/>
          <w:color w:val="000000"/>
          <w:sz w:val="44"/>
          <w:szCs w:val="44"/>
        </w:rPr>
      </w:pPr>
      <w:r>
        <w:rPr>
          <w:rFonts w:hint="eastAsia" w:ascii="方正小标宋简体" w:hAnsi="仿宋" w:eastAsia="方正小标宋简体" w:cs="仿宋"/>
          <w:color w:val="000000"/>
          <w:sz w:val="44"/>
          <w:szCs w:val="44"/>
        </w:rPr>
        <w:t>2</w:t>
      </w:r>
      <w:r>
        <w:rPr>
          <w:rFonts w:ascii="方正小标宋简体" w:hAnsi="仿宋" w:eastAsia="方正小标宋简体" w:cs="仿宋"/>
          <w:color w:val="000000"/>
          <w:sz w:val="44"/>
          <w:szCs w:val="44"/>
        </w:rPr>
        <w:t>021</w:t>
      </w:r>
      <w:r>
        <w:rPr>
          <w:rFonts w:hint="eastAsia" w:ascii="方正小标宋简体" w:hAnsi="仿宋" w:eastAsia="方正小标宋简体" w:cs="仿宋"/>
          <w:color w:val="000000"/>
          <w:sz w:val="44"/>
          <w:szCs w:val="44"/>
        </w:rPr>
        <w:t>年</w:t>
      </w:r>
    </w:p>
    <w:p>
      <w:pPr>
        <w:autoSpaceDE w:val="0"/>
        <w:autoSpaceDN w:val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/>
          <w:sz w:val="44"/>
          <w:szCs w:val="44"/>
        </w:rPr>
        <w:br w:type="page"/>
      </w:r>
    </w:p>
    <w:p>
      <w:pPr>
        <w:autoSpaceDE w:val="0"/>
        <w:autoSpaceDN w:val="0"/>
        <w:jc w:val="center"/>
        <w:rPr>
          <w:rFonts w:ascii="方正小标宋简体" w:eastAsia="方正小标宋简体"/>
          <w:sz w:val="44"/>
          <w:szCs w:val="44"/>
        </w:rPr>
      </w:pPr>
    </w:p>
    <w:p>
      <w:pPr>
        <w:pStyle w:val="25"/>
        <w:jc w:val="center"/>
        <w:rPr>
          <w:rFonts w:ascii="方正小标宋简体" w:eastAsia="方正小标宋简体"/>
          <w:sz w:val="44"/>
          <w:szCs w:val="44"/>
          <w:lang w:val="zh-CN"/>
        </w:rPr>
      </w:pPr>
      <w:r>
        <w:rPr>
          <w:rFonts w:hint="eastAsia" w:ascii="方正小标宋简体" w:eastAsia="方正小标宋简体"/>
          <w:sz w:val="44"/>
          <w:szCs w:val="44"/>
          <w:lang w:val="zh-CN"/>
        </w:rPr>
        <w:t>目  录</w:t>
      </w:r>
    </w:p>
    <w:p>
      <w:pPr>
        <w:rPr>
          <w:lang w:val="zh-CN"/>
        </w:rPr>
      </w:pPr>
    </w:p>
    <w:p>
      <w:pPr>
        <w:rPr>
          <w:lang w:val="zh-CN"/>
        </w:rPr>
      </w:pPr>
    </w:p>
    <w:p>
      <w:pPr>
        <w:rPr>
          <w:lang w:val="zh-CN"/>
        </w:rPr>
      </w:pPr>
    </w:p>
    <w:p>
      <w:pPr>
        <w:pStyle w:val="10"/>
        <w:tabs>
          <w:tab w:val="left" w:pos="840"/>
          <w:tab w:val="right" w:leader="dot" w:pos="8296"/>
        </w:tabs>
        <w:rPr>
          <w:kern w:val="2"/>
          <w:sz w:val="32"/>
          <w:szCs w:val="32"/>
        </w:rPr>
      </w:pPr>
      <w:r>
        <w:rPr>
          <w:rFonts w:ascii="华文楷体" w:hAnsi="华文楷体" w:eastAsia="华文楷体"/>
          <w:sz w:val="32"/>
          <w:szCs w:val="32"/>
        </w:rPr>
        <w:fldChar w:fldCharType="begin"/>
      </w:r>
      <w:r>
        <w:rPr>
          <w:rFonts w:ascii="华文楷体" w:hAnsi="华文楷体" w:eastAsia="华文楷体"/>
          <w:sz w:val="32"/>
          <w:szCs w:val="32"/>
        </w:rPr>
        <w:instrText xml:space="preserve"> TOC \o "1-3" \h \z \u </w:instrText>
      </w:r>
      <w:r>
        <w:rPr>
          <w:rFonts w:ascii="华文楷体" w:hAnsi="华文楷体" w:eastAsia="华文楷体"/>
          <w:sz w:val="32"/>
          <w:szCs w:val="32"/>
        </w:rPr>
        <w:fldChar w:fldCharType="separate"/>
      </w:r>
      <w:r>
        <w:fldChar w:fldCharType="begin"/>
      </w:r>
      <w:r>
        <w:instrText xml:space="preserve"> HYPERLINK \l "_Toc294623522" </w:instrText>
      </w:r>
      <w:r>
        <w:fldChar w:fldCharType="separate"/>
      </w:r>
      <w:r>
        <w:rPr>
          <w:rStyle w:val="17"/>
          <w:rFonts w:hint="eastAsia"/>
          <w:sz w:val="32"/>
          <w:szCs w:val="32"/>
        </w:rPr>
        <w:t>一、</w:t>
      </w:r>
      <w:r>
        <w:rPr>
          <w:kern w:val="2"/>
          <w:sz w:val="32"/>
          <w:szCs w:val="32"/>
        </w:rPr>
        <w:tab/>
      </w:r>
      <w:r>
        <w:rPr>
          <w:rStyle w:val="17"/>
          <w:rFonts w:hint="eastAsia"/>
          <w:sz w:val="32"/>
          <w:szCs w:val="32"/>
        </w:rPr>
        <w:t>系统登录</w:t>
      </w:r>
      <w:bookmarkStart w:id="0" w:name="_Hlt294702861"/>
      <w:r>
        <w:rPr>
          <w:sz w:val="32"/>
          <w:szCs w:val="32"/>
        </w:rPr>
        <w:tab/>
      </w:r>
      <w:bookmarkEnd w:id="0"/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PAGEREF _Toc294623522 \h </w:instrText>
      </w:r>
      <w:r>
        <w:rPr>
          <w:sz w:val="32"/>
          <w:szCs w:val="32"/>
        </w:rPr>
        <w:fldChar w:fldCharType="separate"/>
      </w:r>
      <w:r>
        <w:rPr>
          <w:sz w:val="32"/>
          <w:szCs w:val="32"/>
        </w:rPr>
        <w:t>1</w:t>
      </w:r>
      <w:r>
        <w:rPr>
          <w:sz w:val="32"/>
          <w:szCs w:val="32"/>
        </w:rPr>
        <w:fldChar w:fldCharType="end"/>
      </w:r>
      <w:r>
        <w:rPr>
          <w:sz w:val="32"/>
          <w:szCs w:val="32"/>
        </w:rPr>
        <w:fldChar w:fldCharType="end"/>
      </w:r>
    </w:p>
    <w:p>
      <w:pPr>
        <w:pStyle w:val="10"/>
        <w:tabs>
          <w:tab w:val="left" w:pos="840"/>
          <w:tab w:val="right" w:leader="dot" w:pos="8296"/>
        </w:tabs>
        <w:rPr>
          <w:kern w:val="2"/>
          <w:sz w:val="32"/>
          <w:szCs w:val="32"/>
        </w:rPr>
      </w:pPr>
      <w:r>
        <w:fldChar w:fldCharType="begin"/>
      </w:r>
      <w:r>
        <w:instrText xml:space="preserve"> HYPERLINK \l "_Toc294623523" </w:instrText>
      </w:r>
      <w:r>
        <w:fldChar w:fldCharType="separate"/>
      </w:r>
      <w:r>
        <w:rPr>
          <w:rStyle w:val="17"/>
          <w:rFonts w:hint="eastAsia"/>
          <w:sz w:val="32"/>
          <w:szCs w:val="32"/>
        </w:rPr>
        <w:t>二、</w:t>
      </w:r>
      <w:r>
        <w:rPr>
          <w:kern w:val="2"/>
          <w:sz w:val="32"/>
          <w:szCs w:val="32"/>
        </w:rPr>
        <w:tab/>
      </w:r>
      <w:r>
        <w:rPr>
          <w:rStyle w:val="17"/>
          <w:rFonts w:hint="eastAsia"/>
          <w:sz w:val="32"/>
          <w:szCs w:val="32"/>
        </w:rPr>
        <w:t>系统管理</w:t>
      </w:r>
      <w:r>
        <w:rPr>
          <w:sz w:val="32"/>
          <w:szCs w:val="32"/>
        </w:rPr>
        <w:tab/>
      </w: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PAGEREF _Toc294623523 \h </w:instrText>
      </w:r>
      <w:r>
        <w:rPr>
          <w:sz w:val="32"/>
          <w:szCs w:val="32"/>
        </w:rPr>
        <w:fldChar w:fldCharType="separate"/>
      </w:r>
      <w:r>
        <w:rPr>
          <w:sz w:val="32"/>
          <w:szCs w:val="32"/>
        </w:rPr>
        <w:t>2</w:t>
      </w:r>
      <w:r>
        <w:rPr>
          <w:sz w:val="32"/>
          <w:szCs w:val="32"/>
        </w:rPr>
        <w:fldChar w:fldCharType="end"/>
      </w:r>
      <w:r>
        <w:rPr>
          <w:sz w:val="32"/>
          <w:szCs w:val="32"/>
        </w:rPr>
        <w:fldChar w:fldCharType="end"/>
      </w:r>
    </w:p>
    <w:p>
      <w:pPr>
        <w:pStyle w:val="10"/>
        <w:tabs>
          <w:tab w:val="left" w:pos="840"/>
          <w:tab w:val="right" w:leader="dot" w:pos="8296"/>
        </w:tabs>
        <w:rPr>
          <w:kern w:val="2"/>
          <w:sz w:val="32"/>
          <w:szCs w:val="32"/>
        </w:rPr>
      </w:pPr>
      <w:r>
        <w:fldChar w:fldCharType="begin"/>
      </w:r>
      <w:r>
        <w:instrText xml:space="preserve"> HYPERLINK \l "_Toc294623524" </w:instrText>
      </w:r>
      <w:r>
        <w:fldChar w:fldCharType="separate"/>
      </w:r>
      <w:r>
        <w:rPr>
          <w:rStyle w:val="17"/>
          <w:rFonts w:hint="eastAsia"/>
          <w:sz w:val="32"/>
          <w:szCs w:val="32"/>
        </w:rPr>
        <w:t>三、</w:t>
      </w:r>
      <w:r>
        <w:rPr>
          <w:kern w:val="2"/>
          <w:sz w:val="32"/>
          <w:szCs w:val="32"/>
        </w:rPr>
        <w:tab/>
      </w:r>
      <w:r>
        <w:rPr>
          <w:rStyle w:val="17"/>
          <w:rFonts w:hint="eastAsia"/>
          <w:sz w:val="32"/>
          <w:szCs w:val="32"/>
        </w:rPr>
        <w:t>设备报停</w:t>
      </w:r>
      <w:r>
        <w:rPr>
          <w:sz w:val="32"/>
          <w:szCs w:val="32"/>
        </w:rPr>
        <w:tab/>
      </w:r>
      <w:r>
        <w:rPr>
          <w:rFonts w:hint="eastAsia"/>
          <w:sz w:val="32"/>
          <w:szCs w:val="32"/>
        </w:rPr>
        <w:t>5</w:t>
      </w:r>
      <w:r>
        <w:rPr>
          <w:rFonts w:hint="eastAsia"/>
          <w:sz w:val="32"/>
          <w:szCs w:val="32"/>
        </w:rPr>
        <w:fldChar w:fldCharType="end"/>
      </w:r>
    </w:p>
    <w:p>
      <w:pPr>
        <w:pStyle w:val="10"/>
        <w:tabs>
          <w:tab w:val="left" w:pos="840"/>
          <w:tab w:val="right" w:leader="dot" w:pos="8296"/>
        </w:tabs>
        <w:rPr>
          <w:kern w:val="2"/>
          <w:sz w:val="32"/>
          <w:szCs w:val="32"/>
        </w:rPr>
      </w:pPr>
      <w:r>
        <w:fldChar w:fldCharType="begin"/>
      </w:r>
      <w:r>
        <w:instrText xml:space="preserve"> HYPERLINK \l "_Toc294623525" </w:instrText>
      </w:r>
      <w:r>
        <w:fldChar w:fldCharType="separate"/>
      </w:r>
      <w:r>
        <w:rPr>
          <w:rStyle w:val="17"/>
          <w:rFonts w:hint="eastAsia"/>
          <w:sz w:val="32"/>
          <w:szCs w:val="32"/>
        </w:rPr>
        <w:t>四、</w:t>
      </w:r>
      <w:r>
        <w:rPr>
          <w:kern w:val="2"/>
          <w:sz w:val="32"/>
          <w:szCs w:val="32"/>
        </w:rPr>
        <w:tab/>
      </w:r>
      <w:r>
        <w:rPr>
          <w:rStyle w:val="17"/>
          <w:rFonts w:hint="eastAsia"/>
          <w:sz w:val="32"/>
          <w:szCs w:val="32"/>
        </w:rPr>
        <w:t>整改通知书</w:t>
      </w:r>
      <w:r>
        <w:rPr>
          <w:sz w:val="32"/>
          <w:szCs w:val="32"/>
        </w:rPr>
        <w:tab/>
      </w:r>
      <w:r>
        <w:rPr>
          <w:rFonts w:hint="eastAsia"/>
          <w:sz w:val="32"/>
          <w:szCs w:val="32"/>
        </w:rPr>
        <w:t>6</w:t>
      </w:r>
      <w:r>
        <w:rPr>
          <w:rFonts w:hint="eastAsia"/>
          <w:sz w:val="32"/>
          <w:szCs w:val="32"/>
        </w:rPr>
        <w:fldChar w:fldCharType="end"/>
      </w:r>
    </w:p>
    <w:p>
      <w:pPr>
        <w:pStyle w:val="10"/>
        <w:tabs>
          <w:tab w:val="left" w:pos="840"/>
          <w:tab w:val="right" w:leader="dot" w:pos="8296"/>
        </w:tabs>
        <w:rPr>
          <w:kern w:val="2"/>
          <w:sz w:val="32"/>
          <w:szCs w:val="32"/>
        </w:rPr>
      </w:pPr>
      <w:r>
        <w:fldChar w:fldCharType="begin"/>
      </w:r>
      <w:r>
        <w:instrText xml:space="preserve"> HYPERLINK \l "_Toc294623526" </w:instrText>
      </w:r>
      <w:r>
        <w:fldChar w:fldCharType="separate"/>
      </w:r>
      <w:r>
        <w:rPr>
          <w:rStyle w:val="17"/>
          <w:rFonts w:hint="eastAsia"/>
          <w:sz w:val="32"/>
          <w:szCs w:val="32"/>
        </w:rPr>
        <w:t>五、</w:t>
      </w:r>
      <w:r>
        <w:rPr>
          <w:kern w:val="2"/>
          <w:sz w:val="32"/>
          <w:szCs w:val="32"/>
        </w:rPr>
        <w:tab/>
      </w:r>
      <w:r>
        <w:rPr>
          <w:rStyle w:val="17"/>
          <w:rFonts w:hint="eastAsia"/>
          <w:sz w:val="32"/>
          <w:szCs w:val="32"/>
        </w:rPr>
        <w:t>冷链上报</w:t>
      </w:r>
      <w:r>
        <w:rPr>
          <w:sz w:val="32"/>
          <w:szCs w:val="32"/>
        </w:rPr>
        <w:tab/>
      </w:r>
      <w:r>
        <w:rPr>
          <w:rFonts w:hint="eastAsia"/>
          <w:sz w:val="32"/>
          <w:szCs w:val="32"/>
        </w:rPr>
        <w:t>7</w:t>
      </w:r>
      <w:r>
        <w:rPr>
          <w:rFonts w:hint="eastAsia"/>
          <w:sz w:val="32"/>
          <w:szCs w:val="32"/>
        </w:rPr>
        <w:fldChar w:fldCharType="end"/>
      </w:r>
    </w:p>
    <w:p>
      <w:pPr>
        <w:pStyle w:val="10"/>
        <w:tabs>
          <w:tab w:val="left" w:pos="840"/>
          <w:tab w:val="right" w:leader="dot" w:pos="8296"/>
        </w:tabs>
        <w:rPr>
          <w:kern w:val="2"/>
          <w:sz w:val="32"/>
          <w:szCs w:val="32"/>
        </w:rPr>
      </w:pPr>
      <w:r>
        <w:fldChar w:fldCharType="begin"/>
      </w:r>
      <w:r>
        <w:instrText xml:space="preserve"> HYPERLINK \l "_Toc294623527" </w:instrText>
      </w:r>
      <w:r>
        <w:fldChar w:fldCharType="separate"/>
      </w:r>
      <w:r>
        <w:rPr>
          <w:rStyle w:val="17"/>
          <w:rFonts w:hint="eastAsia"/>
          <w:sz w:val="32"/>
          <w:szCs w:val="32"/>
        </w:rPr>
        <w:t>六、</w:t>
      </w:r>
      <w:r>
        <w:rPr>
          <w:kern w:val="2"/>
          <w:sz w:val="32"/>
          <w:szCs w:val="32"/>
        </w:rPr>
        <w:tab/>
      </w:r>
      <w:r>
        <w:rPr>
          <w:rStyle w:val="17"/>
          <w:rFonts w:hint="eastAsia"/>
          <w:sz w:val="32"/>
          <w:szCs w:val="32"/>
        </w:rPr>
        <w:t>上传监控点布局图</w:t>
      </w:r>
      <w:r>
        <w:rPr>
          <w:sz w:val="32"/>
          <w:szCs w:val="32"/>
        </w:rPr>
        <w:tab/>
      </w:r>
      <w:r>
        <w:rPr>
          <w:rFonts w:hint="eastAsia"/>
          <w:sz w:val="32"/>
          <w:szCs w:val="32"/>
        </w:rPr>
        <w:t>8</w:t>
      </w:r>
      <w:r>
        <w:rPr>
          <w:rFonts w:hint="eastAsia"/>
          <w:sz w:val="32"/>
          <w:szCs w:val="32"/>
        </w:rPr>
        <w:fldChar w:fldCharType="end"/>
      </w:r>
    </w:p>
    <w:p>
      <w:pPr>
        <w:pStyle w:val="10"/>
        <w:tabs>
          <w:tab w:val="left" w:pos="840"/>
          <w:tab w:val="right" w:leader="dot" w:pos="8296"/>
        </w:tabs>
        <w:rPr>
          <w:kern w:val="2"/>
          <w:sz w:val="32"/>
          <w:szCs w:val="32"/>
        </w:rPr>
      </w:pPr>
      <w:r>
        <w:fldChar w:fldCharType="begin"/>
      </w:r>
      <w:r>
        <w:instrText xml:space="preserve"> HYPERLINK \l "_Toc294623528" </w:instrText>
      </w:r>
      <w:r>
        <w:fldChar w:fldCharType="separate"/>
      </w:r>
      <w:r>
        <w:rPr>
          <w:rStyle w:val="17"/>
          <w:rFonts w:hint="eastAsia"/>
          <w:sz w:val="32"/>
          <w:szCs w:val="32"/>
        </w:rPr>
        <w:t>七、</w:t>
      </w:r>
      <w:r>
        <w:rPr>
          <w:kern w:val="2"/>
          <w:sz w:val="32"/>
          <w:szCs w:val="32"/>
        </w:rPr>
        <w:tab/>
      </w:r>
      <w:r>
        <w:rPr>
          <w:rStyle w:val="17"/>
          <w:rFonts w:hint="eastAsia"/>
          <w:sz w:val="32"/>
          <w:szCs w:val="32"/>
        </w:rPr>
        <w:t>统计查询</w:t>
      </w:r>
      <w:r>
        <w:rPr>
          <w:sz w:val="32"/>
          <w:szCs w:val="32"/>
        </w:rPr>
        <w:tab/>
      </w:r>
      <w:r>
        <w:rPr>
          <w:rFonts w:hint="eastAsia"/>
          <w:sz w:val="32"/>
          <w:szCs w:val="32"/>
        </w:rPr>
        <w:t>9</w:t>
      </w:r>
      <w:r>
        <w:rPr>
          <w:rFonts w:hint="eastAsia"/>
          <w:sz w:val="32"/>
          <w:szCs w:val="32"/>
        </w:rPr>
        <w:fldChar w:fldCharType="end"/>
      </w:r>
    </w:p>
    <w:p>
      <w:pPr>
        <w:pStyle w:val="10"/>
        <w:tabs>
          <w:tab w:val="left" w:pos="840"/>
          <w:tab w:val="right" w:leader="dot" w:pos="8296"/>
        </w:tabs>
        <w:rPr>
          <w:kern w:val="2"/>
          <w:sz w:val="32"/>
          <w:szCs w:val="32"/>
        </w:rPr>
      </w:pPr>
      <w:r>
        <w:fldChar w:fldCharType="begin"/>
      </w:r>
      <w:r>
        <w:instrText xml:space="preserve"> HYPERLINK \l "_Toc294623529" </w:instrText>
      </w:r>
      <w:r>
        <w:fldChar w:fldCharType="separate"/>
      </w:r>
      <w:r>
        <w:rPr>
          <w:rStyle w:val="17"/>
          <w:rFonts w:hint="eastAsia"/>
          <w:sz w:val="32"/>
          <w:szCs w:val="32"/>
        </w:rPr>
        <w:t>八、</w:t>
      </w:r>
      <w:r>
        <w:rPr>
          <w:kern w:val="2"/>
          <w:sz w:val="32"/>
          <w:szCs w:val="32"/>
        </w:rPr>
        <w:tab/>
      </w:r>
      <w:r>
        <w:rPr>
          <w:rStyle w:val="17"/>
          <w:rFonts w:hint="eastAsia"/>
          <w:sz w:val="32"/>
          <w:szCs w:val="32"/>
        </w:rPr>
        <w:t>说明</w:t>
      </w:r>
      <w:r>
        <w:rPr>
          <w:sz w:val="32"/>
          <w:szCs w:val="32"/>
        </w:rPr>
        <w:tab/>
      </w: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PAGEREF _Toc294623529 \h </w:instrText>
      </w:r>
      <w:r>
        <w:rPr>
          <w:sz w:val="32"/>
          <w:szCs w:val="32"/>
        </w:rPr>
        <w:fldChar w:fldCharType="separate"/>
      </w:r>
      <w:r>
        <w:rPr>
          <w:sz w:val="32"/>
          <w:szCs w:val="32"/>
        </w:rPr>
        <w:t>12</w:t>
      </w:r>
      <w:r>
        <w:rPr>
          <w:sz w:val="32"/>
          <w:szCs w:val="32"/>
        </w:rPr>
        <w:fldChar w:fldCharType="end"/>
      </w:r>
      <w:r>
        <w:rPr>
          <w:sz w:val="32"/>
          <w:szCs w:val="32"/>
        </w:rPr>
        <w:fldChar w:fldCharType="end"/>
      </w:r>
    </w:p>
    <w:p>
      <w:pPr>
        <w:rPr>
          <w:rFonts w:ascii="华文楷体" w:hAnsi="华文楷体" w:eastAsia="华文楷体"/>
          <w:sz w:val="32"/>
          <w:szCs w:val="32"/>
        </w:rPr>
        <w:sectPr>
          <w:footerReference r:id="rId3" w:type="default"/>
          <w:pgSz w:w="11906" w:h="16838"/>
          <w:pgMar w:top="1440" w:right="1800" w:bottom="1276" w:left="1800" w:header="851" w:footer="992" w:gutter="0"/>
          <w:pgNumType w:fmt="decimal"/>
          <w:cols w:space="425" w:num="1"/>
          <w:docGrid w:type="lines" w:linePitch="312" w:charSpace="0"/>
        </w:sectPr>
      </w:pPr>
      <w:r>
        <w:rPr>
          <w:rFonts w:ascii="华文楷体" w:hAnsi="华文楷体" w:eastAsia="华文楷体"/>
          <w:sz w:val="32"/>
          <w:szCs w:val="32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60" w:lineRule="exact"/>
        <w:ind w:leftChars="0" w:firstLine="560" w:firstLineChars="200"/>
        <w:textAlignment w:val="auto"/>
        <w:outlineLvl w:val="0"/>
        <w:rPr>
          <w:rFonts w:hint="eastAsia" w:ascii="黑体" w:hAnsi="黑体" w:eastAsia="黑体" w:cs="黑体"/>
          <w:b w:val="0"/>
          <w:bCs/>
          <w:sz w:val="28"/>
          <w:szCs w:val="28"/>
        </w:rPr>
      </w:pPr>
      <w:bookmarkStart w:id="1" w:name="_Toc294623522"/>
      <w:r>
        <w:rPr>
          <w:rFonts w:hint="eastAsia" w:ascii="黑体" w:hAnsi="黑体" w:eastAsia="黑体" w:cs="黑体"/>
          <w:b w:val="0"/>
          <w:bCs/>
          <w:sz w:val="28"/>
          <w:szCs w:val="28"/>
          <w:lang w:eastAsia="zh-CN"/>
        </w:rPr>
        <w:t>一、</w:t>
      </w:r>
      <w:r>
        <w:rPr>
          <w:rFonts w:hint="eastAsia" w:ascii="黑体" w:hAnsi="黑体" w:eastAsia="黑体" w:cs="黑体"/>
          <w:b w:val="0"/>
          <w:bCs/>
          <w:sz w:val="28"/>
          <w:szCs w:val="28"/>
        </w:rPr>
        <w:t>系统登录</w:t>
      </w:r>
      <w:bookmarkEnd w:id="1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4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USB-KEY的安装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1.1 请登录浙江省药品监督管理局的</w:t>
      </w:r>
      <w:r>
        <w:rPr>
          <w:rFonts w:hint="default" w:ascii="Times New Roman" w:hAnsi="Times New Roman" w:eastAsia="仿宋_GB2312" w:cs="Times New Roman"/>
          <w:sz w:val="32"/>
          <w:szCs w:val="32"/>
        </w:rPr>
        <w:fldChar w:fldCharType="begin"/>
      </w:r>
      <w:r>
        <w:rPr>
          <w:rFonts w:hint="default" w:ascii="Times New Roman" w:hAnsi="Times New Roman" w:eastAsia="仿宋_GB2312" w:cs="Times New Roman"/>
          <w:sz w:val="32"/>
          <w:szCs w:val="32"/>
        </w:rPr>
        <w:instrText xml:space="preserve"> HYPERLINK "http://www.zjfda.gov.cn/download/index.jsp" </w:instrText>
      </w:r>
      <w:r>
        <w:rPr>
          <w:rFonts w:hint="default" w:ascii="Times New Roman" w:hAnsi="Times New Roman" w:eastAsia="仿宋_GB2312" w:cs="Times New Roman"/>
          <w:sz w:val="32"/>
          <w:szCs w:val="32"/>
        </w:rPr>
        <w:fldChar w:fldCharType="separate"/>
      </w:r>
      <w:r>
        <w:rPr>
          <w:rStyle w:val="17"/>
          <w:rFonts w:hint="default" w:ascii="Times New Roman" w:hAnsi="Times New Roman" w:eastAsia="仿宋_GB2312" w:cs="Times New Roman"/>
          <w:sz w:val="32"/>
          <w:szCs w:val="32"/>
        </w:rPr>
        <w:t>下载区</w:t>
      </w:r>
      <w:r>
        <w:rPr>
          <w:rStyle w:val="17"/>
          <w:rFonts w:hint="default" w:ascii="Times New Roman" w:hAnsi="Times New Roman" w:eastAsia="仿宋_GB2312" w:cs="Times New Roman"/>
          <w:sz w:val="32"/>
          <w:szCs w:val="32"/>
        </w:rPr>
        <w:fldChar w:fldCharType="end"/>
      </w:r>
      <w:r>
        <w:rPr>
          <w:rFonts w:hint="default" w:ascii="Times New Roman" w:hAnsi="Times New Roman" w:eastAsia="仿宋_GB2312" w:cs="Times New Roman"/>
          <w:sz w:val="32"/>
          <w:szCs w:val="32"/>
        </w:rPr>
        <w:t>，将“省局应用系统身份识别卡驱动程序”下载到本地电脑，并双击运行（Udisk.exe）。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1.2 请将USB-KEY连接到电脑，系统会自动识别并安装，当看到如图1-1-1的提示时，就表示已经安装成功了。</w:t>
      </w:r>
    </w:p>
    <w:p>
      <w:pPr>
        <w:autoSpaceDE w:val="0"/>
        <w:autoSpaceDN w:val="0"/>
        <w:jc w:val="center"/>
        <w:rPr>
          <w:sz w:val="24"/>
        </w:rPr>
      </w:pPr>
      <w:r>
        <w:rPr>
          <w:sz w:val="24"/>
        </w:rPr>
        <w:drawing>
          <wp:inline distT="0" distB="0" distL="114300" distR="114300">
            <wp:extent cx="2325370" cy="933450"/>
            <wp:effectExtent l="0" t="0" r="17780" b="0"/>
            <wp:docPr id="57" name="图片 1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图片 1" descr="1-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2537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jc w:val="center"/>
        <w:rPr>
          <w:sz w:val="24"/>
        </w:rPr>
      </w:pPr>
      <w:r>
        <w:rPr>
          <w:rFonts w:hint="eastAsia"/>
          <w:sz w:val="24"/>
        </w:rPr>
        <w:t>图1-1-1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FF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FF0000"/>
          <w:sz w:val="32"/>
          <w:szCs w:val="32"/>
        </w:rPr>
        <w:t>注：以上操作步骤仅限于在从未使用过省局各业务系统的电脑上操作，如果是已经可以登录省局业务子系统（如行政审批系统、特殊药品监管系统等）之一的电脑，则也直接登录温湿度在线监管系统。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2、IE设置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2.1 确保您的IE浏览器版本在6.0以上。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2.2 打开IE浏览器，选择菜单栏上的“工具 → Internet选项 → 安全 → 可信站点”（如图1-2-1），然后单击“站点”按钮，在弹出窗口中将“对该区域中的所有站点要求服务器验（https:）（S）”项的勾去掉（如图1-2-2）。然后在“将该网站添加到区域”项中输入“</w:t>
      </w:r>
      <w:r>
        <w:rPr>
          <w:rFonts w:hint="default" w:ascii="Times New Roman" w:hAnsi="Times New Roman" w:eastAsia="仿宋_GB2312" w:cs="Times New Roman"/>
          <w:sz w:val="32"/>
          <w:szCs w:val="32"/>
        </w:rPr>
        <w:fldChar w:fldCharType="begin"/>
      </w:r>
      <w:r>
        <w:rPr>
          <w:rFonts w:hint="default" w:ascii="Times New Roman" w:hAnsi="Times New Roman" w:eastAsia="仿宋_GB2312" w:cs="Times New Roman"/>
          <w:sz w:val="32"/>
          <w:szCs w:val="32"/>
        </w:rPr>
        <w:instrText xml:space="preserve"> HYPERLINK "http://wsdjg.zjfda.gov.cn" </w:instrText>
      </w:r>
      <w:r>
        <w:rPr>
          <w:rFonts w:hint="default" w:ascii="Times New Roman" w:hAnsi="Times New Roman" w:eastAsia="仿宋_GB2312" w:cs="Times New Roman"/>
          <w:sz w:val="32"/>
          <w:szCs w:val="32"/>
        </w:rPr>
        <w:fldChar w:fldCharType="separate"/>
      </w:r>
      <w:r>
        <w:rPr>
          <w:rStyle w:val="17"/>
          <w:rFonts w:hint="default" w:ascii="Times New Roman" w:hAnsi="Times New Roman" w:eastAsia="仿宋_GB2312" w:cs="Times New Roman"/>
          <w:sz w:val="32"/>
          <w:szCs w:val="32"/>
        </w:rPr>
        <w:t>http://mpa.zjf.gov.cn</w:t>
      </w:r>
      <w:r>
        <w:rPr>
          <w:rStyle w:val="17"/>
          <w:rFonts w:hint="default" w:ascii="Times New Roman" w:hAnsi="Times New Roman" w:eastAsia="仿宋_GB2312" w:cs="Times New Roman"/>
          <w:sz w:val="32"/>
          <w:szCs w:val="32"/>
        </w:rPr>
        <w:fldChar w:fldCharType="end"/>
      </w:r>
      <w:r>
        <w:rPr>
          <w:rFonts w:hint="default" w:ascii="Times New Roman" w:hAnsi="Times New Roman" w:eastAsia="仿宋_GB2312" w:cs="Times New Roman"/>
          <w:sz w:val="32"/>
          <w:szCs w:val="32"/>
        </w:rPr>
        <w:t>”，并点击添加按钮。最后点击“关闭”和“确定”按钮直到退出属性设定界面。</w:t>
      </w:r>
    </w:p>
    <w:p>
      <w:pPr>
        <w:autoSpaceDE w:val="0"/>
        <w:autoSpaceDN w:val="0"/>
        <w:ind w:firstLine="480" w:firstLineChars="200"/>
        <w:rPr>
          <w:sz w:val="24"/>
        </w:rPr>
      </w:pPr>
    </w:p>
    <w:p>
      <w:pPr>
        <w:autoSpaceDE w:val="0"/>
        <w:autoSpaceDN w:val="0"/>
        <w:rPr>
          <w:sz w:val="24"/>
        </w:rPr>
      </w:pPr>
      <w:r>
        <w:rPr>
          <w:sz w:val="24"/>
        </w:rPr>
        <w:drawing>
          <wp:inline distT="0" distB="0" distL="114300" distR="114300">
            <wp:extent cx="2743200" cy="3054350"/>
            <wp:effectExtent l="0" t="0" r="0" b="12700"/>
            <wp:docPr id="8" name="图片 2" descr="2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" descr="2-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305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drawing>
          <wp:inline distT="0" distB="0" distL="114300" distR="114300">
            <wp:extent cx="2754630" cy="3020060"/>
            <wp:effectExtent l="0" t="0" r="7620" b="8890"/>
            <wp:docPr id="9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54630" cy="302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图1-2-1                             图1-2-2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3、登录系统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3.1 确保登录系统前，USB-KEY已连接至电脑。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3.2 在IE浏览器的地址栏中输入地址：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fldChar w:fldCharType="begin"/>
      </w:r>
      <w:r>
        <w:rPr>
          <w:rFonts w:hint="default" w:ascii="Times New Roman" w:hAnsi="Times New Roman" w:eastAsia="仿宋_GB2312" w:cs="Times New Roman"/>
          <w:sz w:val="32"/>
          <w:szCs w:val="32"/>
        </w:rPr>
        <w:instrText xml:space="preserve"> HYPERLINK "http://wsdjg.zjfda.gov.cn" </w:instrText>
      </w:r>
      <w:r>
        <w:rPr>
          <w:rFonts w:hint="default" w:ascii="Times New Roman" w:hAnsi="Times New Roman" w:eastAsia="仿宋_GB2312" w:cs="Times New Roman"/>
          <w:sz w:val="32"/>
          <w:szCs w:val="32"/>
        </w:rPr>
        <w:fldChar w:fldCharType="separate"/>
      </w:r>
      <w:r>
        <w:rPr>
          <w:rStyle w:val="17"/>
          <w:rFonts w:hint="default" w:ascii="Times New Roman" w:hAnsi="Times New Roman" w:eastAsia="仿宋_GB2312" w:cs="Times New Roman"/>
          <w:sz w:val="32"/>
          <w:szCs w:val="32"/>
        </w:rPr>
        <w:t>http://mpa.zjf.gov.cn</w:t>
      </w:r>
      <w:r>
        <w:rPr>
          <w:rStyle w:val="17"/>
          <w:rFonts w:hint="default" w:ascii="Times New Roman" w:hAnsi="Times New Roman" w:eastAsia="仿宋_GB2312" w:cs="Times New Roman"/>
          <w:sz w:val="32"/>
          <w:szCs w:val="32"/>
        </w:rPr>
        <w:fldChar w:fldCharType="end"/>
      </w:r>
      <w:r>
        <w:rPr>
          <w:rFonts w:hint="default" w:ascii="Times New Roman" w:hAnsi="Times New Roman" w:eastAsia="仿宋_GB2312" w:cs="Times New Roman"/>
          <w:sz w:val="32"/>
          <w:szCs w:val="32"/>
        </w:rPr>
        <w:t>，敲击回车键打开温湿度在线监管系统的登录页面。如果您已经正确安装了USB-KEY驱动，则系统会将USB-KEY中存储的用户名读出，并自动生成至用户名一栏，此时您只需要输入登录密码，单击“登录”按钮或敲击回车键便可登录系统了；如果您收到“读取U盘的程序不存在或出现错误！”的提示，则说明你未正确的安装USB-KEY的驱动，请参照本节《1、USB-KEY的安装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60" w:lineRule="exact"/>
        <w:ind w:firstLine="643" w:firstLineChars="200"/>
        <w:textAlignment w:val="auto"/>
        <w:outlineLvl w:val="0"/>
        <w:rPr>
          <w:rFonts w:hint="default" w:ascii="Times New Roman" w:hAnsi="Times New Roman" w:eastAsia="仿宋_GB2312" w:cs="Times New Roman"/>
          <w:b/>
          <w:sz w:val="32"/>
          <w:szCs w:val="32"/>
        </w:rPr>
      </w:pPr>
      <w:bookmarkStart w:id="2" w:name="_Toc294623523"/>
      <w:r>
        <w:rPr>
          <w:rFonts w:hint="default" w:ascii="Times New Roman" w:hAnsi="Times New Roman" w:eastAsia="仿宋_GB2312" w:cs="Times New Roman"/>
          <w:b/>
          <w:sz w:val="32"/>
          <w:szCs w:val="32"/>
          <w:lang w:eastAsia="zh-CN"/>
        </w:rPr>
        <w:t>二、</w:t>
      </w:r>
      <w:r>
        <w:rPr>
          <w:rFonts w:hint="default" w:ascii="Times New Roman" w:hAnsi="Times New Roman" w:eastAsia="仿宋_GB2312" w:cs="Times New Roman"/>
          <w:b/>
          <w:sz w:val="32"/>
          <w:szCs w:val="32"/>
        </w:rPr>
        <w:t>系统管理</w:t>
      </w:r>
      <w:bookmarkEnd w:id="2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1、修改密码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单击“修改密码”（如图2-1-1），可在“修改用户信息”页面中（如图2-2-1）修改密码及其相关信息。</w:t>
      </w:r>
    </w:p>
    <w:p>
      <w:pPr>
        <w:jc w:val="center"/>
        <w:rPr>
          <w:sz w:val="24"/>
        </w:rPr>
      </w:pPr>
      <w:r>
        <w:rPr>
          <w:sz w:val="24"/>
        </w:rPr>
        <w:drawing>
          <wp:inline distT="0" distB="0" distL="114300" distR="114300">
            <wp:extent cx="2058035" cy="1274445"/>
            <wp:effectExtent l="0" t="0" r="18415" b="1905"/>
            <wp:docPr id="10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58035" cy="127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sz w:val="24"/>
        </w:rPr>
      </w:pPr>
      <w:r>
        <w:rPr>
          <w:rFonts w:hint="eastAsia"/>
          <w:sz w:val="24"/>
        </w:rPr>
        <w:t>（图2-1-1）</w:t>
      </w:r>
    </w:p>
    <w:p>
      <w:pPr>
        <w:jc w:val="center"/>
        <w:rPr>
          <w:sz w:val="24"/>
        </w:rPr>
      </w:pPr>
      <w:r>
        <w:rPr>
          <w:sz w:val="24"/>
        </w:rPr>
        <w:drawing>
          <wp:inline distT="0" distB="0" distL="114300" distR="114300">
            <wp:extent cx="4732655" cy="1777365"/>
            <wp:effectExtent l="0" t="0" r="10795" b="13335"/>
            <wp:docPr id="2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32655" cy="177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sz w:val="24"/>
        </w:rPr>
      </w:pPr>
      <w:r>
        <w:rPr>
          <w:rFonts w:hint="eastAsia"/>
          <w:sz w:val="24"/>
        </w:rPr>
        <w:t>（图2-1-2）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2、企业开户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单击“系统管理”——“企业管理”（如图2-2-1），出现企</w:t>
      </w:r>
      <w:bookmarkStart w:id="9" w:name="_GoBack"/>
      <w:r>
        <w:rPr>
          <w:rFonts w:hint="default" w:ascii="Times New Roman" w:hAnsi="Times New Roman" w:eastAsia="仿宋_GB2312" w:cs="Times New Roman"/>
          <w:sz w:val="32"/>
          <w:szCs w:val="32"/>
        </w:rPr>
        <w:t>业信息界面（如图2-2-2），点击“图2-2-2”中的“</w:t>
      </w:r>
      <w:r>
        <w:rPr>
          <w:rFonts w:hint="default" w:ascii="Times New Roman" w:hAnsi="Times New Roman" w:eastAsia="仿宋_GB2312" w:cs="Times New Roman"/>
          <w:sz w:val="32"/>
          <w:szCs w:val="32"/>
        </w:rPr>
        <w:drawing>
          <wp:inline distT="0" distB="0" distL="114300" distR="114300">
            <wp:extent cx="824865" cy="257810"/>
            <wp:effectExtent l="0" t="0" r="13335" b="8890"/>
            <wp:docPr id="5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图片 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24865" cy="25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仿宋_GB2312" w:cs="Times New Roman"/>
          <w:sz w:val="32"/>
          <w:szCs w:val="32"/>
        </w:rPr>
        <w:t>”</w:t>
      </w:r>
      <w:bookmarkEnd w:id="9"/>
      <w:r>
        <w:rPr>
          <w:rFonts w:hint="default" w:ascii="Times New Roman" w:hAnsi="Times New Roman" w:eastAsia="仿宋_GB2312" w:cs="Times New Roman"/>
          <w:sz w:val="32"/>
          <w:szCs w:val="32"/>
        </w:rPr>
        <w:t>按钮，填入相关信息点击“</w:t>
      </w:r>
      <w:r>
        <w:rPr>
          <w:rFonts w:hint="default" w:ascii="Times New Roman" w:hAnsi="Times New Roman" w:eastAsia="仿宋_GB2312" w:cs="Times New Roman"/>
          <w:sz w:val="32"/>
          <w:szCs w:val="32"/>
        </w:rPr>
        <w:drawing>
          <wp:inline distT="0" distB="0" distL="114300" distR="114300">
            <wp:extent cx="657225" cy="235585"/>
            <wp:effectExtent l="0" t="0" r="9525" b="12065"/>
            <wp:docPr id="55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图片 7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23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仿宋_GB2312" w:cs="Times New Roman"/>
          <w:sz w:val="32"/>
          <w:szCs w:val="32"/>
        </w:rPr>
        <w:t>”，经省局信息服务中心备案审核后，系统自动向企业端发送64位上报码的消息，企业登陆企业端（apply.zjfda.gov.cn）后即可查看（如图2-2-4、图2-2-5、图2-2-6）。</w:t>
      </w:r>
    </w:p>
    <w:p>
      <w:pPr>
        <w:jc w:val="center"/>
        <w:rPr>
          <w:sz w:val="24"/>
        </w:rPr>
      </w:pPr>
      <w:r>
        <w:rPr>
          <w:sz w:val="24"/>
        </w:rPr>
        <w:drawing>
          <wp:inline distT="0" distB="0" distL="114300" distR="114300">
            <wp:extent cx="1811655" cy="1136650"/>
            <wp:effectExtent l="0" t="0" r="17145" b="6350"/>
            <wp:docPr id="54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图片 8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11655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sz w:val="24"/>
        </w:rPr>
      </w:pPr>
      <w:r>
        <w:rPr>
          <w:rFonts w:hint="eastAsia"/>
          <w:sz w:val="24"/>
        </w:rPr>
        <w:t>图2-2-1</w:t>
      </w:r>
    </w:p>
    <w:p>
      <w:pPr>
        <w:jc w:val="center"/>
        <w:rPr>
          <w:sz w:val="24"/>
        </w:rPr>
      </w:pPr>
      <w:r>
        <w:rPr>
          <w:sz w:val="24"/>
        </w:rPr>
        <w:drawing>
          <wp:inline distT="0" distB="0" distL="114300" distR="114300">
            <wp:extent cx="5621655" cy="1826260"/>
            <wp:effectExtent l="0" t="0" r="17145" b="2540"/>
            <wp:docPr id="16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9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21655" cy="182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sz w:val="24"/>
        </w:rPr>
      </w:pPr>
      <w:r>
        <w:rPr>
          <w:rFonts w:hint="eastAsia"/>
          <w:sz w:val="24"/>
        </w:rPr>
        <w:t>图2-2-2</w:t>
      </w:r>
    </w:p>
    <w:p>
      <w:pPr>
        <w:jc w:val="center"/>
        <w:rPr>
          <w:sz w:val="24"/>
        </w:rPr>
      </w:pPr>
      <w:r>
        <w:rPr>
          <w:sz w:val="24"/>
        </w:rPr>
        <w:drawing>
          <wp:inline distT="0" distB="0" distL="114300" distR="114300">
            <wp:extent cx="5685790" cy="2023745"/>
            <wp:effectExtent l="0" t="0" r="10160" b="14605"/>
            <wp:docPr id="14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0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685790" cy="202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sz w:val="24"/>
        </w:rPr>
      </w:pPr>
      <w:r>
        <w:rPr>
          <w:rFonts w:hint="eastAsia"/>
          <w:sz w:val="24"/>
        </w:rPr>
        <w:t>图2-2-3</w:t>
      </w:r>
    </w:p>
    <w:p>
      <w:pPr>
        <w:widowControl/>
        <w:jc w:val="center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drawing>
          <wp:inline distT="0" distB="0" distL="114300" distR="114300">
            <wp:extent cx="5702935" cy="2030095"/>
            <wp:effectExtent l="0" t="0" r="12065" b="8255"/>
            <wp:docPr id="27" name="图片 11" descr="C:\Program Files\Tencent\QQ\Users\4377987\Image\YL6~`@3W(CWYJ}A2}S`SQ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11" descr="C:\Program Files\Tencent\QQ\Users\4377987\Image\YL6~`@3W(CWYJ}A2}S`SQ40.jpg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02935" cy="203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center"/>
        <w:rPr>
          <w:rFonts w:ascii="宋体" w:hAnsi="宋体" w:cs="宋体"/>
          <w:kern w:val="0"/>
          <w:sz w:val="24"/>
        </w:rPr>
      </w:pPr>
      <w:r>
        <w:rPr>
          <w:rFonts w:hint="eastAsia"/>
          <w:sz w:val="24"/>
        </w:rPr>
        <w:t>图2-2-4</w:t>
      </w:r>
    </w:p>
    <w:p>
      <w:pPr>
        <w:widowControl/>
        <w:jc w:val="center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drawing>
          <wp:inline distT="0" distB="0" distL="114300" distR="114300">
            <wp:extent cx="5593715" cy="1680210"/>
            <wp:effectExtent l="0" t="0" r="6985" b="15240"/>
            <wp:docPr id="28" name="图片 12" descr="C:\Program Files\Tencent\QQ\Users\4377987\Image\3R@3Y~537IJ8CHJC6PHG~9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12" descr="C:\Program Files\Tencent\QQ\Users\4377987\Image\3R@3Y~537IJ8CHJC6PHG~9D.jpg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593715" cy="168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color w:val="FF0000"/>
          <w:sz w:val="24"/>
        </w:rPr>
      </w:pPr>
      <w:r>
        <w:rPr>
          <w:rFonts w:hint="eastAsia"/>
          <w:sz w:val="24"/>
        </w:rPr>
        <w:t>图2-2-5</w:t>
      </w:r>
    </w:p>
    <w:p>
      <w:pPr>
        <w:widowControl/>
        <w:jc w:val="center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drawing>
          <wp:inline distT="0" distB="0" distL="114300" distR="114300">
            <wp:extent cx="5699760" cy="1764665"/>
            <wp:effectExtent l="0" t="0" r="15240" b="6985"/>
            <wp:docPr id="29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13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699760" cy="176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 w:ascii="Times New Roman" w:hAnsi="Times New Roman" w:eastAsia="仿宋_GB2312" w:cs="Times New Roman"/>
          <w:color w:val="FF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图2-2-6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FF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FF0000"/>
          <w:sz w:val="32"/>
          <w:szCs w:val="32"/>
        </w:rPr>
        <w:t>注：1、非市县管理员无开户权限。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-20" w:leftChars="0" w:firstLine="1280" w:firstLineChars="0"/>
        <w:textAlignment w:val="auto"/>
        <w:rPr>
          <w:rFonts w:hint="default" w:ascii="Times New Roman" w:hAnsi="Times New Roman" w:eastAsia="仿宋_GB2312" w:cs="Times New Roman"/>
          <w:color w:val="FF0000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FF0000"/>
          <w:spacing w:val="0"/>
          <w:sz w:val="32"/>
          <w:szCs w:val="32"/>
        </w:rPr>
        <w:t>市县根据材料录入后，把材料邮寄省局信息中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default" w:ascii="Times New Roman" w:hAnsi="Times New Roman" w:eastAsia="仿宋_GB2312" w:cs="Times New Roman"/>
          <w:color w:val="FF0000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FF0000"/>
          <w:spacing w:val="0"/>
          <w:sz w:val="32"/>
          <w:szCs w:val="32"/>
          <w:lang w:val="en-US" w:eastAsia="zh-CN"/>
        </w:rPr>
        <w:t xml:space="preserve">           </w:t>
      </w:r>
      <w:r>
        <w:rPr>
          <w:rFonts w:hint="default" w:ascii="Times New Roman" w:hAnsi="Times New Roman" w:eastAsia="仿宋_GB2312" w:cs="Times New Roman"/>
          <w:color w:val="FF0000"/>
          <w:spacing w:val="0"/>
          <w:sz w:val="32"/>
          <w:szCs w:val="32"/>
        </w:rPr>
        <w:t>心备案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3、登录日志管理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单击“登录日志管理”（图2-3-1），进入页面查看市、县局的登录情况（图2-3-2），可通过地区和时间进行查询。</w:t>
      </w:r>
    </w:p>
    <w:p>
      <w:pPr>
        <w:jc w:val="center"/>
        <w:rPr>
          <w:sz w:val="24"/>
        </w:rPr>
      </w:pPr>
      <w:r>
        <w:rPr>
          <w:sz w:val="24"/>
        </w:rPr>
        <w:drawing>
          <wp:inline distT="0" distB="0" distL="114300" distR="114300">
            <wp:extent cx="1600200" cy="1000760"/>
            <wp:effectExtent l="0" t="0" r="0" b="8890"/>
            <wp:docPr id="30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14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00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sz w:val="24"/>
        </w:rPr>
      </w:pPr>
      <w:r>
        <w:rPr>
          <w:rFonts w:hint="eastAsia"/>
          <w:sz w:val="24"/>
        </w:rPr>
        <w:t>图2-3-1</w:t>
      </w:r>
    </w:p>
    <w:p>
      <w:pPr>
        <w:jc w:val="center"/>
        <w:rPr>
          <w:sz w:val="24"/>
        </w:rPr>
      </w:pPr>
      <w:r>
        <w:rPr>
          <w:sz w:val="24"/>
        </w:rPr>
        <w:drawing>
          <wp:inline distT="0" distB="0" distL="114300" distR="114300">
            <wp:extent cx="5539740" cy="1702435"/>
            <wp:effectExtent l="0" t="0" r="3810" b="12065"/>
            <wp:docPr id="31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15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539740" cy="170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sz w:val="24"/>
        </w:rPr>
      </w:pPr>
      <w:r>
        <w:rPr>
          <w:rFonts w:hint="eastAsia"/>
          <w:sz w:val="24"/>
        </w:rPr>
        <w:t>图2-3-2</w:t>
      </w:r>
    </w:p>
    <w:p>
      <w:pPr>
        <w:numPr>
          <w:ilvl w:val="0"/>
          <w:numId w:val="0"/>
        </w:numPr>
        <w:autoSpaceDE w:val="0"/>
        <w:autoSpaceDN w:val="0"/>
        <w:ind w:left="360" w:leftChars="0"/>
        <w:outlineLvl w:val="0"/>
        <w:rPr>
          <w:rFonts w:hint="eastAsia"/>
          <w:b/>
          <w:sz w:val="28"/>
          <w:szCs w:val="28"/>
          <w:lang w:eastAsia="zh-CN"/>
        </w:rPr>
      </w:pPr>
      <w:bookmarkStart w:id="3" w:name="_Toc294623524"/>
    </w:p>
    <w:p>
      <w:pPr>
        <w:numPr>
          <w:ilvl w:val="0"/>
          <w:numId w:val="0"/>
        </w:numPr>
        <w:autoSpaceDE w:val="0"/>
        <w:autoSpaceDN w:val="0"/>
        <w:ind w:left="360" w:leftChars="0"/>
        <w:outlineLvl w:val="0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三、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设备报停</w:t>
      </w:r>
      <w:bookmarkEnd w:id="3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1、单击“监控设备审核”，出现“温湿度设备报停申请”，找到需报停的企业，点击“</w:t>
      </w:r>
      <w:r>
        <w:rPr>
          <w:rFonts w:hint="default" w:ascii="Times New Roman" w:hAnsi="Times New Roman" w:eastAsia="仿宋_GB2312" w:cs="Times New Roman"/>
          <w:sz w:val="32"/>
          <w:szCs w:val="32"/>
        </w:rPr>
        <w:drawing>
          <wp:inline distT="0" distB="0" distL="114300" distR="114300">
            <wp:extent cx="202565" cy="213995"/>
            <wp:effectExtent l="0" t="0" r="6985" b="14605"/>
            <wp:docPr id="24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16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02565" cy="21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仿宋_GB2312" w:cs="Times New Roman"/>
          <w:sz w:val="32"/>
          <w:szCs w:val="32"/>
        </w:rPr>
        <w:t>”按钮（图3-1-2），查看报停信息（图3-1-3），同意报停的点击“</w:t>
      </w:r>
      <w:r>
        <w:rPr>
          <w:rFonts w:hint="default" w:ascii="Times New Roman" w:hAnsi="Times New Roman" w:eastAsia="仿宋_GB2312" w:cs="Times New Roman"/>
          <w:sz w:val="32"/>
          <w:szCs w:val="32"/>
        </w:rPr>
        <w:drawing>
          <wp:inline distT="0" distB="0" distL="114300" distR="114300">
            <wp:extent cx="569595" cy="208280"/>
            <wp:effectExtent l="0" t="0" r="1905" b="1270"/>
            <wp:docPr id="19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7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69595" cy="20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仿宋_GB2312" w:cs="Times New Roman"/>
          <w:sz w:val="32"/>
          <w:szCs w:val="32"/>
        </w:rPr>
        <w:t>”，不同意报停的点击“</w:t>
      </w:r>
      <w:r>
        <w:rPr>
          <w:rFonts w:hint="default" w:ascii="Times New Roman" w:hAnsi="Times New Roman" w:eastAsia="仿宋_GB2312" w:cs="Times New Roman"/>
          <w:sz w:val="32"/>
          <w:szCs w:val="32"/>
        </w:rPr>
        <w:drawing>
          <wp:inline distT="0" distB="0" distL="114300" distR="114300">
            <wp:extent cx="569595" cy="169545"/>
            <wp:effectExtent l="0" t="0" r="1905" b="1905"/>
            <wp:docPr id="15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8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69595" cy="16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仿宋_GB2312" w:cs="Times New Roman"/>
          <w:sz w:val="32"/>
          <w:szCs w:val="32"/>
        </w:rPr>
        <w:t>”。</w:t>
      </w:r>
    </w:p>
    <w:p>
      <w:pPr>
        <w:jc w:val="center"/>
        <w:rPr>
          <w:sz w:val="24"/>
        </w:rPr>
      </w:pPr>
      <w:r>
        <w:rPr>
          <w:sz w:val="24"/>
        </w:rPr>
        <w:drawing>
          <wp:inline distT="0" distB="0" distL="114300" distR="114300">
            <wp:extent cx="1201420" cy="1429385"/>
            <wp:effectExtent l="0" t="0" r="17780" b="18415"/>
            <wp:docPr id="11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9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201420" cy="142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sz w:val="24"/>
        </w:rPr>
      </w:pPr>
      <w:r>
        <w:rPr>
          <w:rFonts w:hint="eastAsia"/>
          <w:sz w:val="24"/>
        </w:rPr>
        <w:t>图3-1-1</w:t>
      </w:r>
    </w:p>
    <w:p>
      <w:pPr>
        <w:jc w:val="center"/>
        <w:rPr>
          <w:sz w:val="24"/>
        </w:rPr>
      </w:pPr>
      <w:r>
        <w:rPr>
          <w:sz w:val="24"/>
        </w:rPr>
        <w:drawing>
          <wp:inline distT="0" distB="0" distL="114300" distR="114300">
            <wp:extent cx="5678805" cy="1812290"/>
            <wp:effectExtent l="0" t="0" r="17145" b="1651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678805" cy="181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sz w:val="24"/>
        </w:rPr>
      </w:pPr>
      <w:r>
        <w:rPr>
          <w:rFonts w:hint="eastAsia"/>
          <w:sz w:val="24"/>
        </w:rPr>
        <w:t>图3-1-2</w:t>
      </w:r>
    </w:p>
    <w:p>
      <w:pPr>
        <w:jc w:val="center"/>
        <w:rPr>
          <w:sz w:val="24"/>
        </w:rPr>
      </w:pPr>
      <w:r>
        <w:rPr>
          <w:sz w:val="24"/>
        </w:rPr>
        <w:drawing>
          <wp:inline distT="0" distB="0" distL="114300" distR="114300">
            <wp:extent cx="5654040" cy="1915795"/>
            <wp:effectExtent l="0" t="0" r="3810" b="8255"/>
            <wp:docPr id="17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21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654040" cy="191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sz w:val="24"/>
        </w:rPr>
      </w:pPr>
      <w:r>
        <w:rPr>
          <w:rFonts w:hint="eastAsia"/>
          <w:sz w:val="24"/>
        </w:rPr>
        <w:t>图3-1-3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FF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FF0000"/>
          <w:sz w:val="32"/>
          <w:szCs w:val="32"/>
        </w:rPr>
        <w:t>注：“设备报停”是根据企业的报停信息，由市、县有审核权限的人员进行审核，审核通过的，在企业报停时间不监测数据。审核不通过的，（该权限只能由市、县局管理员进行分配），企业设备需要正常上报数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60" w:lineRule="exact"/>
        <w:textAlignment w:val="auto"/>
        <w:rPr>
          <w:rFonts w:hint="default" w:ascii="Times New Roman" w:hAnsi="Times New Roman" w:eastAsia="仿宋_GB2312" w:cs="Times New Roman"/>
          <w:color w:val="FF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60" w:lineRule="exact"/>
        <w:ind w:firstLine="640" w:firstLineChars="200"/>
        <w:textAlignment w:val="auto"/>
        <w:outlineLvl w:val="0"/>
        <w:rPr>
          <w:rFonts w:hint="eastAsia" w:ascii="黑体" w:hAnsi="黑体" w:eastAsia="黑体" w:cs="黑体"/>
          <w:b w:val="0"/>
          <w:bCs/>
          <w:sz w:val="32"/>
          <w:szCs w:val="32"/>
        </w:rPr>
      </w:pPr>
      <w:bookmarkStart w:id="4" w:name="_Toc294623525"/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四、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整改通知书</w:t>
      </w:r>
      <w:bookmarkEnd w:id="4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1、单击“整改通知审核”（图4-1-1），进入“温湿度整改通知书信息”页面（图4-1-2），通过查询即可查看“状态”（</w:t>
      </w:r>
      <w:r>
        <w:rPr>
          <w:rFonts w:hint="default" w:ascii="Times New Roman" w:hAnsi="Times New Roman" w:eastAsia="仿宋_GB2312" w:cs="Times New Roman"/>
          <w:color w:val="FF0000"/>
          <w:sz w:val="32"/>
          <w:szCs w:val="32"/>
        </w:rPr>
        <w:t>未接收、已接收、已反馈、已撤回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），点击“</w:t>
      </w:r>
      <w:r>
        <w:rPr>
          <w:rFonts w:hint="default" w:ascii="Times New Roman" w:hAnsi="Times New Roman" w:eastAsia="仿宋_GB2312" w:cs="Times New Roman"/>
          <w:sz w:val="32"/>
          <w:szCs w:val="32"/>
        </w:rPr>
        <w:drawing>
          <wp:inline distT="0" distB="0" distL="114300" distR="114300">
            <wp:extent cx="229235" cy="209550"/>
            <wp:effectExtent l="0" t="0" r="18415" b="0"/>
            <wp:docPr id="1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22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2923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仿宋_GB2312" w:cs="Times New Roman"/>
          <w:sz w:val="32"/>
          <w:szCs w:val="32"/>
        </w:rPr>
        <w:t>”按钮（图4-1-2），查看整改通知书信息（图4-1-3）。</w:t>
      </w:r>
    </w:p>
    <w:p>
      <w:pPr>
        <w:jc w:val="center"/>
        <w:rPr>
          <w:sz w:val="24"/>
        </w:rPr>
      </w:pPr>
      <w:r>
        <w:rPr>
          <w:sz w:val="24"/>
        </w:rPr>
        <w:drawing>
          <wp:inline distT="0" distB="0" distL="114300" distR="114300">
            <wp:extent cx="1676400" cy="1084580"/>
            <wp:effectExtent l="0" t="0" r="0" b="1270"/>
            <wp:docPr id="21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3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08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sz w:val="24"/>
        </w:rPr>
      </w:pPr>
      <w:r>
        <w:rPr>
          <w:rFonts w:hint="eastAsia"/>
          <w:sz w:val="24"/>
        </w:rPr>
        <w:t>图4-1-1</w:t>
      </w:r>
    </w:p>
    <w:p>
      <w:pPr>
        <w:jc w:val="center"/>
        <w:rPr>
          <w:sz w:val="24"/>
        </w:rPr>
      </w:pPr>
      <w:r>
        <w:rPr>
          <w:sz w:val="24"/>
        </w:rPr>
        <w:drawing>
          <wp:inline distT="0" distB="0" distL="114300" distR="114300">
            <wp:extent cx="5538470" cy="1558925"/>
            <wp:effectExtent l="0" t="0" r="5080" b="3175"/>
            <wp:docPr id="25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4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538470" cy="155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sz w:val="24"/>
        </w:rPr>
      </w:pPr>
      <w:r>
        <w:rPr>
          <w:rFonts w:hint="eastAsia"/>
          <w:sz w:val="24"/>
        </w:rPr>
        <w:t>图4-1-2</w:t>
      </w:r>
    </w:p>
    <w:p>
      <w:pPr>
        <w:jc w:val="center"/>
        <w:rPr>
          <w:sz w:val="24"/>
        </w:rPr>
      </w:pPr>
      <w:r>
        <w:rPr>
          <w:sz w:val="24"/>
        </w:rPr>
        <w:drawing>
          <wp:inline distT="0" distB="0" distL="114300" distR="114300">
            <wp:extent cx="5600700" cy="2613025"/>
            <wp:effectExtent l="0" t="0" r="0" b="15875"/>
            <wp:docPr id="32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25"/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261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图4-1-3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FF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注：连续6次超标，系统自动发送提醒短信给企业联系人；连续8次超标，系统自动发送提醒短信与《整改通知书》给企业。企业进入企业端进行接收确认并打印处理，企业端的操作状态在局端可通过搜索状态来查看。《整改通知书》在发送30天内的都可以撤回（撤回后对企业的信用不会有影响，由市、县局有权限的人员操作，该权限由市、县局管理员进行分配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60" w:lineRule="exact"/>
        <w:ind w:firstLine="643" w:firstLineChars="200"/>
        <w:textAlignment w:val="auto"/>
        <w:outlineLvl w:val="0"/>
        <w:rPr>
          <w:rFonts w:hint="eastAsia" w:ascii="仿宋_GB2312" w:hAnsi="仿宋_GB2312" w:eastAsia="仿宋_GB2312" w:cs="仿宋_GB2312"/>
          <w:b/>
          <w:sz w:val="32"/>
          <w:szCs w:val="32"/>
        </w:rPr>
      </w:pPr>
      <w:bookmarkStart w:id="5" w:name="_Toc294623526"/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五、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冷链上报</w:t>
      </w:r>
      <w:bookmarkEnd w:id="5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1、单击“冷链上报情况”（图5-1-1），进入“冷链上报情况”页面（图5-1-2），点击“</w:t>
      </w:r>
      <w:r>
        <w:rPr>
          <w:rFonts w:hint="eastAsia" w:ascii="仿宋_GB2312" w:hAnsi="仿宋_GB2312" w:eastAsia="仿宋_GB2312" w:cs="仿宋_GB2312"/>
          <w:sz w:val="32"/>
          <w:szCs w:val="32"/>
        </w:rPr>
        <w:drawing>
          <wp:inline distT="0" distB="0" distL="114300" distR="114300">
            <wp:extent cx="226695" cy="211455"/>
            <wp:effectExtent l="0" t="0" r="1905" b="17145"/>
            <wp:docPr id="33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26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26695" cy="21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hAnsi="仿宋_GB2312" w:eastAsia="仿宋_GB2312" w:cs="仿宋_GB2312"/>
          <w:sz w:val="32"/>
          <w:szCs w:val="32"/>
        </w:rPr>
        <w:t>”按钮，进入“温湿度超标情况”页面（图6-1-3）查看冷藏车温湿度情况。</w:t>
      </w:r>
    </w:p>
    <w:p>
      <w:pPr>
        <w:jc w:val="center"/>
        <w:rPr>
          <w:sz w:val="24"/>
        </w:rPr>
      </w:pPr>
      <w:r>
        <w:rPr>
          <w:rFonts w:hint="eastAsia"/>
          <w:sz w:val="24"/>
        </w:rPr>
        <w:drawing>
          <wp:inline distT="0" distB="0" distL="114300" distR="114300">
            <wp:extent cx="1530985" cy="1682115"/>
            <wp:effectExtent l="0" t="0" r="12065" b="13335"/>
            <wp:docPr id="34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27"/>
                    <pic:cNvPicPr>
                      <a:picLocks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530985" cy="168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sz w:val="24"/>
        </w:rPr>
      </w:pPr>
      <w:r>
        <w:rPr>
          <w:rFonts w:hint="eastAsia"/>
          <w:sz w:val="24"/>
        </w:rPr>
        <w:t>图5-1-1</w:t>
      </w:r>
    </w:p>
    <w:p>
      <w:pPr>
        <w:jc w:val="center"/>
        <w:rPr>
          <w:sz w:val="24"/>
        </w:rPr>
      </w:pPr>
      <w:r>
        <w:rPr>
          <w:rFonts w:hint="eastAsia"/>
          <w:sz w:val="24"/>
        </w:rPr>
        <w:drawing>
          <wp:inline distT="0" distB="0" distL="114300" distR="114300">
            <wp:extent cx="5544185" cy="1847850"/>
            <wp:effectExtent l="0" t="0" r="18415" b="0"/>
            <wp:docPr id="35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28"/>
                    <pic:cNvPicPr>
                      <a:picLocks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54418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sz w:val="24"/>
        </w:rPr>
      </w:pPr>
      <w:r>
        <w:rPr>
          <w:rFonts w:hint="eastAsia"/>
          <w:sz w:val="24"/>
        </w:rPr>
        <w:t>图5-1-2</w:t>
      </w:r>
    </w:p>
    <w:p>
      <w:pPr>
        <w:jc w:val="center"/>
        <w:rPr>
          <w:sz w:val="24"/>
        </w:rPr>
      </w:pPr>
      <w:r>
        <w:rPr>
          <w:rFonts w:hint="eastAsia"/>
          <w:sz w:val="24"/>
        </w:rPr>
        <w:drawing>
          <wp:inline distT="0" distB="0" distL="114300" distR="114300">
            <wp:extent cx="5539105" cy="2000250"/>
            <wp:effectExtent l="0" t="0" r="4445" b="0"/>
            <wp:docPr id="23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9"/>
                    <pic:cNvPicPr>
                      <a:picLocks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53910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sz w:val="24"/>
        </w:rPr>
      </w:pPr>
      <w:r>
        <w:rPr>
          <w:rFonts w:hint="eastAsia"/>
          <w:sz w:val="24"/>
        </w:rPr>
        <w:t>图5-1-3</w:t>
      </w:r>
    </w:p>
    <w:p>
      <w:pPr>
        <w:ind w:firstLine="480" w:firstLineChars="200"/>
        <w:rPr>
          <w:color w:val="FF0000"/>
          <w:sz w:val="24"/>
        </w:rPr>
      </w:pPr>
    </w:p>
    <w:p>
      <w:pPr>
        <w:ind w:firstLine="480" w:firstLineChars="200"/>
        <w:rPr>
          <w:color w:val="FF0000"/>
          <w:sz w:val="24"/>
        </w:rPr>
      </w:pPr>
    </w:p>
    <w:p>
      <w:pPr>
        <w:ind w:firstLine="480" w:firstLineChars="200"/>
        <w:rPr>
          <w:color w:val="FF0000"/>
          <w:sz w:val="24"/>
        </w:rPr>
      </w:pPr>
    </w:p>
    <w:p>
      <w:pPr>
        <w:numPr>
          <w:ilvl w:val="0"/>
          <w:numId w:val="0"/>
        </w:numPr>
        <w:autoSpaceDE w:val="0"/>
        <w:autoSpaceDN w:val="0"/>
        <w:ind w:left="360" w:leftChars="0"/>
        <w:outlineLvl w:val="0"/>
        <w:rPr>
          <w:rFonts w:hint="eastAsia"/>
          <w:b/>
          <w:sz w:val="28"/>
          <w:szCs w:val="28"/>
          <w:lang w:eastAsia="zh-CN"/>
        </w:rPr>
      </w:pPr>
      <w:bookmarkStart w:id="6" w:name="_Toc294623527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60" w:lineRule="exact"/>
        <w:ind w:firstLine="640" w:firstLineChars="200"/>
        <w:textAlignment w:val="auto"/>
        <w:outlineLvl w:val="0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六、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上传监控点布局图</w:t>
      </w:r>
      <w:bookmarkEnd w:id="6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1、单击“上传监控点布局图”（图6-1-1），进入“上传企业温湿度设备布局图”页面（图6-1-2），点击“</w:t>
      </w:r>
      <w:r>
        <w:rPr>
          <w:rFonts w:hint="default" w:ascii="Times New Roman" w:hAnsi="Times New Roman" w:eastAsia="仿宋_GB2312" w:cs="Times New Roman"/>
          <w:sz w:val="32"/>
          <w:szCs w:val="32"/>
        </w:rPr>
        <w:drawing>
          <wp:inline distT="0" distB="0" distL="114300" distR="114300">
            <wp:extent cx="293370" cy="276225"/>
            <wp:effectExtent l="0" t="0" r="11430" b="9525"/>
            <wp:docPr id="22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30"/>
                    <pic:cNvPicPr>
                      <a:picLocks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29337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仿宋_GB2312" w:cs="Times New Roman"/>
          <w:sz w:val="32"/>
          <w:szCs w:val="32"/>
        </w:rPr>
        <w:t>”按钮，进入上传页面（图6-1-3），点击“</w:t>
      </w:r>
      <w:r>
        <w:rPr>
          <w:rFonts w:hint="default" w:ascii="Times New Roman" w:hAnsi="Times New Roman" w:eastAsia="仿宋_GB2312" w:cs="Times New Roman"/>
          <w:sz w:val="32"/>
          <w:szCs w:val="32"/>
        </w:rPr>
        <w:drawing>
          <wp:inline distT="0" distB="0" distL="114300" distR="114300">
            <wp:extent cx="864870" cy="233680"/>
            <wp:effectExtent l="0" t="0" r="11430" b="13970"/>
            <wp:docPr id="36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31"/>
                    <pic:cNvPicPr>
                      <a:picLocks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86487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仿宋_GB2312" w:cs="Times New Roman"/>
          <w:sz w:val="32"/>
          <w:szCs w:val="32"/>
        </w:rPr>
        <w:t>”按钮，选择需上传的图片文件，再点击“</w:t>
      </w:r>
      <w:r>
        <w:rPr>
          <w:rFonts w:hint="default" w:ascii="Times New Roman" w:hAnsi="Times New Roman" w:eastAsia="仿宋_GB2312" w:cs="Times New Roman"/>
          <w:sz w:val="32"/>
          <w:szCs w:val="32"/>
        </w:rPr>
        <w:drawing>
          <wp:inline distT="0" distB="0" distL="114300" distR="114300">
            <wp:extent cx="455295" cy="278765"/>
            <wp:effectExtent l="0" t="0" r="1905" b="6985"/>
            <wp:docPr id="37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32"/>
                    <pic:cNvPicPr>
                      <a:picLocks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455295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仿宋_GB2312" w:cs="Times New Roman"/>
          <w:sz w:val="32"/>
          <w:szCs w:val="32"/>
        </w:rPr>
        <w:t>”。</w:t>
      </w:r>
    </w:p>
    <w:p>
      <w:pPr>
        <w:jc w:val="center"/>
        <w:rPr>
          <w:sz w:val="24"/>
        </w:rPr>
      </w:pPr>
      <w:r>
        <w:rPr>
          <w:sz w:val="24"/>
        </w:rPr>
        <w:drawing>
          <wp:inline distT="0" distB="0" distL="114300" distR="114300">
            <wp:extent cx="1552575" cy="1524635"/>
            <wp:effectExtent l="0" t="0" r="9525" b="18415"/>
            <wp:docPr id="40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33"/>
                    <pic:cNvPicPr>
                      <a:picLocks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52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sz w:val="24"/>
        </w:rPr>
      </w:pPr>
      <w:r>
        <w:rPr>
          <w:rFonts w:hint="eastAsia"/>
          <w:sz w:val="24"/>
        </w:rPr>
        <w:t>图6-1-1</w:t>
      </w:r>
    </w:p>
    <w:p>
      <w:pPr>
        <w:jc w:val="center"/>
        <w:rPr>
          <w:sz w:val="24"/>
        </w:rPr>
      </w:pPr>
      <w:r>
        <w:rPr>
          <w:sz w:val="24"/>
        </w:rPr>
        <w:drawing>
          <wp:inline distT="0" distB="0" distL="114300" distR="114300">
            <wp:extent cx="5662930" cy="1988820"/>
            <wp:effectExtent l="0" t="0" r="13970" b="11430"/>
            <wp:docPr id="41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34"/>
                    <pic:cNvPicPr>
                      <a:picLocks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5662930" cy="198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sz w:val="24"/>
        </w:rPr>
      </w:pPr>
      <w:r>
        <w:rPr>
          <w:rFonts w:hint="eastAsia"/>
          <w:sz w:val="24"/>
        </w:rPr>
        <w:t>图6-1-2</w:t>
      </w:r>
    </w:p>
    <w:p>
      <w:pPr>
        <w:jc w:val="center"/>
        <w:rPr>
          <w:sz w:val="24"/>
        </w:rPr>
      </w:pPr>
      <w:r>
        <w:rPr>
          <w:sz w:val="24"/>
        </w:rPr>
        <w:drawing>
          <wp:inline distT="0" distB="0" distL="114300" distR="114300">
            <wp:extent cx="5678170" cy="1889760"/>
            <wp:effectExtent l="0" t="0" r="17780" b="15240"/>
            <wp:docPr id="42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35"/>
                    <pic:cNvPicPr>
                      <a:picLocks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5678170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图6-1-3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FF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FF0000"/>
          <w:sz w:val="32"/>
          <w:szCs w:val="32"/>
        </w:rPr>
        <w:t>注：须上传的监控点布局图，请市、县局操作人员审核通过后，再将图片上传到系统中。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FF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60" w:lineRule="exact"/>
        <w:ind w:left="360" w:leftChars="0" w:firstLine="643" w:firstLineChars="200"/>
        <w:textAlignment w:val="auto"/>
        <w:outlineLvl w:val="0"/>
        <w:rPr>
          <w:rFonts w:hint="default" w:ascii="Times New Roman" w:hAnsi="Times New Roman" w:eastAsia="仿宋_GB2312" w:cs="Times New Roman"/>
          <w:b/>
          <w:sz w:val="32"/>
          <w:szCs w:val="32"/>
        </w:rPr>
      </w:pPr>
      <w:bookmarkStart w:id="7" w:name="_Toc294623528"/>
      <w:r>
        <w:rPr>
          <w:rFonts w:hint="default" w:ascii="Times New Roman" w:hAnsi="Times New Roman" w:eastAsia="仿宋_GB2312" w:cs="Times New Roman"/>
          <w:b/>
          <w:sz w:val="32"/>
          <w:szCs w:val="32"/>
          <w:lang w:eastAsia="zh-CN"/>
        </w:rPr>
        <w:t>七、</w:t>
      </w:r>
      <w:r>
        <w:rPr>
          <w:rFonts w:hint="default" w:ascii="Times New Roman" w:hAnsi="Times New Roman" w:eastAsia="仿宋_GB2312" w:cs="Times New Roman"/>
          <w:b/>
          <w:sz w:val="32"/>
          <w:szCs w:val="32"/>
        </w:rPr>
        <w:t>统计查询</w:t>
      </w:r>
      <w:bookmarkEnd w:id="7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1、温湿度信息查询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单击“温湿度信息查询”（图7-1-1）后，会显示温湿度情况（图7-1-2），点击“</w:t>
      </w:r>
      <w:r>
        <w:rPr>
          <w:rFonts w:hint="default" w:ascii="Times New Roman" w:hAnsi="Times New Roman" w:eastAsia="仿宋_GB2312" w:cs="Times New Roman"/>
          <w:sz w:val="32"/>
          <w:szCs w:val="32"/>
        </w:rPr>
        <w:drawing>
          <wp:inline distT="0" distB="0" distL="114300" distR="114300">
            <wp:extent cx="182245" cy="207010"/>
            <wp:effectExtent l="0" t="0" r="8255" b="2540"/>
            <wp:docPr id="43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36"/>
                    <pic:cNvPicPr>
                      <a:picLocks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18224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仿宋_GB2312" w:cs="Times New Roman"/>
          <w:sz w:val="32"/>
          <w:szCs w:val="32"/>
        </w:rPr>
        <w:t>”查看温湿度情况</w:t>
      </w:r>
      <w:r>
        <w:rPr>
          <w:rFonts w:hint="default" w:ascii="Times New Roman" w:hAnsi="Times New Roman" w:eastAsia="仿宋_GB2312" w:cs="Times New Roman"/>
          <w:color w:val="FF0000"/>
          <w:sz w:val="32"/>
          <w:szCs w:val="32"/>
        </w:rPr>
        <w:t>（红色箭头为超高&lt;</w:t>
      </w:r>
      <w:r>
        <w:rPr>
          <w:rFonts w:hint="default" w:ascii="Times New Roman" w:hAnsi="Times New Roman" w:eastAsia="仿宋_GB2312" w:cs="Times New Roman"/>
          <w:color w:val="FF0000"/>
          <w:sz w:val="32"/>
          <w:szCs w:val="32"/>
        </w:rPr>
        <w:drawing>
          <wp:inline distT="0" distB="0" distL="114300" distR="114300">
            <wp:extent cx="993140" cy="180340"/>
            <wp:effectExtent l="0" t="0" r="16510" b="10160"/>
            <wp:docPr id="44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37"/>
                    <pic:cNvPicPr>
                      <a:picLocks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993140" cy="18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仿宋_GB2312" w:cs="Times New Roman"/>
          <w:color w:val="FF0000"/>
          <w:sz w:val="32"/>
          <w:szCs w:val="32"/>
        </w:rPr>
        <w:t>&gt;，蓝色箭头为超低&lt;</w:t>
      </w:r>
      <w:r>
        <w:rPr>
          <w:rFonts w:hint="default" w:ascii="Times New Roman" w:hAnsi="Times New Roman" w:eastAsia="仿宋_GB2312" w:cs="Times New Roman"/>
          <w:color w:val="FF0000"/>
          <w:sz w:val="32"/>
          <w:szCs w:val="32"/>
        </w:rPr>
        <w:drawing>
          <wp:inline distT="0" distB="0" distL="114300" distR="114300">
            <wp:extent cx="1141095" cy="174625"/>
            <wp:effectExtent l="0" t="0" r="1905" b="15875"/>
            <wp:docPr id="45" name="图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38"/>
                    <pic:cNvPicPr>
                      <a:picLocks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114109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仿宋_GB2312" w:cs="Times New Roman"/>
          <w:color w:val="FF0000"/>
          <w:sz w:val="32"/>
          <w:szCs w:val="32"/>
        </w:rPr>
        <w:t>&gt;，括弧内为超过部分的温湿度）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jc w:val="center"/>
        <w:rPr>
          <w:sz w:val="24"/>
        </w:rPr>
      </w:pPr>
      <w:r>
        <w:rPr>
          <w:sz w:val="24"/>
        </w:rPr>
        <w:drawing>
          <wp:inline distT="0" distB="0" distL="114300" distR="114300">
            <wp:extent cx="1680845" cy="1543050"/>
            <wp:effectExtent l="0" t="0" r="14605" b="0"/>
            <wp:docPr id="47" name="图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图片 39"/>
                    <pic:cNvPicPr>
                      <a:picLocks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168084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sz w:val="24"/>
        </w:rPr>
      </w:pPr>
      <w:r>
        <w:rPr>
          <w:rFonts w:hint="eastAsia"/>
          <w:sz w:val="24"/>
        </w:rPr>
        <w:t>图7-1-1</w:t>
      </w:r>
    </w:p>
    <w:p>
      <w:pPr>
        <w:jc w:val="center"/>
        <w:rPr>
          <w:sz w:val="24"/>
        </w:rPr>
      </w:pPr>
      <w:r>
        <w:rPr>
          <w:sz w:val="24"/>
        </w:rPr>
        <w:drawing>
          <wp:inline distT="0" distB="0" distL="114300" distR="114300">
            <wp:extent cx="5657850" cy="1789430"/>
            <wp:effectExtent l="0" t="0" r="0" b="1270"/>
            <wp:docPr id="48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图片 40"/>
                    <pic:cNvPicPr>
                      <a:picLocks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178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sz w:val="24"/>
        </w:rPr>
      </w:pPr>
      <w:r>
        <w:rPr>
          <w:rFonts w:hint="eastAsia"/>
          <w:sz w:val="24"/>
        </w:rPr>
        <w:t>图7-1-2</w:t>
      </w:r>
    </w:p>
    <w:p>
      <w:pPr>
        <w:rPr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2、企业监测数据查询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点击“企业监测数据查询”（图7-2-1），进入页面查看温湿度情况（图7-2-2），可通过企业名称、监控点号或时间进行查询。</w:t>
      </w:r>
    </w:p>
    <w:p>
      <w:pPr>
        <w:jc w:val="center"/>
        <w:rPr>
          <w:sz w:val="24"/>
        </w:rPr>
      </w:pPr>
      <w:r>
        <w:rPr>
          <w:sz w:val="24"/>
        </w:rPr>
        <w:drawing>
          <wp:inline distT="0" distB="0" distL="114300" distR="114300">
            <wp:extent cx="1438275" cy="1533525"/>
            <wp:effectExtent l="0" t="0" r="9525" b="9525"/>
            <wp:docPr id="38" name="图片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41"/>
                    <pic:cNvPicPr>
                      <a:picLocks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sz w:val="24"/>
        </w:rPr>
      </w:pPr>
      <w:r>
        <w:rPr>
          <w:rFonts w:hint="eastAsia"/>
          <w:sz w:val="24"/>
        </w:rPr>
        <w:t>图7-2-1</w:t>
      </w:r>
    </w:p>
    <w:p>
      <w:pPr>
        <w:jc w:val="center"/>
        <w:rPr>
          <w:sz w:val="24"/>
        </w:rPr>
      </w:pPr>
      <w:r>
        <w:rPr>
          <w:sz w:val="24"/>
        </w:rPr>
        <w:drawing>
          <wp:inline distT="0" distB="0" distL="114300" distR="114300">
            <wp:extent cx="5637530" cy="1902460"/>
            <wp:effectExtent l="0" t="0" r="1270" b="2540"/>
            <wp:docPr id="49" name="图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图片 42"/>
                    <pic:cNvPicPr>
                      <a:picLocks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5637530" cy="190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sz w:val="24"/>
        </w:rPr>
      </w:pPr>
      <w:r>
        <w:rPr>
          <w:rFonts w:hint="eastAsia"/>
          <w:sz w:val="24"/>
        </w:rPr>
        <w:t>图7-2-2</w:t>
      </w:r>
    </w:p>
    <w:p>
      <w:pPr>
        <w:jc w:val="center"/>
        <w:rPr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3、企业整改通知书查询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单击“企业整改通知书查询”（图7-3-1），进入页面查看整改通知书的处理情况（图7-3-2），可通过企业名称和时间进行查询。</w:t>
      </w:r>
    </w:p>
    <w:p>
      <w:pPr>
        <w:jc w:val="center"/>
        <w:rPr>
          <w:sz w:val="24"/>
        </w:rPr>
      </w:pPr>
      <w:r>
        <w:rPr>
          <w:sz w:val="24"/>
        </w:rPr>
        <w:drawing>
          <wp:inline distT="0" distB="0" distL="114300" distR="114300">
            <wp:extent cx="1413510" cy="1875155"/>
            <wp:effectExtent l="0" t="0" r="15240" b="10795"/>
            <wp:docPr id="46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43"/>
                    <pic:cNvPicPr>
                      <a:picLocks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1413510" cy="187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sz w:val="24"/>
        </w:rPr>
      </w:pPr>
      <w:r>
        <w:rPr>
          <w:rFonts w:hint="eastAsia"/>
          <w:sz w:val="24"/>
        </w:rPr>
        <w:t>图7-3-1</w:t>
      </w:r>
    </w:p>
    <w:p>
      <w:pPr>
        <w:jc w:val="center"/>
        <w:rPr>
          <w:sz w:val="24"/>
        </w:rPr>
      </w:pPr>
      <w:r>
        <w:rPr>
          <w:sz w:val="24"/>
        </w:rPr>
        <w:drawing>
          <wp:inline distT="0" distB="0" distL="114300" distR="114300">
            <wp:extent cx="5683250" cy="1913890"/>
            <wp:effectExtent l="0" t="0" r="12700" b="10160"/>
            <wp:docPr id="18" name="图片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44"/>
                    <pic:cNvPicPr>
                      <a:picLocks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5683250" cy="191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图7-3-2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4、地区整改通知书查询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单击“地区整改通知书查询”（图7-4-1），进入页面查看整改通知书的情况（图7-4-2），可通过地区和时间进行查询。</w:t>
      </w:r>
    </w:p>
    <w:p>
      <w:pPr>
        <w:jc w:val="center"/>
        <w:rPr>
          <w:sz w:val="24"/>
        </w:rPr>
      </w:pPr>
      <w:r>
        <w:rPr>
          <w:sz w:val="24"/>
        </w:rPr>
        <w:drawing>
          <wp:inline distT="0" distB="0" distL="114300" distR="114300">
            <wp:extent cx="1424305" cy="1753870"/>
            <wp:effectExtent l="0" t="0" r="4445" b="17780"/>
            <wp:docPr id="50" name="图片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图片 45"/>
                    <pic:cNvPicPr>
                      <a:picLocks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1424305" cy="175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sz w:val="24"/>
        </w:rPr>
      </w:pPr>
      <w:r>
        <w:rPr>
          <w:rFonts w:hint="eastAsia"/>
          <w:sz w:val="24"/>
        </w:rPr>
        <w:t>图7-4-1</w:t>
      </w:r>
    </w:p>
    <w:p>
      <w:pPr>
        <w:jc w:val="center"/>
        <w:rPr>
          <w:sz w:val="24"/>
        </w:rPr>
      </w:pPr>
      <w:r>
        <w:rPr>
          <w:sz w:val="24"/>
        </w:rPr>
        <w:drawing>
          <wp:inline distT="0" distB="0" distL="114300" distR="114300">
            <wp:extent cx="5627370" cy="1615440"/>
            <wp:effectExtent l="0" t="0" r="11430" b="3810"/>
            <wp:docPr id="51" name="图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图片 46"/>
                    <pic:cNvPicPr>
                      <a:picLocks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5627370" cy="161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图7-4-2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5、温湿度超标统计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单击“温湿度超标统计”（图7-5-1），进入页面查看市、县的温湿度超标企业情况（图7-5-2），可通过地区和时间进行查询。</w:t>
      </w:r>
    </w:p>
    <w:p>
      <w:pPr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drawing>
          <wp:inline distT="0" distB="0" distL="114300" distR="114300">
            <wp:extent cx="1343660" cy="1432560"/>
            <wp:effectExtent l="0" t="0" r="8890" b="15240"/>
            <wp:docPr id="52" name="图片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图片 47"/>
                    <pic:cNvPicPr>
                      <a:picLocks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134366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图7-5-1</w:t>
      </w:r>
    </w:p>
    <w:p>
      <w:pPr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drawing>
          <wp:inline distT="0" distB="0" distL="114300" distR="114300">
            <wp:extent cx="5544820" cy="1737360"/>
            <wp:effectExtent l="0" t="0" r="17780" b="15240"/>
            <wp:docPr id="13" name="图片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48"/>
                    <pic:cNvPicPr>
                      <a:picLocks noChangeAspect="1"/>
                    </pic:cNvPicPr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5544820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图7-5-2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6、市县局登录统计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单击“市县局登录统计”（图7-6-1），进入页面查看市、县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（市、区）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局的登录情况（图7-6-2），可通过地区和时间进行查询。</w:t>
      </w:r>
    </w:p>
    <w:p>
      <w:pPr>
        <w:jc w:val="center"/>
        <w:rPr>
          <w:sz w:val="24"/>
        </w:rPr>
      </w:pPr>
      <w:r>
        <w:rPr>
          <w:sz w:val="24"/>
        </w:rPr>
        <w:drawing>
          <wp:inline distT="0" distB="0" distL="114300" distR="114300">
            <wp:extent cx="1287145" cy="1633220"/>
            <wp:effectExtent l="0" t="0" r="8255" b="5080"/>
            <wp:docPr id="39" name="图片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49"/>
                    <pic:cNvPicPr>
                      <a:picLocks noChangeAspect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1287145" cy="163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sz w:val="24"/>
        </w:rPr>
      </w:pPr>
      <w:r>
        <w:rPr>
          <w:rFonts w:hint="eastAsia"/>
          <w:sz w:val="24"/>
        </w:rPr>
        <w:t>图7-6-1</w:t>
      </w:r>
    </w:p>
    <w:p>
      <w:pPr>
        <w:jc w:val="center"/>
        <w:rPr>
          <w:sz w:val="24"/>
        </w:rPr>
      </w:pPr>
      <w:r>
        <w:rPr>
          <w:sz w:val="24"/>
        </w:rPr>
        <w:drawing>
          <wp:inline distT="0" distB="0" distL="114300" distR="114300">
            <wp:extent cx="5709285" cy="4728210"/>
            <wp:effectExtent l="0" t="0" r="5715" b="15240"/>
            <wp:docPr id="53" name="图片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图片 50"/>
                    <pic:cNvPicPr>
                      <a:picLocks noChangeAspect="1"/>
                    </pic:cNvPicPr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5709285" cy="4728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sz w:val="24"/>
        </w:rPr>
      </w:pPr>
      <w:r>
        <w:rPr>
          <w:rFonts w:hint="eastAsia"/>
          <w:sz w:val="24"/>
        </w:rPr>
        <w:t>图7-6-2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60" w:lineRule="exact"/>
        <w:ind w:firstLine="640" w:firstLineChars="200"/>
        <w:textAlignment w:val="auto"/>
        <w:outlineLvl w:val="0"/>
        <w:rPr>
          <w:rFonts w:hint="eastAsia" w:ascii="黑体" w:hAnsi="黑体" w:eastAsia="黑体" w:cs="黑体"/>
          <w:b w:val="0"/>
          <w:bCs/>
          <w:sz w:val="32"/>
          <w:szCs w:val="32"/>
        </w:rPr>
      </w:pPr>
      <w:bookmarkStart w:id="8" w:name="_Toc294623529"/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八、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说明</w:t>
      </w:r>
      <w:bookmarkEnd w:id="8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冷链管理系统地址为：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fldChar w:fldCharType="begin"/>
      </w:r>
      <w:r>
        <w:rPr>
          <w:rFonts w:hint="default" w:ascii="Times New Roman" w:hAnsi="Times New Roman" w:eastAsia="仿宋_GB2312" w:cs="Times New Roman"/>
          <w:sz w:val="32"/>
          <w:szCs w:val="32"/>
        </w:rPr>
        <w:instrText xml:space="preserve"> HYPERLINK "http://WSDLL.zjfda.gov.cn" </w:instrText>
      </w:r>
      <w:r>
        <w:rPr>
          <w:rFonts w:hint="default" w:ascii="Times New Roman" w:hAnsi="Times New Roman" w:eastAsia="仿宋_GB2312" w:cs="Times New Roman"/>
          <w:sz w:val="32"/>
          <w:szCs w:val="32"/>
        </w:rPr>
        <w:fldChar w:fldCharType="separate"/>
      </w:r>
      <w:r>
        <w:rPr>
          <w:rStyle w:val="17"/>
          <w:rFonts w:hint="default" w:ascii="Times New Roman" w:hAnsi="Times New Roman" w:eastAsia="仿宋_GB2312" w:cs="Times New Roman"/>
          <w:sz w:val="32"/>
          <w:szCs w:val="32"/>
        </w:rPr>
        <w:t>http://WSDLL.zjfda.gov.cn</w:t>
      </w:r>
      <w:r>
        <w:rPr>
          <w:rStyle w:val="17"/>
          <w:rFonts w:hint="default" w:ascii="Times New Roman" w:hAnsi="Times New Roman" w:eastAsia="仿宋_GB2312" w:cs="Times New Roman"/>
          <w:sz w:val="32"/>
          <w:szCs w:val="32"/>
        </w:rPr>
        <w:fldChar w:fldCharType="end"/>
      </w:r>
      <w:r>
        <w:rPr>
          <w:rFonts w:hint="default" w:ascii="Times New Roman" w:hAnsi="Times New Roman" w:eastAsia="仿宋_GB2312" w:cs="Times New Roman"/>
          <w:sz w:val="32"/>
          <w:szCs w:val="32"/>
        </w:rPr>
        <w:t>，操作方法与温湿度在线监管系统基本相同，手册中不再说明。</w:t>
      </w:r>
    </w:p>
    <w:p>
      <w:pPr>
        <w:jc w:val="left"/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汉仪雪君体简">
    <w:altName w:val="Arial Unicode MS"/>
    <w:panose1 w:val="00000000000000000000"/>
    <w:charset w:val="00"/>
    <w:family w:val="auto"/>
    <w:pitch w:val="default"/>
    <w:sig w:usb0="00000000" w:usb1="00000000" w:usb2="00000012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8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default" w:ascii="Times New Roman" w:hAnsi="Times New Roman" w:cs="Times New Roman"/>
                    <w:sz w:val="21"/>
                    <w:szCs w:val="21"/>
                    <w:lang w:eastAsia="zh-CN"/>
                  </w:rPr>
                  <w:fldChar w:fldCharType="begin"/>
                </w:r>
                <w:r>
                  <w:rPr>
                    <w:rFonts w:hint="default" w:ascii="Times New Roman" w:hAnsi="Times New Roman" w:cs="Times New Roman"/>
                    <w:sz w:val="21"/>
                    <w:szCs w:val="21"/>
                    <w:lang w:eastAsia="zh-CN"/>
                  </w:rPr>
                  <w:instrText xml:space="preserve"> PAGE  \* MERGEFORMAT </w:instrText>
                </w:r>
                <w:r>
                  <w:rPr>
                    <w:rFonts w:hint="default" w:ascii="Times New Roman" w:hAnsi="Times New Roman" w:cs="Times New Roman"/>
                    <w:sz w:val="21"/>
                    <w:szCs w:val="21"/>
                    <w:lang w:eastAsia="zh-CN"/>
                  </w:rPr>
                  <w:fldChar w:fldCharType="separate"/>
                </w:r>
                <w:r>
                  <w:rPr>
                    <w:rFonts w:hint="default" w:ascii="Times New Roman" w:hAnsi="Times New Roman" w:cs="Times New Roman"/>
                    <w:sz w:val="21"/>
                    <w:szCs w:val="21"/>
                    <w:lang w:eastAsia="zh-CN"/>
                  </w:rPr>
                  <w:t>1</w:t>
                </w:r>
                <w:r>
                  <w:rPr>
                    <w:rFonts w:hint="default" w:ascii="Times New Roman" w:hAnsi="Times New Roman" w:cs="Times New Roman"/>
                    <w:sz w:val="21"/>
                    <w:szCs w:val="21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49FC739"/>
    <w:multiLevelType w:val="singleLevel"/>
    <w:tmpl w:val="249FC739"/>
    <w:lvl w:ilvl="0" w:tentative="0">
      <w:start w:val="2"/>
      <w:numFmt w:val="decimal"/>
      <w:suff w:val="nothing"/>
      <w:lvlText w:val="%1、"/>
      <w:lvlJc w:val="left"/>
      <w:pPr>
        <w:ind w:left="-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3C02"/>
    <w:rsid w:val="00002B3A"/>
    <w:rsid w:val="00007109"/>
    <w:rsid w:val="00026040"/>
    <w:rsid w:val="00053E77"/>
    <w:rsid w:val="00076007"/>
    <w:rsid w:val="00092ED8"/>
    <w:rsid w:val="000E3C02"/>
    <w:rsid w:val="000F2107"/>
    <w:rsid w:val="00151192"/>
    <w:rsid w:val="001C544F"/>
    <w:rsid w:val="001E3292"/>
    <w:rsid w:val="002060DF"/>
    <w:rsid w:val="00222D5C"/>
    <w:rsid w:val="002414F4"/>
    <w:rsid w:val="00252208"/>
    <w:rsid w:val="00285BC5"/>
    <w:rsid w:val="002E3C19"/>
    <w:rsid w:val="003163E9"/>
    <w:rsid w:val="00332A99"/>
    <w:rsid w:val="00334049"/>
    <w:rsid w:val="00352038"/>
    <w:rsid w:val="00357D2D"/>
    <w:rsid w:val="00436E27"/>
    <w:rsid w:val="00450BDE"/>
    <w:rsid w:val="00484F32"/>
    <w:rsid w:val="004C64BF"/>
    <w:rsid w:val="004D429A"/>
    <w:rsid w:val="004F6127"/>
    <w:rsid w:val="005040E6"/>
    <w:rsid w:val="00562FC6"/>
    <w:rsid w:val="0059642D"/>
    <w:rsid w:val="005C553F"/>
    <w:rsid w:val="005D0CA5"/>
    <w:rsid w:val="005D1763"/>
    <w:rsid w:val="005F5F7A"/>
    <w:rsid w:val="00621448"/>
    <w:rsid w:val="00635EED"/>
    <w:rsid w:val="006F526A"/>
    <w:rsid w:val="00702B3A"/>
    <w:rsid w:val="007038BC"/>
    <w:rsid w:val="007360D5"/>
    <w:rsid w:val="00774463"/>
    <w:rsid w:val="00775624"/>
    <w:rsid w:val="007A6F12"/>
    <w:rsid w:val="007B7E4A"/>
    <w:rsid w:val="008050A0"/>
    <w:rsid w:val="00847C7B"/>
    <w:rsid w:val="00892E81"/>
    <w:rsid w:val="008972BC"/>
    <w:rsid w:val="0090430C"/>
    <w:rsid w:val="00907A79"/>
    <w:rsid w:val="00915303"/>
    <w:rsid w:val="00940D56"/>
    <w:rsid w:val="00980941"/>
    <w:rsid w:val="00A011FC"/>
    <w:rsid w:val="00A01F9C"/>
    <w:rsid w:val="00A051FD"/>
    <w:rsid w:val="00A55EA4"/>
    <w:rsid w:val="00A67659"/>
    <w:rsid w:val="00A83766"/>
    <w:rsid w:val="00A90FB9"/>
    <w:rsid w:val="00AB55C1"/>
    <w:rsid w:val="00AE6DA7"/>
    <w:rsid w:val="00B90953"/>
    <w:rsid w:val="00BB61BE"/>
    <w:rsid w:val="00C255BE"/>
    <w:rsid w:val="00C41CD0"/>
    <w:rsid w:val="00C44837"/>
    <w:rsid w:val="00C53EB8"/>
    <w:rsid w:val="00C66645"/>
    <w:rsid w:val="00C718AE"/>
    <w:rsid w:val="00C852DB"/>
    <w:rsid w:val="00CA07EB"/>
    <w:rsid w:val="00CD51FA"/>
    <w:rsid w:val="00CE2127"/>
    <w:rsid w:val="00D338AE"/>
    <w:rsid w:val="00D475E3"/>
    <w:rsid w:val="00D72EEB"/>
    <w:rsid w:val="00DC300C"/>
    <w:rsid w:val="00E46F00"/>
    <w:rsid w:val="00E53DAD"/>
    <w:rsid w:val="00EA24AB"/>
    <w:rsid w:val="00EA3680"/>
    <w:rsid w:val="00ED3202"/>
    <w:rsid w:val="00ED3A43"/>
    <w:rsid w:val="00F0120E"/>
    <w:rsid w:val="00F1562C"/>
    <w:rsid w:val="00F24EEA"/>
    <w:rsid w:val="00F330CC"/>
    <w:rsid w:val="00F61D11"/>
    <w:rsid w:val="00F83907"/>
    <w:rsid w:val="00FA745B"/>
    <w:rsid w:val="00FB05C7"/>
    <w:rsid w:val="00FC60B7"/>
    <w:rsid w:val="029E2212"/>
    <w:rsid w:val="17CB4FBC"/>
    <w:rsid w:val="2D8F6376"/>
    <w:rsid w:val="377A424F"/>
    <w:rsid w:val="38C151F6"/>
    <w:rsid w:val="3CE6DDC5"/>
    <w:rsid w:val="3DF76935"/>
    <w:rsid w:val="592317C0"/>
    <w:rsid w:val="5AFA7D51"/>
    <w:rsid w:val="5BDC22C7"/>
    <w:rsid w:val="66F216D7"/>
    <w:rsid w:val="6A8457DD"/>
    <w:rsid w:val="71D43278"/>
    <w:rsid w:val="74AFF6F8"/>
    <w:rsid w:val="75E57EDE"/>
    <w:rsid w:val="776FDCD2"/>
    <w:rsid w:val="793DD106"/>
    <w:rsid w:val="79A4E909"/>
    <w:rsid w:val="79DF30EA"/>
    <w:rsid w:val="7DCF79CB"/>
    <w:rsid w:val="7E67C2CE"/>
    <w:rsid w:val="7EF89E82"/>
    <w:rsid w:val="7F6552AB"/>
    <w:rsid w:val="977FFF11"/>
    <w:rsid w:val="B76F3704"/>
    <w:rsid w:val="BFAF07F9"/>
    <w:rsid w:val="BFCFC98C"/>
    <w:rsid w:val="C7B7BDBA"/>
    <w:rsid w:val="C7FFCC82"/>
    <w:rsid w:val="CF7FB98B"/>
    <w:rsid w:val="D8DC0C18"/>
    <w:rsid w:val="DAFF5956"/>
    <w:rsid w:val="DEFFEE56"/>
    <w:rsid w:val="F3F7239C"/>
    <w:rsid w:val="F7AB9EEE"/>
    <w:rsid w:val="FBDF69F7"/>
    <w:rsid w:val="FDEC77DF"/>
    <w:rsid w:val="FDFF69AA"/>
    <w:rsid w:val="FFEE58E4"/>
    <w:rsid w:val="FFF79789"/>
    <w:rsid w:val="FFFDE37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link w:val="27"/>
    <w:semiHidden/>
    <w:unhideWhenUsed/>
    <w:qFormat/>
    <w:uiPriority w:val="99"/>
    <w:pPr>
      <w:jc w:val="left"/>
    </w:pPr>
  </w:style>
  <w:style w:type="paragraph" w:styleId="6">
    <w:name w:val="toc 3"/>
    <w:basedOn w:val="1"/>
    <w:next w:val="1"/>
    <w:unhideWhenUsed/>
    <w:qFormat/>
    <w:uiPriority w:val="39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paragraph" w:styleId="7">
    <w:name w:val="Balloon Text"/>
    <w:basedOn w:val="1"/>
    <w:link w:val="26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1"/>
    <w:next w:val="1"/>
    <w:unhideWhenUsed/>
    <w:qFormat/>
    <w:uiPriority w:val="39"/>
    <w:pPr>
      <w:widowControl/>
      <w:spacing w:after="100" w:line="259" w:lineRule="auto"/>
      <w:jc w:val="left"/>
    </w:pPr>
    <w:rPr>
      <w:rFonts w:cs="Times New Roman"/>
      <w:kern w:val="0"/>
      <w:sz w:val="22"/>
    </w:rPr>
  </w:style>
  <w:style w:type="paragraph" w:styleId="11">
    <w:name w:val="toc 2"/>
    <w:basedOn w:val="1"/>
    <w:next w:val="1"/>
    <w:unhideWhenUsed/>
    <w:qFormat/>
    <w:uiPriority w:val="39"/>
    <w:pPr>
      <w:widowControl/>
      <w:spacing w:after="100" w:line="259" w:lineRule="auto"/>
      <w:ind w:left="220"/>
      <w:jc w:val="left"/>
    </w:pPr>
    <w:rPr>
      <w:rFonts w:cs="Times New Roman"/>
      <w:kern w:val="0"/>
      <w:sz w:val="22"/>
    </w:rPr>
  </w:style>
  <w:style w:type="paragraph" w:styleId="12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3">
    <w:name w:val="annotation subject"/>
    <w:basedOn w:val="5"/>
    <w:next w:val="5"/>
    <w:link w:val="28"/>
    <w:semiHidden/>
    <w:unhideWhenUsed/>
    <w:qFormat/>
    <w:uiPriority w:val="99"/>
    <w:rPr>
      <w:b/>
      <w:bCs/>
    </w:rPr>
  </w:style>
  <w:style w:type="table" w:styleId="15">
    <w:name w:val="Table Grid"/>
    <w:basedOn w:val="1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7">
    <w:name w:val="Hyperlink"/>
    <w:basedOn w:val="16"/>
    <w:unhideWhenUsed/>
    <w:qFormat/>
    <w:uiPriority w:val="99"/>
    <w:rPr>
      <w:color w:val="0000FF"/>
      <w:u w:val="single"/>
    </w:rPr>
  </w:style>
  <w:style w:type="character" w:styleId="18">
    <w:name w:val="annotation reference"/>
    <w:basedOn w:val="16"/>
    <w:semiHidden/>
    <w:unhideWhenUsed/>
    <w:qFormat/>
    <w:uiPriority w:val="99"/>
    <w:rPr>
      <w:sz w:val="21"/>
      <w:szCs w:val="21"/>
    </w:rPr>
  </w:style>
  <w:style w:type="character" w:customStyle="1" w:styleId="19">
    <w:name w:val="页眉 字符"/>
    <w:basedOn w:val="16"/>
    <w:link w:val="9"/>
    <w:qFormat/>
    <w:uiPriority w:val="99"/>
    <w:rPr>
      <w:sz w:val="18"/>
      <w:szCs w:val="18"/>
    </w:rPr>
  </w:style>
  <w:style w:type="character" w:customStyle="1" w:styleId="20">
    <w:name w:val="页脚 字符"/>
    <w:basedOn w:val="16"/>
    <w:link w:val="8"/>
    <w:qFormat/>
    <w:uiPriority w:val="99"/>
    <w:rPr>
      <w:sz w:val="18"/>
      <w:szCs w:val="18"/>
    </w:rPr>
  </w:style>
  <w:style w:type="paragraph" w:styleId="21">
    <w:name w:val="List Paragraph"/>
    <w:basedOn w:val="1"/>
    <w:qFormat/>
    <w:uiPriority w:val="34"/>
    <w:pPr>
      <w:ind w:firstLine="420" w:firstLineChars="200"/>
    </w:pPr>
  </w:style>
  <w:style w:type="character" w:customStyle="1" w:styleId="22">
    <w:name w:val="CharAttribute3"/>
    <w:qFormat/>
    <w:uiPriority w:val="0"/>
    <w:rPr>
      <w:rFonts w:hint="eastAsia" w:ascii="仿宋_GB2312" w:hAnsi="Calibri" w:eastAsia="Times New Roman"/>
      <w:sz w:val="32"/>
    </w:rPr>
  </w:style>
  <w:style w:type="paragraph" w:customStyle="1" w:styleId="23">
    <w:name w:val="TOC 标题1"/>
    <w:basedOn w:val="2"/>
    <w:next w:val="1"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2E75B5" w:themeColor="accent1" w:themeShade="BF"/>
      <w:kern w:val="0"/>
      <w:sz w:val="32"/>
      <w:szCs w:val="32"/>
    </w:rPr>
  </w:style>
  <w:style w:type="paragraph" w:customStyle="1" w:styleId="24">
    <w:name w:val="Code"/>
    <w:basedOn w:val="1"/>
    <w:qFormat/>
    <w:uiPriority w:val="0"/>
    <w:pPr>
      <w:shd w:val="clear" w:color="auto" w:fill="D9D9D9"/>
      <w:jc w:val="left"/>
    </w:pPr>
    <w:rPr>
      <w:rFonts w:ascii="Calibri" w:hAnsi="Calibri" w:eastAsia="新宋体" w:cs="Times New Roman"/>
      <w:kern w:val="0"/>
      <w:szCs w:val="21"/>
    </w:rPr>
  </w:style>
  <w:style w:type="paragraph" w:customStyle="1" w:styleId="25">
    <w:name w:val="_Style 2"/>
    <w:basedOn w:val="2"/>
    <w:next w:val="1"/>
    <w:qFormat/>
    <w:uiPriority w:val="39"/>
    <w:pPr>
      <w:widowControl/>
      <w:spacing w:before="480" w:after="0" w:line="276" w:lineRule="auto"/>
      <w:jc w:val="left"/>
      <w:outlineLvl w:val="9"/>
    </w:pPr>
    <w:rPr>
      <w:rFonts w:ascii="Cambria" w:hAnsi="Cambria" w:eastAsia="宋体" w:cs="Times New Roman"/>
      <w:color w:val="365F91"/>
      <w:kern w:val="0"/>
      <w:sz w:val="28"/>
      <w:szCs w:val="28"/>
    </w:rPr>
  </w:style>
  <w:style w:type="character" w:customStyle="1" w:styleId="26">
    <w:name w:val="批注框文本 字符"/>
    <w:basedOn w:val="16"/>
    <w:link w:val="7"/>
    <w:semiHidden/>
    <w:qFormat/>
    <w:uiPriority w:val="99"/>
    <w:rPr>
      <w:kern w:val="2"/>
      <w:sz w:val="18"/>
      <w:szCs w:val="18"/>
    </w:rPr>
  </w:style>
  <w:style w:type="character" w:customStyle="1" w:styleId="27">
    <w:name w:val="批注文字 字符"/>
    <w:basedOn w:val="16"/>
    <w:link w:val="5"/>
    <w:semiHidden/>
    <w:qFormat/>
    <w:uiPriority w:val="99"/>
    <w:rPr>
      <w:kern w:val="2"/>
      <w:sz w:val="21"/>
      <w:szCs w:val="22"/>
    </w:rPr>
  </w:style>
  <w:style w:type="character" w:customStyle="1" w:styleId="28">
    <w:name w:val="批注主题 字符"/>
    <w:basedOn w:val="27"/>
    <w:link w:val="13"/>
    <w:semiHidden/>
    <w:qFormat/>
    <w:uiPriority w:val="99"/>
    <w:rPr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jpeg"/><Relationship Id="rId56" Type="http://schemas.openxmlformats.org/officeDocument/2006/relationships/fontTable" Target="fontTable.xml"/><Relationship Id="rId55" Type="http://schemas.openxmlformats.org/officeDocument/2006/relationships/numbering" Target="numbering.xml"/><Relationship Id="rId54" Type="http://schemas.openxmlformats.org/officeDocument/2006/relationships/customXml" Target="../customXml/item1.xml"/><Relationship Id="rId53" Type="http://schemas.openxmlformats.org/officeDocument/2006/relationships/image" Target="media/image49.png"/><Relationship Id="rId52" Type="http://schemas.openxmlformats.org/officeDocument/2006/relationships/image" Target="media/image48.png"/><Relationship Id="rId51" Type="http://schemas.openxmlformats.org/officeDocument/2006/relationships/image" Target="media/image47.png"/><Relationship Id="rId50" Type="http://schemas.openxmlformats.org/officeDocument/2006/relationships/image" Target="media/image46.png"/><Relationship Id="rId5" Type="http://schemas.openxmlformats.org/officeDocument/2006/relationships/image" Target="media/image1.jpeg"/><Relationship Id="rId49" Type="http://schemas.openxmlformats.org/officeDocument/2006/relationships/image" Target="media/image45.png"/><Relationship Id="rId48" Type="http://schemas.openxmlformats.org/officeDocument/2006/relationships/image" Target="media/image44.png"/><Relationship Id="rId47" Type="http://schemas.openxmlformats.org/officeDocument/2006/relationships/image" Target="media/image43.png"/><Relationship Id="rId46" Type="http://schemas.openxmlformats.org/officeDocument/2006/relationships/image" Target="media/image42.png"/><Relationship Id="rId45" Type="http://schemas.openxmlformats.org/officeDocument/2006/relationships/image" Target="media/image41.png"/><Relationship Id="rId44" Type="http://schemas.openxmlformats.org/officeDocument/2006/relationships/image" Target="media/image40.png"/><Relationship Id="rId43" Type="http://schemas.openxmlformats.org/officeDocument/2006/relationships/image" Target="media/image39.png"/><Relationship Id="rId42" Type="http://schemas.openxmlformats.org/officeDocument/2006/relationships/image" Target="media/image38.png"/><Relationship Id="rId41" Type="http://schemas.openxmlformats.org/officeDocument/2006/relationships/image" Target="media/image37.png"/><Relationship Id="rId40" Type="http://schemas.openxmlformats.org/officeDocument/2006/relationships/image" Target="media/image36.png"/><Relationship Id="rId4" Type="http://schemas.openxmlformats.org/officeDocument/2006/relationships/theme" Target="theme/theme1.xml"/><Relationship Id="rId39" Type="http://schemas.openxmlformats.org/officeDocument/2006/relationships/image" Target="media/image35.png"/><Relationship Id="rId38" Type="http://schemas.openxmlformats.org/officeDocument/2006/relationships/image" Target="media/image34.png"/><Relationship Id="rId37" Type="http://schemas.openxmlformats.org/officeDocument/2006/relationships/image" Target="media/image33.png"/><Relationship Id="rId36" Type="http://schemas.openxmlformats.org/officeDocument/2006/relationships/image" Target="media/image32.png"/><Relationship Id="rId35" Type="http://schemas.openxmlformats.org/officeDocument/2006/relationships/image" Target="media/image31.png"/><Relationship Id="rId34" Type="http://schemas.openxmlformats.org/officeDocument/2006/relationships/image" Target="media/image30.png"/><Relationship Id="rId33" Type="http://schemas.openxmlformats.org/officeDocument/2006/relationships/image" Target="media/image29.png"/><Relationship Id="rId32" Type="http://schemas.openxmlformats.org/officeDocument/2006/relationships/image" Target="media/image28.png"/><Relationship Id="rId31" Type="http://schemas.openxmlformats.org/officeDocument/2006/relationships/image" Target="media/image27.png"/><Relationship Id="rId30" Type="http://schemas.openxmlformats.org/officeDocument/2006/relationships/image" Target="media/image26.png"/><Relationship Id="rId3" Type="http://schemas.openxmlformats.org/officeDocument/2006/relationships/footer" Target="footer1.xml"/><Relationship Id="rId29" Type="http://schemas.openxmlformats.org/officeDocument/2006/relationships/image" Target="media/image25.png"/><Relationship Id="rId28" Type="http://schemas.openxmlformats.org/officeDocument/2006/relationships/image" Target="media/image24.png"/><Relationship Id="rId27" Type="http://schemas.openxmlformats.org/officeDocument/2006/relationships/image" Target="media/image23.png"/><Relationship Id="rId26" Type="http://schemas.openxmlformats.org/officeDocument/2006/relationships/image" Target="media/image22.png"/><Relationship Id="rId25" Type="http://schemas.openxmlformats.org/officeDocument/2006/relationships/image" Target="media/image21.png"/><Relationship Id="rId24" Type="http://schemas.openxmlformats.org/officeDocument/2006/relationships/image" Target="media/image20.png"/><Relationship Id="rId23" Type="http://schemas.openxmlformats.org/officeDocument/2006/relationships/image" Target="media/image19.png"/><Relationship Id="rId22" Type="http://schemas.openxmlformats.org/officeDocument/2006/relationships/image" Target="media/image18.png"/><Relationship Id="rId21" Type="http://schemas.openxmlformats.org/officeDocument/2006/relationships/image" Target="media/image17.png"/><Relationship Id="rId20" Type="http://schemas.openxmlformats.org/officeDocument/2006/relationships/image" Target="media/image16.png"/><Relationship Id="rId2" Type="http://schemas.openxmlformats.org/officeDocument/2006/relationships/settings" Target="settings.xml"/><Relationship Id="rId19" Type="http://schemas.openxmlformats.org/officeDocument/2006/relationships/image" Target="media/image15.png"/><Relationship Id="rId18" Type="http://schemas.openxmlformats.org/officeDocument/2006/relationships/image" Target="media/image14.png"/><Relationship Id="rId17" Type="http://schemas.openxmlformats.org/officeDocument/2006/relationships/image" Target="media/image13.png"/><Relationship Id="rId16" Type="http://schemas.openxmlformats.org/officeDocument/2006/relationships/image" Target="media/image12.jpeg"/><Relationship Id="rId15" Type="http://schemas.openxmlformats.org/officeDocument/2006/relationships/image" Target="media/image11.jpeg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3485</Words>
  <Characters>19869</Characters>
  <Lines>165</Lines>
  <Paragraphs>46</Paragraphs>
  <TotalTime>82</TotalTime>
  <ScaleCrop>false</ScaleCrop>
  <LinksUpToDate>false</LinksUpToDate>
  <CharactersWithSpaces>23308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2021-12-04T21:12:00Z</dcterms:created>
  <dc:creator>王蓓</dc:creator>
  <cp:lastModifiedBy>Administrator</cp:lastModifiedBy>
  <dcterms:modified xsi:type="dcterms:W3CDTF">2021-12-27T07:54:09Z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woTemplateTypoMode" linkTarget="0">
    <vt:lpwstr>web</vt:lpwstr>
  </property>
  <property fmtid="{D5CDD505-2E9C-101B-9397-08002B2CF9AE}" pid="4" name="woTemplate" linkTarget="0">
    <vt:i4>1</vt:i4>
  </property>
</Properties>
</file>