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5120" w:firstLineChars="160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jc w:val="left"/>
        <w:rPr>
          <w:rFonts w:ascii="方正小标宋简体" w:hAnsi="仿宋" w:eastAsia="方正小标宋简体" w:cs="仿宋"/>
          <w:color w:val="000000"/>
          <w:sz w:val="28"/>
          <w:szCs w:val="28"/>
        </w:rPr>
      </w:pPr>
    </w:p>
    <w:p/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药品存储温湿度在线监管系统（监管端）</w:t>
      </w:r>
    </w:p>
    <w:p>
      <w:pPr>
        <w:autoSpaceDE w:val="0"/>
        <w:autoSpaceDN w:val="0"/>
        <w:spacing w:line="240" w:lineRule="exact"/>
        <w:jc w:val="center"/>
        <w:rPr>
          <w:rFonts w:ascii="汉仪雪君体简" w:eastAsia="汉仪雪君体简"/>
          <w:sz w:val="72"/>
          <w:szCs w:val="72"/>
        </w:rPr>
      </w:pP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简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易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操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作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手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册</w:t>
      </w:r>
    </w:p>
    <w:p>
      <w:pPr>
        <w:autoSpaceDE w:val="0"/>
        <w:autoSpaceDN w:val="0"/>
        <w:jc w:val="center"/>
        <w:rPr>
          <w:rFonts w:ascii="汉仪雪君体简" w:eastAsia="汉仪雪君体简"/>
          <w:sz w:val="84"/>
          <w:szCs w:val="84"/>
        </w:rPr>
      </w:pP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</w:t>
      </w:r>
      <w:r>
        <w:rPr>
          <w:rFonts w:ascii="方正小标宋简体" w:hAnsi="仿宋" w:eastAsia="方正小标宋简体" w:cs="仿宋"/>
          <w:color w:val="000000"/>
          <w:sz w:val="44"/>
          <w:szCs w:val="44"/>
        </w:rPr>
        <w:t>021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年</w:t>
      </w:r>
    </w:p>
    <w:p>
      <w:pPr>
        <w:autoSpaceDE w:val="0"/>
        <w:autoSpaceDN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autoSpaceDE w:val="0"/>
        <w:autoSpaceDN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5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hint="eastAsia" w:ascii="方正小标宋简体" w:eastAsia="方正小标宋简体"/>
          <w:sz w:val="44"/>
          <w:szCs w:val="44"/>
          <w:lang w:val="zh-CN"/>
        </w:rPr>
        <w:t>目  录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fldChar w:fldCharType="begin"/>
      </w:r>
      <w:r>
        <w:rPr>
          <w:rFonts w:ascii="华文楷体" w:hAnsi="华文楷体" w:eastAsia="华文楷体"/>
          <w:sz w:val="32"/>
          <w:szCs w:val="32"/>
        </w:rPr>
        <w:instrText xml:space="preserve"> TOC \o "1-3" \h \z \u </w:instrText>
      </w:r>
      <w:r>
        <w:rPr>
          <w:rFonts w:ascii="华文楷体" w:hAnsi="华文楷体" w:eastAsia="华文楷体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"_Toc294623522"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一、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系统登录</w:t>
      </w:r>
      <w:bookmarkStart w:id="0" w:name="_Hlt294702861"/>
      <w:r>
        <w:rPr>
          <w:sz w:val="32"/>
          <w:szCs w:val="32"/>
        </w:rPr>
        <w:tab/>
      </w:r>
      <w:bookmarkEnd w:id="0"/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_Toc294623522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"_Toc294623523"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二、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系统管理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_Toc294623523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"_Toc294623524"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三、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设备报停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"_Toc294623525"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四、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整改通知书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"_Toc294623526"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五、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冷链上报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"_Toc294623527"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六、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上传监控点布局图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"_Toc294623528"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七、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统计查询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fldChar w:fldCharType="end"/>
      </w:r>
    </w:p>
    <w:p>
      <w:pPr>
        <w:pStyle w:val="10"/>
        <w:tabs>
          <w:tab w:val="left" w:pos="840"/>
          <w:tab w:val="right" w:leader="dot" w:pos="8296"/>
        </w:tabs>
        <w:rPr>
          <w:kern w:val="2"/>
          <w:sz w:val="32"/>
          <w:szCs w:val="32"/>
        </w:rPr>
      </w:pPr>
      <w:r>
        <w:fldChar w:fldCharType="begin"/>
      </w:r>
      <w:r>
        <w:instrText xml:space="preserve"> HYPERLINK \l "_Toc294623529" </w:instrText>
      </w:r>
      <w:r>
        <w:fldChar w:fldCharType="separate"/>
      </w:r>
      <w:r>
        <w:rPr>
          <w:rStyle w:val="17"/>
          <w:rFonts w:hint="eastAsia"/>
          <w:sz w:val="32"/>
          <w:szCs w:val="32"/>
        </w:rPr>
        <w:t>八、</w:t>
      </w:r>
      <w:r>
        <w:rPr>
          <w:kern w:val="2"/>
          <w:sz w:val="32"/>
          <w:szCs w:val="32"/>
        </w:rPr>
        <w:tab/>
      </w:r>
      <w:r>
        <w:rPr>
          <w:rStyle w:val="17"/>
          <w:rFonts w:hint="eastAsia"/>
          <w:sz w:val="32"/>
          <w:szCs w:val="32"/>
        </w:rPr>
        <w:t>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_Toc294623529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rPr>
          <w:rFonts w:ascii="华文楷体" w:hAnsi="华文楷体" w:eastAsia="华文楷体"/>
          <w:sz w:val="32"/>
          <w:szCs w:val="32"/>
        </w:rPr>
        <w:sectPr>
          <w:footerReference r:id="rId3" w:type="default"/>
          <w:pgSz w:w="11906" w:h="16838"/>
          <w:pgMar w:top="1440" w:right="1800" w:bottom="1276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华文楷体" w:hAnsi="华文楷体" w:eastAsia="华文楷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leftChars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1" w:name="_Toc294623522"/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系统登录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USB-KEY的安装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 请登录浙江省药品监督管理局的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"http://www.zjfda.gov.cn/download/index.jsp"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t>下载区</w:t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，将“省局应用系统身份识别卡驱动程序”下载到本地电脑，并双击运行（Udisk.exe）。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 请将USB-KEY连接到电脑，系统会自动识别并安装，当看到如图1-1-1的提示时，就表示已经安装成功了。</w:t>
      </w: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2325370" cy="933450"/>
            <wp:effectExtent l="0" t="0" r="17780" b="0"/>
            <wp:docPr id="57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 descr="1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图1-1-1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注：以上操作步骤仅限于在从未使用过省局各业务系统的电脑上操作，如果是已经可以登录省局业务子系统（如行政审批系统、特殊药品监管系统等）之一的电脑，则也直接登录温湿度在线监管系统。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2、IE设置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 确保您的IE浏览器版本在6.0以上。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2.2 打开IE浏览器，选择菜单栏上的“工具 → Internet选项 → 安全 → 可信站点”（如图1-2-1），然后单击“站点”按钮，在弹出窗口中将“对该区域中的所有站点要求服务器验（https:）（S）”项的勾去掉（如图1-2-2）。然后在“将该网站添加到区域”项中输入“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"http://wsdjg.zjfda.gov.cn"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t>http://mpa.zjf.gov.cn</w:t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”，并点击添加按钮。最后点击“关闭”和“确定”按钮直到退出属性设定界面。</w:t>
      </w:r>
    </w:p>
    <w:p>
      <w:pPr>
        <w:autoSpaceDE w:val="0"/>
        <w:autoSpaceDN w:val="0"/>
        <w:ind w:firstLine="480" w:firstLineChars="200"/>
        <w:rPr>
          <w:sz w:val="24"/>
        </w:rPr>
      </w:pPr>
    </w:p>
    <w:p>
      <w:pPr>
        <w:autoSpaceDE w:val="0"/>
        <w:autoSpaceDN w:val="0"/>
        <w:rPr>
          <w:sz w:val="24"/>
        </w:rPr>
      </w:pPr>
      <w:r>
        <w:rPr>
          <w:sz w:val="24"/>
        </w:rPr>
        <w:drawing>
          <wp:inline distT="0" distB="0" distL="114300" distR="114300">
            <wp:extent cx="2743200" cy="3054350"/>
            <wp:effectExtent l="0" t="0" r="0" b="12700"/>
            <wp:docPr id="8" name="图片 2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2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114300" distR="114300">
            <wp:extent cx="2754630" cy="3020060"/>
            <wp:effectExtent l="0" t="0" r="762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图1-2-1                             图1-2-2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3、登录系统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 确保登录系统前，USB-KEY已连接至电脑。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 在IE浏览器的地址栏中输入地址：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"http://wsdjg.zjfda.gov.cn"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t>http://mpa.zjf.gov.cn</w:t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敲击回车键打开温湿度在线监管系统的登录页面。如果您已经正确安装了USB-KEY驱动，则系统会将USB-KEY中存储的用户名读出，并自动生成至用户名一栏，此时您只需要输入登录密码，单击“登录”按钮或敲击回车键便可登录系统了；如果您收到“读取U盘的程序不存在或出现错误！”的提示，则说明你未正确的安装USB-KEY的驱动，请参照本节《1、USB-KEY的安装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2" w:name="_Toc294623523"/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系统管理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1、修改密码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单击“修改密码”（如图2-1-1），可在“修改用户信息”页面中（如图2-2-1）修改密码及其相关信息。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2058035" cy="1274445"/>
            <wp:effectExtent l="0" t="0" r="1841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（图2-1-1）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732655" cy="1777365"/>
            <wp:effectExtent l="0" t="0" r="10795" b="13335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（图2-1-2）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2、企业开户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单击“系统管理”——“企业管理”（如图2-2-1），出现企</w:t>
      </w:r>
      <w:bookmarkStart w:id="9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业信息界面（如图2-2-2），点击“图2-2-2”中的“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824865" cy="257810"/>
            <wp:effectExtent l="0" t="0" r="13335" b="8890"/>
            <wp:docPr id="5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bookmarkEnd w:id="9"/>
      <w:r>
        <w:rPr>
          <w:rFonts w:hint="default" w:ascii="Times New Roman" w:hAnsi="Times New Roman" w:eastAsia="仿宋_GB2312" w:cs="Times New Roman"/>
          <w:sz w:val="32"/>
          <w:szCs w:val="32"/>
        </w:rPr>
        <w:t>按钮，填入相关信息点击“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657225" cy="235585"/>
            <wp:effectExtent l="0" t="0" r="9525" b="12065"/>
            <wp:docPr id="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”，经省局信息服务中心备案审核后，系统自动向企业端发送64位上报码的消息，企业登陆企业端（apply.zjfda.gov.cn）后即可查看（如图2-2-4、图2-2-5、图2-2-6）。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811655" cy="1136650"/>
            <wp:effectExtent l="0" t="0" r="17145" b="6350"/>
            <wp:docPr id="5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图2-2-1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21655" cy="1826260"/>
            <wp:effectExtent l="0" t="0" r="17145" b="254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图2-2-2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85790" cy="2023745"/>
            <wp:effectExtent l="0" t="0" r="10160" b="1460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图2-2-3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702935" cy="2030095"/>
            <wp:effectExtent l="0" t="0" r="12065" b="8255"/>
            <wp:docPr id="27" name="图片 11" descr="C:\Program Files\Tencent\QQ\Users\4377987\Image\YL6~`@3W(CWYJ}A2}S`SQ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 descr="C:\Program Files\Tencent\QQ\Users\4377987\Image\YL6~`@3W(CWYJ}A2}S`SQ40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图2-2-4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593715" cy="1680210"/>
            <wp:effectExtent l="0" t="0" r="6985" b="15240"/>
            <wp:docPr id="28" name="图片 12" descr="C:\Program Files\Tencent\QQ\Users\4377987\Image\3R@3Y~537IJ8CHJC6PHG~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 descr="C:\Program Files\Tencent\QQ\Users\4377987\Image\3R@3Y~537IJ8CHJC6PHG~9D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  <w:sz w:val="24"/>
        </w:rPr>
      </w:pPr>
      <w:r>
        <w:rPr>
          <w:rFonts w:hint="eastAsia"/>
          <w:sz w:val="24"/>
        </w:rPr>
        <w:t>图2-2-5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699760" cy="1764665"/>
            <wp:effectExtent l="0" t="0" r="15240" b="6985"/>
            <wp:docPr id="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图2-2-6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注：1、非市县管理员无开户权限。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-20" w:leftChars="0" w:firstLine="1280" w:firstLineChars="0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pacing w:val="0"/>
          <w:sz w:val="32"/>
          <w:szCs w:val="32"/>
        </w:rPr>
        <w:t>市县根据材料录入后，把材料邮寄省局信息中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FF0000"/>
          <w:spacing w:val="0"/>
          <w:sz w:val="32"/>
          <w:szCs w:val="32"/>
        </w:rPr>
        <w:t>心备案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3、登录日志管理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单击“登录日志管理”（图2-3-1），进入页面查看市、县局的登录情况（图2-3-2），可通过地区和时间进行查询。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600200" cy="1000760"/>
            <wp:effectExtent l="0" t="0" r="0" b="8890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图2-3-1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539740" cy="1702435"/>
            <wp:effectExtent l="0" t="0" r="3810" b="12065"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图2-3-2</w:t>
      </w:r>
    </w:p>
    <w:p>
      <w:pPr>
        <w:numPr>
          <w:ilvl w:val="0"/>
          <w:numId w:val="0"/>
        </w:numPr>
        <w:autoSpaceDE w:val="0"/>
        <w:autoSpaceDN w:val="0"/>
        <w:ind w:left="360" w:leftChars="0"/>
        <w:outlineLvl w:val="0"/>
        <w:rPr>
          <w:rFonts w:hint="eastAsia"/>
          <w:b/>
          <w:sz w:val="28"/>
          <w:szCs w:val="28"/>
          <w:lang w:eastAsia="zh-CN"/>
        </w:rPr>
      </w:pPr>
      <w:bookmarkStart w:id="3" w:name="_Toc294623524"/>
    </w:p>
    <w:p>
      <w:pPr>
        <w:numPr>
          <w:ilvl w:val="0"/>
          <w:numId w:val="0"/>
        </w:numPr>
        <w:autoSpaceDE w:val="0"/>
        <w:autoSpaceDN w:val="0"/>
        <w:ind w:left="360" w:leftChars="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设备报停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1、单击“监控设备审核”，出现“温湿度设备报停申请”，找到需报停的企业，点击“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02565" cy="213995"/>
            <wp:effectExtent l="0" t="0" r="6985" b="14605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”按钮（图3-1-2），查看报停信息（图3-1-3），同意报停的点击“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69595" cy="208280"/>
            <wp:effectExtent l="0" t="0" r="1905" b="127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”，不同意报停的点击“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69595" cy="169545"/>
            <wp:effectExtent l="0" t="0" r="1905" b="1905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201420" cy="1429385"/>
            <wp:effectExtent l="0" t="0" r="17780" b="18415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图3-1-1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78805" cy="1812290"/>
            <wp:effectExtent l="0" t="0" r="17145" b="165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图3-1-2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54040" cy="1915795"/>
            <wp:effectExtent l="0" t="0" r="3810" b="8255"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图3-1-3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注：“设备报停”是根据企业的报停信息，由市、县有审核权限的人员进行审核，审核通过的，在企业报停时间不监测数据。审核不通过的，（该权限只能由市、县局管理员进行分配），企业设备需要正常上报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" w:name="_Toc294623525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整改通知书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1、单击“整改通知审核”（图4-1-1），进入“温湿度整改通知书信息”页面（图4-1-2），通过查询即可查看“状态”（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未接收、已接收、已反馈、已撤回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29235" cy="209550"/>
            <wp:effectExtent l="0" t="0" r="18415" b="0"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”按钮（图4-1-2），查看整改通知书信息（图4-1-3）。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676400" cy="1084580"/>
            <wp:effectExtent l="0" t="0" r="0" b="1270"/>
            <wp:docPr id="2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图4-1-1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538470" cy="1558925"/>
            <wp:effectExtent l="0" t="0" r="5080" b="317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图4-1-2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00700" cy="2613025"/>
            <wp:effectExtent l="0" t="0" r="0" b="15875"/>
            <wp:docPr id="3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图4-1-3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：连续6次超标，系统自动发送提醒短信给企业联系人；连续8次超标，系统自动发送提醒短信与《整改通知书》给企业。企业进入企业端进行接收确认并打印处理，企业端的操作状态在局端可通过搜索状态来查看。《整改通知书》在发送30天内的都可以撤回（撤回后对企业的信用不会有影响，由市、县局有权限的人员操作，该权限由市、县局管理员进行分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5" w:name="_Toc294623526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冷链上报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1、单击“冷链上报情况”（图5-1-1），进入“冷链上报情况”页面（图5-1-2），点击“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26695" cy="211455"/>
            <wp:effectExtent l="0" t="0" r="1905" b="17145"/>
            <wp:docPr id="3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”按钮，进入“温湿度超标情况”页面（图6-1-3）查看冷藏车温湿度情况。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530985" cy="1682115"/>
            <wp:effectExtent l="0" t="0" r="12065" b="13335"/>
            <wp:docPr id="3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图5-1-1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544185" cy="1847850"/>
            <wp:effectExtent l="0" t="0" r="18415" b="0"/>
            <wp:docPr id="3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图5-1-2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539105" cy="2000250"/>
            <wp:effectExtent l="0" t="0" r="4445" b="0"/>
            <wp:docPr id="2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图5-1-3</w:t>
      </w:r>
    </w:p>
    <w:p>
      <w:pPr>
        <w:ind w:firstLine="480" w:firstLineChars="200"/>
        <w:rPr>
          <w:color w:val="FF0000"/>
          <w:sz w:val="24"/>
        </w:rPr>
      </w:pPr>
    </w:p>
    <w:p>
      <w:pPr>
        <w:ind w:firstLine="480" w:firstLineChars="200"/>
        <w:rPr>
          <w:color w:val="FF0000"/>
          <w:sz w:val="24"/>
        </w:rPr>
      </w:pPr>
    </w:p>
    <w:p>
      <w:pPr>
        <w:ind w:firstLine="480" w:firstLineChars="200"/>
        <w:rPr>
          <w:color w:val="FF0000"/>
          <w:sz w:val="24"/>
        </w:rPr>
      </w:pPr>
    </w:p>
    <w:p>
      <w:pPr>
        <w:numPr>
          <w:ilvl w:val="0"/>
          <w:numId w:val="0"/>
        </w:numPr>
        <w:autoSpaceDE w:val="0"/>
        <w:autoSpaceDN w:val="0"/>
        <w:ind w:left="360" w:leftChars="0"/>
        <w:outlineLvl w:val="0"/>
        <w:rPr>
          <w:rFonts w:hint="eastAsia"/>
          <w:b/>
          <w:sz w:val="28"/>
          <w:szCs w:val="28"/>
          <w:lang w:eastAsia="zh-CN"/>
        </w:rPr>
      </w:pPr>
      <w:bookmarkStart w:id="6" w:name="_Toc2946235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上传监控点布局图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1、单击“上传监控点布局图”（图6-1-1），进入“上传企业温湿度设备布局图”页面（图6-1-2），点击“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93370" cy="276225"/>
            <wp:effectExtent l="0" t="0" r="11430" b="9525"/>
            <wp:docPr id="2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”按钮，进入上传页面（图6-1-3），点击“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864870" cy="233680"/>
            <wp:effectExtent l="0" t="0" r="11430" b="13970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”按钮，选择需上传的图片文件，再点击“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455295" cy="278765"/>
            <wp:effectExtent l="0" t="0" r="1905" b="6985"/>
            <wp:docPr id="3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552575" cy="1524635"/>
            <wp:effectExtent l="0" t="0" r="9525" b="18415"/>
            <wp:docPr id="4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图6-1-1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62930" cy="1988820"/>
            <wp:effectExtent l="0" t="0" r="13970" b="1143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图6-1-2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78170" cy="1889760"/>
            <wp:effectExtent l="0" t="0" r="17780" b="15240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图6-1-3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注：须上传的监控点布局图，请市、县局操作人员审核通过后，再将图片上传到系统中。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left="360" w:leftChars="0" w:firstLine="643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7" w:name="_Toc294623528"/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统计查询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1、温湿度信息查询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单击“温湿度信息查询”（图7-1-1）后，会显示温湿度情况（图7-1-2），点击“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182245" cy="207010"/>
            <wp:effectExtent l="0" t="0" r="8255" b="254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”查看温湿度情况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（红色箭头为超高&lt;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drawing>
          <wp:inline distT="0" distB="0" distL="114300" distR="114300">
            <wp:extent cx="993140" cy="180340"/>
            <wp:effectExtent l="0" t="0" r="16510" b="10160"/>
            <wp:docPr id="4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&gt;，蓝色箭头为超低&lt;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drawing>
          <wp:inline distT="0" distB="0" distL="114300" distR="114300">
            <wp:extent cx="1141095" cy="174625"/>
            <wp:effectExtent l="0" t="0" r="1905" b="15875"/>
            <wp:docPr id="4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&gt;，括弧内为超过部分的温湿度）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680845" cy="1543050"/>
            <wp:effectExtent l="0" t="0" r="14605" b="0"/>
            <wp:docPr id="4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图7-1-1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57850" cy="1789430"/>
            <wp:effectExtent l="0" t="0" r="0" b="1270"/>
            <wp:docPr id="4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图7-1-2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2、企业监测数据查询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点击“企业监测数据查询”（图7-2-1），进入页面查看温湿度情况（图7-2-2），可通过企业名称、监控点号或时间进行查询。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438275" cy="1533525"/>
            <wp:effectExtent l="0" t="0" r="9525" b="9525"/>
            <wp:docPr id="3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图7-2-1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37530" cy="1902460"/>
            <wp:effectExtent l="0" t="0" r="1270" b="2540"/>
            <wp:docPr id="4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图7-2-2</w:t>
      </w:r>
    </w:p>
    <w:p>
      <w:pPr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3、企业整改通知书查询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单击“企业整改通知书查询”（图7-3-1），进入页面查看整改通知书的处理情况（图7-3-2），可通过企业名称和时间进行查询。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413510" cy="1875155"/>
            <wp:effectExtent l="0" t="0" r="15240" b="10795"/>
            <wp:docPr id="4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图7-3-1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83250" cy="1913890"/>
            <wp:effectExtent l="0" t="0" r="12700" b="10160"/>
            <wp:docPr id="1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图7-3-2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4、地区整改通知书查询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单击“地区整改通知书查询”（图7-4-1），进入页面查看整改通知书的情况（图7-4-2），可通过地区和时间进行查询。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424305" cy="1753870"/>
            <wp:effectExtent l="0" t="0" r="4445" b="17780"/>
            <wp:docPr id="5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图7-4-1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627370" cy="1615440"/>
            <wp:effectExtent l="0" t="0" r="11430" b="3810"/>
            <wp:docPr id="5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图7-4-2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5、温湿度超标统计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单击“温湿度超标统计”（图7-5-1），进入页面查看市、县的温湿度超标企业情况（图7-5-2），可通过地区和时间进行查询。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1343660" cy="1432560"/>
            <wp:effectExtent l="0" t="0" r="8890" b="15240"/>
            <wp:docPr id="5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图7-5-1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544820" cy="1737360"/>
            <wp:effectExtent l="0" t="0" r="17780" b="15240"/>
            <wp:docPr id="1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图7-5-2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6、市县局登录统计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单击“市县局登录统计”（图7-6-1），进入页面查看市、县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局的登录情况（图7-6-2），可通过地区和时间进行查询。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1287145" cy="1633220"/>
            <wp:effectExtent l="0" t="0" r="8255" b="5080"/>
            <wp:docPr id="3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图7-6-1</w:t>
      </w:r>
    </w:p>
    <w:p>
      <w:pPr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709285" cy="4728210"/>
            <wp:effectExtent l="0" t="0" r="5715" b="15240"/>
            <wp:docPr id="5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图7-6-2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8" w:name="_Toc294623529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说明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冷链管理系统地址为：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"http://WSDLL.zjfda.gov.cn"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t>http://WSDLL.zjfda.gov.cn</w:t>
      </w:r>
      <w:r>
        <w:rPr>
          <w:rStyle w:val="17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，操作方法与温湿度在线监管系统基本相同，手册中不再说明。</w:t>
      </w:r>
    </w:p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雪君体简">
    <w:altName w:val="Arial Unicode MS"/>
    <w:panose1 w:val="00000000000000000000"/>
    <w:charset w:val="00"/>
    <w:family w:val="auto"/>
    <w:pitch w:val="default"/>
    <w:sig w:usb0="00000000" w:usb1="0000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FC739"/>
    <w:multiLevelType w:val="singleLevel"/>
    <w:tmpl w:val="249FC739"/>
    <w:lvl w:ilvl="0" w:tentative="0">
      <w:start w:val="2"/>
      <w:numFmt w:val="decimal"/>
      <w:suff w:val="nothing"/>
      <w:lvlText w:val="%1、"/>
      <w:lvlJc w:val="left"/>
      <w:pPr>
        <w:ind w:left="-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C02"/>
    <w:rsid w:val="00002B3A"/>
    <w:rsid w:val="00007109"/>
    <w:rsid w:val="00026040"/>
    <w:rsid w:val="00053E77"/>
    <w:rsid w:val="00076007"/>
    <w:rsid w:val="00092ED8"/>
    <w:rsid w:val="000E3C02"/>
    <w:rsid w:val="000F2107"/>
    <w:rsid w:val="00151192"/>
    <w:rsid w:val="001C544F"/>
    <w:rsid w:val="001E3292"/>
    <w:rsid w:val="002060DF"/>
    <w:rsid w:val="00222D5C"/>
    <w:rsid w:val="002414F4"/>
    <w:rsid w:val="00252208"/>
    <w:rsid w:val="00285BC5"/>
    <w:rsid w:val="002E3C19"/>
    <w:rsid w:val="003163E9"/>
    <w:rsid w:val="00332A99"/>
    <w:rsid w:val="00334049"/>
    <w:rsid w:val="00352038"/>
    <w:rsid w:val="00357D2D"/>
    <w:rsid w:val="00436E27"/>
    <w:rsid w:val="00450BDE"/>
    <w:rsid w:val="00484F32"/>
    <w:rsid w:val="004C64BF"/>
    <w:rsid w:val="004D429A"/>
    <w:rsid w:val="004F6127"/>
    <w:rsid w:val="005040E6"/>
    <w:rsid w:val="00562FC6"/>
    <w:rsid w:val="0059642D"/>
    <w:rsid w:val="005C553F"/>
    <w:rsid w:val="005D0CA5"/>
    <w:rsid w:val="005D1763"/>
    <w:rsid w:val="005F5F7A"/>
    <w:rsid w:val="00621448"/>
    <w:rsid w:val="00635EED"/>
    <w:rsid w:val="006F526A"/>
    <w:rsid w:val="00702B3A"/>
    <w:rsid w:val="007038BC"/>
    <w:rsid w:val="007360D5"/>
    <w:rsid w:val="00774463"/>
    <w:rsid w:val="00775624"/>
    <w:rsid w:val="007A6F12"/>
    <w:rsid w:val="007B7E4A"/>
    <w:rsid w:val="008050A0"/>
    <w:rsid w:val="00847C7B"/>
    <w:rsid w:val="00892E81"/>
    <w:rsid w:val="008972BC"/>
    <w:rsid w:val="0090430C"/>
    <w:rsid w:val="00907A79"/>
    <w:rsid w:val="00915303"/>
    <w:rsid w:val="00940D56"/>
    <w:rsid w:val="00980941"/>
    <w:rsid w:val="00A011FC"/>
    <w:rsid w:val="00A01F9C"/>
    <w:rsid w:val="00A051FD"/>
    <w:rsid w:val="00A55EA4"/>
    <w:rsid w:val="00A67659"/>
    <w:rsid w:val="00A83766"/>
    <w:rsid w:val="00A90FB9"/>
    <w:rsid w:val="00AB55C1"/>
    <w:rsid w:val="00AE6DA7"/>
    <w:rsid w:val="00B90953"/>
    <w:rsid w:val="00BB61BE"/>
    <w:rsid w:val="00C255BE"/>
    <w:rsid w:val="00C41CD0"/>
    <w:rsid w:val="00C44837"/>
    <w:rsid w:val="00C53EB8"/>
    <w:rsid w:val="00C66645"/>
    <w:rsid w:val="00C718AE"/>
    <w:rsid w:val="00C852DB"/>
    <w:rsid w:val="00CA07EB"/>
    <w:rsid w:val="00CD51FA"/>
    <w:rsid w:val="00CE2127"/>
    <w:rsid w:val="00D338AE"/>
    <w:rsid w:val="00D475E3"/>
    <w:rsid w:val="00D72EEB"/>
    <w:rsid w:val="00DC300C"/>
    <w:rsid w:val="00E46F00"/>
    <w:rsid w:val="00E53DAD"/>
    <w:rsid w:val="00EA24AB"/>
    <w:rsid w:val="00EA3680"/>
    <w:rsid w:val="00ED3202"/>
    <w:rsid w:val="00ED3A43"/>
    <w:rsid w:val="00F0120E"/>
    <w:rsid w:val="00F1562C"/>
    <w:rsid w:val="00F24EEA"/>
    <w:rsid w:val="00F330CC"/>
    <w:rsid w:val="00F61D11"/>
    <w:rsid w:val="00F83907"/>
    <w:rsid w:val="00FA745B"/>
    <w:rsid w:val="00FB05C7"/>
    <w:rsid w:val="00FC60B7"/>
    <w:rsid w:val="029E2212"/>
    <w:rsid w:val="17CB4FBC"/>
    <w:rsid w:val="2D8F6376"/>
    <w:rsid w:val="377A424F"/>
    <w:rsid w:val="38C151F6"/>
    <w:rsid w:val="3CE6DDC5"/>
    <w:rsid w:val="3DF76935"/>
    <w:rsid w:val="592317C0"/>
    <w:rsid w:val="5AFA7D51"/>
    <w:rsid w:val="5BDC22C7"/>
    <w:rsid w:val="66F216D7"/>
    <w:rsid w:val="6A8457DD"/>
    <w:rsid w:val="71D43278"/>
    <w:rsid w:val="74AFF6F8"/>
    <w:rsid w:val="75E57EDE"/>
    <w:rsid w:val="776FDCD2"/>
    <w:rsid w:val="793DD106"/>
    <w:rsid w:val="79A4E909"/>
    <w:rsid w:val="79DF30EA"/>
    <w:rsid w:val="7DCF79CB"/>
    <w:rsid w:val="7E67C2CE"/>
    <w:rsid w:val="7EF89E82"/>
    <w:rsid w:val="7F6552AB"/>
    <w:rsid w:val="977FFF11"/>
    <w:rsid w:val="B76F3704"/>
    <w:rsid w:val="BFAF07F9"/>
    <w:rsid w:val="BFCFC98C"/>
    <w:rsid w:val="C7B7BDBA"/>
    <w:rsid w:val="C7FFCC82"/>
    <w:rsid w:val="CF7FB98B"/>
    <w:rsid w:val="D8DC0C18"/>
    <w:rsid w:val="DAFF5956"/>
    <w:rsid w:val="DEFFEE56"/>
    <w:rsid w:val="F3F7239C"/>
    <w:rsid w:val="F7AB9EEE"/>
    <w:rsid w:val="FBDF69F7"/>
    <w:rsid w:val="FDEC77DF"/>
    <w:rsid w:val="FDFF69AA"/>
    <w:rsid w:val="FFEE58E4"/>
    <w:rsid w:val="FFF79789"/>
    <w:rsid w:val="FFFDE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CharAttribute3"/>
    <w:qFormat/>
    <w:uiPriority w:val="0"/>
    <w:rPr>
      <w:rFonts w:hint="eastAsia" w:ascii="仿宋_GB2312" w:hAnsi="Calibri" w:eastAsia="Times New Roman"/>
      <w:sz w:val="32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24">
    <w:name w:val="Code"/>
    <w:basedOn w:val="1"/>
    <w:qFormat/>
    <w:uiPriority w:val="0"/>
    <w:pPr>
      <w:shd w:val="clear" w:color="auto" w:fill="D9D9D9"/>
      <w:jc w:val="left"/>
    </w:pPr>
    <w:rPr>
      <w:rFonts w:ascii="Calibri" w:hAnsi="Calibri" w:eastAsia="新宋体" w:cs="Times New Roman"/>
      <w:kern w:val="0"/>
      <w:szCs w:val="21"/>
    </w:rPr>
  </w:style>
  <w:style w:type="paragraph" w:customStyle="1" w:styleId="25">
    <w:name w:val="_Style 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26">
    <w:name w:val="批注框文本 字符"/>
    <w:basedOn w:val="16"/>
    <w:link w:val="7"/>
    <w:semiHidden/>
    <w:qFormat/>
    <w:uiPriority w:val="99"/>
    <w:rPr>
      <w:kern w:val="2"/>
      <w:sz w:val="18"/>
      <w:szCs w:val="18"/>
    </w:rPr>
  </w:style>
  <w:style w:type="character" w:customStyle="1" w:styleId="27">
    <w:name w:val="批注文字 字符"/>
    <w:basedOn w:val="16"/>
    <w:link w:val="5"/>
    <w:semiHidden/>
    <w:qFormat/>
    <w:uiPriority w:val="99"/>
    <w:rPr>
      <w:kern w:val="2"/>
      <w:sz w:val="21"/>
      <w:szCs w:val="22"/>
    </w:rPr>
  </w:style>
  <w:style w:type="character" w:customStyle="1" w:styleId="28">
    <w:name w:val="批注主题 字符"/>
    <w:basedOn w:val="27"/>
    <w:link w:val="1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6" Type="http://schemas.openxmlformats.org/officeDocument/2006/relationships/fontTable" Target="fontTable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jpe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3485</Words>
  <Characters>19869</Characters>
  <Lines>165</Lines>
  <Paragraphs>46</Paragraphs>
  <TotalTime>82</TotalTime>
  <ScaleCrop>false</ScaleCrop>
  <LinksUpToDate>false</LinksUpToDate>
  <CharactersWithSpaces>23308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2021-12-04T21:12:00Z</dcterms:created>
  <dc:creator>王蓓</dc:creator>
  <cp:lastModifiedBy>Administrator</cp:lastModifiedBy>
  <dcterms:modified xsi:type="dcterms:W3CDTF">2021-12-27T07:54:09Z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