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华文中宋"/>
          <w:b/>
          <w:bCs/>
          <w:sz w:val="44"/>
          <w:szCs w:val="44"/>
        </w:rPr>
      </w:pPr>
    </w:p>
    <w:p>
      <w:pPr>
        <w:jc w:val="center"/>
        <w:rPr>
          <w:rFonts w:eastAsia="华文中宋"/>
          <w:b/>
          <w:bCs/>
          <w:sz w:val="44"/>
          <w:szCs w:val="44"/>
        </w:rPr>
      </w:pPr>
    </w:p>
    <w:p>
      <w:pPr>
        <w:jc w:val="center"/>
        <w:rPr>
          <w:rFonts w:eastAsia="华文中宋"/>
          <w:b/>
          <w:bCs/>
          <w:sz w:val="44"/>
          <w:szCs w:val="44"/>
        </w:rPr>
      </w:pPr>
    </w:p>
    <w:p>
      <w:pPr>
        <w:jc w:val="center"/>
        <w:rPr>
          <w:rFonts w:eastAsia="华文中宋"/>
          <w:b/>
          <w:bCs/>
          <w:sz w:val="44"/>
          <w:szCs w:val="44"/>
        </w:rPr>
      </w:pPr>
      <w:r>
        <w:rPr>
          <w:rFonts w:eastAsia="华文中宋"/>
          <w:b/>
          <w:bCs/>
          <w:sz w:val="44"/>
          <w:szCs w:val="44"/>
        </w:rPr>
        <w:t>湖州南浔区水生态环境保护“十四五”规划</w:t>
      </w:r>
    </w:p>
    <w:p>
      <w:pPr>
        <w:jc w:val="center"/>
        <w:rPr>
          <w:rFonts w:eastAsia="华文中宋"/>
          <w:b w:val="0"/>
          <w:bCs w:val="0"/>
          <w:sz w:val="36"/>
          <w:szCs w:val="36"/>
        </w:rPr>
      </w:pPr>
      <w:r>
        <w:rPr>
          <w:rFonts w:eastAsia="华文中宋"/>
          <w:b w:val="0"/>
          <w:bCs w:val="0"/>
          <w:sz w:val="36"/>
          <w:szCs w:val="36"/>
        </w:rPr>
        <w:t>（</w:t>
      </w:r>
      <w:r>
        <w:rPr>
          <w:rFonts w:hint="eastAsia" w:eastAsia="华文中宋"/>
          <w:b w:val="0"/>
          <w:bCs w:val="0"/>
          <w:sz w:val="36"/>
          <w:szCs w:val="36"/>
          <w:lang w:eastAsia="zh-CN"/>
        </w:rPr>
        <w:t>征求意见</w:t>
      </w:r>
      <w:r>
        <w:rPr>
          <w:rFonts w:hint="eastAsia" w:eastAsia="华文中宋"/>
          <w:b w:val="0"/>
          <w:bCs w:val="0"/>
          <w:sz w:val="36"/>
          <w:szCs w:val="36"/>
        </w:rPr>
        <w:t>稿</w:t>
      </w:r>
      <w:r>
        <w:rPr>
          <w:rFonts w:eastAsia="华文中宋"/>
          <w:b w:val="0"/>
          <w:bCs w:val="0"/>
          <w:sz w:val="36"/>
          <w:szCs w:val="36"/>
        </w:rPr>
        <w:t>）</w:t>
      </w: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rFonts w:eastAsia="黑体"/>
          <w:bCs/>
          <w:sz w:val="32"/>
          <w:szCs w:val="32"/>
        </w:rPr>
      </w:pPr>
      <w:r>
        <w:rPr>
          <w:rFonts w:eastAsia="黑体"/>
          <w:bCs/>
          <w:sz w:val="32"/>
          <w:szCs w:val="32"/>
        </w:rPr>
        <w:t>湖州市生态环境局南浔分局</w:t>
      </w:r>
    </w:p>
    <w:p>
      <w:pPr>
        <w:jc w:val="center"/>
        <w:rPr>
          <w:rFonts w:eastAsia="黑体"/>
          <w:bCs/>
          <w:sz w:val="32"/>
          <w:szCs w:val="32"/>
        </w:rPr>
      </w:pPr>
      <w:r>
        <w:rPr>
          <w:rFonts w:eastAsia="黑体"/>
          <w:bCs/>
          <w:sz w:val="32"/>
          <w:szCs w:val="32"/>
        </w:rPr>
        <w:t>二〇二一年</w:t>
      </w:r>
      <w:r>
        <w:rPr>
          <w:rFonts w:hint="eastAsia" w:eastAsia="黑体"/>
          <w:bCs/>
          <w:sz w:val="32"/>
          <w:szCs w:val="32"/>
        </w:rPr>
        <w:t>十</w:t>
      </w:r>
      <w:r>
        <w:rPr>
          <w:rFonts w:hint="eastAsia" w:eastAsia="黑体"/>
          <w:bCs/>
          <w:sz w:val="32"/>
          <w:szCs w:val="32"/>
          <w:lang w:eastAsia="zh-CN"/>
        </w:rPr>
        <w:t>二</w:t>
      </w:r>
      <w:r>
        <w:rPr>
          <w:rFonts w:eastAsia="黑体"/>
          <w:bCs/>
          <w:sz w:val="32"/>
          <w:szCs w:val="32"/>
        </w:rPr>
        <w:t>月</w:t>
      </w:r>
    </w:p>
    <w:p>
      <w:pPr>
        <w:jc w:val="center"/>
        <w:rPr>
          <w:rFonts w:eastAsia="仿宋_GB2312"/>
          <w:sz w:val="28"/>
          <w:szCs w:val="28"/>
          <w:highlight w:val="yellow"/>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sdt>
      <w:sdtPr>
        <w:rPr>
          <w:rFonts w:ascii="Times New Roman" w:hAnsi="Times New Roman" w:eastAsia="宋体" w:cs="Times New Roman"/>
          <w:color w:val="auto"/>
          <w:kern w:val="2"/>
          <w:sz w:val="21"/>
          <w:szCs w:val="22"/>
          <w:highlight w:val="yellow"/>
          <w:lang w:val="zh-CN"/>
        </w:rPr>
        <w:id w:val="-329753058"/>
        <w:docPartObj>
          <w:docPartGallery w:val="Table of Contents"/>
          <w:docPartUnique/>
        </w:docPartObj>
      </w:sdtPr>
      <w:sdtEndPr>
        <w:rPr>
          <w:rFonts w:ascii="Times New Roman" w:hAnsi="Times New Roman" w:eastAsia="宋体" w:cs="Times New Roman"/>
          <w:bCs/>
          <w:color w:val="auto"/>
          <w:kern w:val="2"/>
          <w:sz w:val="21"/>
          <w:szCs w:val="22"/>
          <w:highlight w:val="yellow"/>
          <w:lang w:val="zh-CN"/>
        </w:rPr>
      </w:sdtEndPr>
      <w:sdtContent>
        <w:p>
          <w:pPr>
            <w:pStyle w:val="109"/>
            <w:jc w:val="center"/>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lang w:val="zh-CN"/>
            </w:rPr>
            <w:t>目录</w:t>
          </w:r>
        </w:p>
        <w:p>
          <w:pPr>
            <w:pStyle w:val="20"/>
            <w:spacing w:before="0" w:after="0"/>
            <w:rPr>
              <w:rFonts w:ascii="Times New Roman" w:eastAsia="仿宋_GB2312"/>
              <w:b w:val="0"/>
              <w:bCs w:val="0"/>
              <w:caps w:val="0"/>
              <w:sz w:val="24"/>
              <w:szCs w:val="24"/>
            </w:rPr>
          </w:pPr>
          <w:r>
            <w:rPr>
              <w:rFonts w:ascii="Times New Roman" w:eastAsia="仿宋_GB2312"/>
              <w:b w:val="0"/>
              <w:bCs w:val="0"/>
              <w:sz w:val="24"/>
              <w:szCs w:val="24"/>
            </w:rPr>
            <w:fldChar w:fldCharType="begin"/>
          </w:r>
          <w:r>
            <w:rPr>
              <w:rFonts w:ascii="Times New Roman" w:eastAsia="仿宋_GB2312"/>
              <w:b w:val="0"/>
              <w:bCs w:val="0"/>
              <w:sz w:val="24"/>
              <w:szCs w:val="24"/>
            </w:rPr>
            <w:instrText xml:space="preserve"> TOC \o "1-3" \h \z \u </w:instrText>
          </w:r>
          <w:r>
            <w:rPr>
              <w:rFonts w:ascii="Times New Roman" w:eastAsia="仿宋_GB2312"/>
              <w:b w:val="0"/>
              <w:bCs w:val="0"/>
              <w:sz w:val="24"/>
              <w:szCs w:val="24"/>
            </w:rPr>
            <w:fldChar w:fldCharType="separate"/>
          </w:r>
          <w:r>
            <w:fldChar w:fldCharType="begin"/>
          </w:r>
          <w:r>
            <w:instrText xml:space="preserve"> HYPERLINK \l "_Toc71899926" </w:instrText>
          </w:r>
          <w:r>
            <w:fldChar w:fldCharType="separate"/>
          </w:r>
          <w:r>
            <w:rPr>
              <w:rStyle w:val="35"/>
              <w:rFonts w:ascii="Times New Roman" w:eastAsia="仿宋_GB2312"/>
              <w:b w:val="0"/>
              <w:sz w:val="24"/>
              <w:szCs w:val="24"/>
            </w:rPr>
            <w:t>一、 湖州市南浔区基本情况</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_Toc71899926 \h </w:instrText>
          </w:r>
          <w:r>
            <w:rPr>
              <w:rFonts w:ascii="Times New Roman" w:eastAsia="仿宋_GB2312"/>
              <w:b w:val="0"/>
              <w:sz w:val="24"/>
              <w:szCs w:val="24"/>
            </w:rPr>
            <w:fldChar w:fldCharType="separate"/>
          </w:r>
          <w:r>
            <w:rPr>
              <w:rFonts w:ascii="Times New Roman" w:eastAsia="仿宋_GB2312"/>
              <w:b w:val="0"/>
              <w:sz w:val="24"/>
              <w:szCs w:val="24"/>
            </w:rPr>
            <w:t>1</w:t>
          </w:r>
          <w:r>
            <w:rPr>
              <w:rFonts w:ascii="Times New Roman" w:eastAsia="仿宋_GB2312"/>
              <w:b w:val="0"/>
              <w:sz w:val="24"/>
              <w:szCs w:val="24"/>
            </w:rPr>
            <w:fldChar w:fldCharType="end"/>
          </w:r>
          <w:r>
            <w:rPr>
              <w:rFonts w:ascii="Times New Roman" w:eastAsia="仿宋_GB2312"/>
              <w:b w:val="0"/>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"_Toc71899927" </w:instrText>
          </w:r>
          <w:r>
            <w:fldChar w:fldCharType="separate"/>
          </w:r>
          <w:r>
            <w:rPr>
              <w:rStyle w:val="35"/>
              <w:rFonts w:ascii="Times New Roman" w:hAnsi="Times New Roman" w:eastAsia="仿宋_GB2312" w:cs="Times New Roman"/>
              <w:sz w:val="24"/>
              <w:szCs w:val="24"/>
            </w:rPr>
            <w:t>（一）</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区域概况</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_Toc71899927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"_Toc71899928" </w:instrText>
          </w:r>
          <w:r>
            <w:fldChar w:fldCharType="separate"/>
          </w:r>
          <w:r>
            <w:rPr>
              <w:rStyle w:val="35"/>
              <w:rFonts w:ascii="Times New Roman" w:hAnsi="Times New Roman" w:eastAsia="仿宋_GB2312" w:cs="Times New Roman"/>
              <w:i w:val="0"/>
              <w:sz w:val="24"/>
              <w:szCs w:val="24"/>
            </w:rPr>
            <w:t>1、</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地理位置</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_Toc71899928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1</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"_Toc71899929" </w:instrText>
          </w:r>
          <w:r>
            <w:fldChar w:fldCharType="separate"/>
          </w:r>
          <w:r>
            <w:rPr>
              <w:rStyle w:val="35"/>
              <w:rFonts w:ascii="Times New Roman" w:hAnsi="Times New Roman" w:eastAsia="仿宋_GB2312" w:cs="Times New Roman"/>
              <w:i w:val="0"/>
              <w:sz w:val="24"/>
              <w:szCs w:val="24"/>
            </w:rPr>
            <w:t>2、</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水系特征</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_Toc71899929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1</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"_Toc71899930" </w:instrText>
          </w:r>
          <w:r>
            <w:fldChar w:fldCharType="separate"/>
          </w:r>
          <w:r>
            <w:rPr>
              <w:rStyle w:val="35"/>
              <w:rFonts w:ascii="Times New Roman" w:hAnsi="Times New Roman" w:eastAsia="仿宋_GB2312" w:cs="Times New Roman"/>
              <w:i w:val="0"/>
              <w:sz w:val="24"/>
              <w:szCs w:val="24"/>
            </w:rPr>
            <w:t>3、</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水文气候</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_Toc71899930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3</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"_Toc71899931" </w:instrText>
          </w:r>
          <w:r>
            <w:fldChar w:fldCharType="separate"/>
          </w:r>
          <w:r>
            <w:rPr>
              <w:rStyle w:val="35"/>
              <w:rFonts w:ascii="Times New Roman" w:hAnsi="Times New Roman" w:eastAsia="仿宋_GB2312" w:cs="Times New Roman"/>
              <w:i w:val="0"/>
              <w:sz w:val="24"/>
              <w:szCs w:val="24"/>
            </w:rPr>
            <w:t>4、</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土地利用</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_Toc71899931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3</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"_Toc71899932" </w:instrText>
          </w:r>
          <w:r>
            <w:fldChar w:fldCharType="separate"/>
          </w:r>
          <w:r>
            <w:rPr>
              <w:rStyle w:val="35"/>
              <w:rFonts w:ascii="Times New Roman" w:hAnsi="Times New Roman" w:eastAsia="仿宋_GB2312" w:cs="Times New Roman"/>
              <w:i w:val="0"/>
              <w:sz w:val="24"/>
              <w:szCs w:val="24"/>
            </w:rPr>
            <w:t>5、</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社会经济</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_Toc71899932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3</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"_Toc71899933" </w:instrText>
          </w:r>
          <w:r>
            <w:fldChar w:fldCharType="separate"/>
          </w:r>
          <w:r>
            <w:rPr>
              <w:rStyle w:val="35"/>
              <w:rFonts w:ascii="Times New Roman" w:hAnsi="Times New Roman" w:eastAsia="仿宋_GB2312" w:cs="Times New Roman"/>
              <w:sz w:val="24"/>
              <w:szCs w:val="24"/>
            </w:rPr>
            <w:t>（二）</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水生态环境状况分析</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_Toc71899933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"_Toc71899934" </w:instrText>
          </w:r>
          <w:r>
            <w:fldChar w:fldCharType="separate"/>
          </w:r>
          <w:r>
            <w:rPr>
              <w:rStyle w:val="35"/>
              <w:rFonts w:ascii="Times New Roman" w:hAnsi="Times New Roman" w:eastAsia="仿宋_GB2312" w:cs="Times New Roman"/>
              <w:i w:val="0"/>
              <w:sz w:val="24"/>
              <w:szCs w:val="24"/>
            </w:rPr>
            <w:t>1、</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水环境状况</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_Toc71899934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3</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"_Toc71899935" </w:instrText>
          </w:r>
          <w:r>
            <w:fldChar w:fldCharType="separate"/>
          </w:r>
          <w:r>
            <w:rPr>
              <w:rStyle w:val="35"/>
              <w:rFonts w:ascii="Times New Roman" w:hAnsi="Times New Roman" w:eastAsia="仿宋_GB2312" w:cs="Times New Roman"/>
              <w:i w:val="0"/>
              <w:sz w:val="24"/>
              <w:szCs w:val="24"/>
            </w:rPr>
            <w:t>2、</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水生态状况</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_Toc71899935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18</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"_Toc71899936" </w:instrText>
          </w:r>
          <w:r>
            <w:fldChar w:fldCharType="separate"/>
          </w:r>
          <w:r>
            <w:rPr>
              <w:rStyle w:val="35"/>
              <w:rFonts w:ascii="Times New Roman" w:hAnsi="Times New Roman" w:eastAsia="仿宋_GB2312" w:cs="Times New Roman"/>
              <w:i w:val="0"/>
              <w:sz w:val="24"/>
              <w:szCs w:val="24"/>
            </w:rPr>
            <w:t>3、</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水资源状况</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_Toc71899936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20</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13"/>
            <w:tabs>
              <w:tab w:val="left" w:pos="1050"/>
              <w:tab w:val="right" w:leader="dot" w:pos="8296"/>
            </w:tabs>
            <w:rPr>
              <w:rFonts w:ascii="Times New Roman" w:hAnsi="Times New Roman" w:eastAsia="仿宋_GB2312" w:cs="Times New Roman"/>
              <w:i w:val="0"/>
              <w:iCs w:val="0"/>
              <w:sz w:val="24"/>
              <w:szCs w:val="24"/>
            </w:rPr>
          </w:pPr>
          <w:r>
            <w:fldChar w:fldCharType="begin"/>
          </w:r>
          <w:r>
            <w:instrText xml:space="preserve"> HYPERLINK \l "_Toc71899937" </w:instrText>
          </w:r>
          <w:r>
            <w:fldChar w:fldCharType="separate"/>
          </w:r>
          <w:r>
            <w:rPr>
              <w:rStyle w:val="35"/>
              <w:rFonts w:ascii="Times New Roman" w:hAnsi="Times New Roman" w:eastAsia="仿宋_GB2312" w:cs="Times New Roman"/>
              <w:i w:val="0"/>
              <w:sz w:val="24"/>
              <w:szCs w:val="24"/>
            </w:rPr>
            <w:t>4、</w:t>
          </w:r>
          <w:r>
            <w:rPr>
              <w:rFonts w:ascii="Times New Roman" w:hAnsi="Times New Roman" w:eastAsia="仿宋_GB2312" w:cs="Times New Roman"/>
              <w:i w:val="0"/>
              <w:iCs w:val="0"/>
              <w:sz w:val="24"/>
              <w:szCs w:val="24"/>
            </w:rPr>
            <w:tab/>
          </w:r>
          <w:r>
            <w:rPr>
              <w:rStyle w:val="35"/>
              <w:rFonts w:ascii="Times New Roman" w:hAnsi="Times New Roman" w:eastAsia="仿宋_GB2312" w:cs="Times New Roman"/>
              <w:i w:val="0"/>
              <w:sz w:val="24"/>
              <w:szCs w:val="24"/>
            </w:rPr>
            <w:t>环境风险状况</w:t>
          </w:r>
          <w:r>
            <w:rPr>
              <w:rFonts w:ascii="Times New Roman" w:hAnsi="Times New Roman" w:eastAsia="仿宋_GB2312" w:cs="Times New Roman"/>
              <w:i w:val="0"/>
              <w:sz w:val="24"/>
              <w:szCs w:val="24"/>
            </w:rPr>
            <w:tab/>
          </w:r>
          <w:r>
            <w:rPr>
              <w:rFonts w:ascii="Times New Roman" w:hAnsi="Times New Roman" w:eastAsia="仿宋_GB2312" w:cs="Times New Roman"/>
              <w:i w:val="0"/>
              <w:sz w:val="24"/>
              <w:szCs w:val="24"/>
            </w:rPr>
            <w:fldChar w:fldCharType="begin"/>
          </w:r>
          <w:r>
            <w:rPr>
              <w:rFonts w:ascii="Times New Roman" w:hAnsi="Times New Roman" w:eastAsia="仿宋_GB2312" w:cs="Times New Roman"/>
              <w:i w:val="0"/>
              <w:sz w:val="24"/>
              <w:szCs w:val="24"/>
            </w:rPr>
            <w:instrText xml:space="preserve"> PAGEREF _Toc71899937 \h </w:instrText>
          </w:r>
          <w:r>
            <w:rPr>
              <w:rFonts w:ascii="Times New Roman" w:hAnsi="Times New Roman" w:eastAsia="仿宋_GB2312" w:cs="Times New Roman"/>
              <w:i w:val="0"/>
              <w:sz w:val="24"/>
              <w:szCs w:val="24"/>
            </w:rPr>
            <w:fldChar w:fldCharType="separate"/>
          </w:r>
          <w:r>
            <w:rPr>
              <w:rFonts w:ascii="Times New Roman" w:hAnsi="Times New Roman" w:eastAsia="仿宋_GB2312" w:cs="Times New Roman"/>
              <w:i w:val="0"/>
              <w:sz w:val="24"/>
              <w:szCs w:val="24"/>
            </w:rPr>
            <w:t>22</w:t>
          </w:r>
          <w:r>
            <w:rPr>
              <w:rFonts w:ascii="Times New Roman" w:hAnsi="Times New Roman" w:eastAsia="仿宋_GB2312" w:cs="Times New Roman"/>
              <w:i w:val="0"/>
              <w:sz w:val="24"/>
              <w:szCs w:val="24"/>
            </w:rPr>
            <w:fldChar w:fldCharType="end"/>
          </w:r>
          <w:r>
            <w:rPr>
              <w:rFonts w:ascii="Times New Roman" w:hAnsi="Times New Roman" w:eastAsia="仿宋_GB2312" w:cs="Times New Roman"/>
              <w:i w:val="0"/>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"_Toc71899938" </w:instrText>
          </w:r>
          <w:r>
            <w:fldChar w:fldCharType="separate"/>
          </w:r>
          <w:r>
            <w:rPr>
              <w:rStyle w:val="35"/>
              <w:rFonts w:ascii="Times New Roman" w:hAnsi="Times New Roman" w:eastAsia="仿宋_GB2312" w:cs="Times New Roman"/>
              <w:sz w:val="24"/>
              <w:szCs w:val="24"/>
            </w:rPr>
            <w:t>（三）</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成效经验</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_Toc71899938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23</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"_Toc71899939" </w:instrText>
          </w:r>
          <w:r>
            <w:fldChar w:fldCharType="separate"/>
          </w:r>
          <w:r>
            <w:rPr>
              <w:rStyle w:val="35"/>
              <w:rFonts w:ascii="Times New Roman" w:hAnsi="Times New Roman" w:eastAsia="仿宋_GB2312" w:cs="Times New Roman"/>
              <w:sz w:val="24"/>
              <w:szCs w:val="24"/>
            </w:rPr>
            <w:t>（四）</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形势挑战</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_Toc71899939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24</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0"/>
            <w:spacing w:before="0" w:after="0"/>
            <w:rPr>
              <w:rFonts w:ascii="Times New Roman" w:eastAsia="仿宋_GB2312"/>
              <w:b w:val="0"/>
              <w:bCs w:val="0"/>
              <w:caps w:val="0"/>
              <w:sz w:val="24"/>
              <w:szCs w:val="24"/>
            </w:rPr>
          </w:pPr>
          <w:r>
            <w:fldChar w:fldCharType="begin"/>
          </w:r>
          <w:r>
            <w:instrText xml:space="preserve"> HYPERLINK \l "_Toc71899940" </w:instrText>
          </w:r>
          <w:r>
            <w:fldChar w:fldCharType="separate"/>
          </w:r>
          <w:r>
            <w:rPr>
              <w:rStyle w:val="35"/>
              <w:rFonts w:ascii="Times New Roman" w:eastAsia="仿宋_GB2312"/>
              <w:b w:val="0"/>
              <w:sz w:val="24"/>
              <w:szCs w:val="24"/>
            </w:rPr>
            <w:t>二、 总体要求</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_Toc71899940 \h </w:instrText>
          </w:r>
          <w:r>
            <w:rPr>
              <w:rFonts w:ascii="Times New Roman" w:eastAsia="仿宋_GB2312"/>
              <w:b w:val="0"/>
              <w:sz w:val="24"/>
              <w:szCs w:val="24"/>
            </w:rPr>
            <w:fldChar w:fldCharType="separate"/>
          </w:r>
          <w:r>
            <w:rPr>
              <w:rFonts w:ascii="Times New Roman" w:eastAsia="仿宋_GB2312"/>
              <w:b w:val="0"/>
              <w:sz w:val="24"/>
              <w:szCs w:val="24"/>
            </w:rPr>
            <w:t>26</w:t>
          </w:r>
          <w:r>
            <w:rPr>
              <w:rFonts w:ascii="Times New Roman" w:eastAsia="仿宋_GB2312"/>
              <w:b w:val="0"/>
              <w:sz w:val="24"/>
              <w:szCs w:val="24"/>
            </w:rPr>
            <w:fldChar w:fldCharType="end"/>
          </w:r>
          <w:r>
            <w:rPr>
              <w:rFonts w:ascii="Times New Roman" w:eastAsia="仿宋_GB2312"/>
              <w:b w:val="0"/>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"_Toc71899941" </w:instrText>
          </w:r>
          <w:r>
            <w:fldChar w:fldCharType="separate"/>
          </w:r>
          <w:r>
            <w:rPr>
              <w:rStyle w:val="35"/>
              <w:rFonts w:ascii="Times New Roman" w:hAnsi="Times New Roman" w:eastAsia="仿宋_GB2312" w:cs="Times New Roman"/>
              <w:sz w:val="24"/>
              <w:szCs w:val="24"/>
            </w:rPr>
            <w:t>（一）</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指导思想</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_Toc71899941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"_Toc71899942" </w:instrText>
          </w:r>
          <w:r>
            <w:fldChar w:fldCharType="separate"/>
          </w:r>
          <w:r>
            <w:rPr>
              <w:rStyle w:val="35"/>
              <w:rFonts w:ascii="Times New Roman" w:hAnsi="Times New Roman" w:eastAsia="仿宋_GB2312" w:cs="Times New Roman"/>
              <w:sz w:val="24"/>
              <w:szCs w:val="24"/>
            </w:rPr>
            <w:t>（二）</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基本原则</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_Toc71899942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"_Toc71899943" </w:instrText>
          </w:r>
          <w:r>
            <w:fldChar w:fldCharType="separate"/>
          </w:r>
          <w:r>
            <w:rPr>
              <w:rStyle w:val="35"/>
              <w:rFonts w:ascii="Times New Roman" w:hAnsi="Times New Roman" w:eastAsia="仿宋_GB2312" w:cs="Times New Roman"/>
              <w:sz w:val="24"/>
              <w:szCs w:val="24"/>
            </w:rPr>
            <w:t>（三）</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规划目标</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_Toc71899943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27</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0"/>
            <w:spacing w:before="0" w:after="0"/>
            <w:rPr>
              <w:rFonts w:ascii="Times New Roman" w:eastAsia="仿宋_GB2312"/>
              <w:b w:val="0"/>
              <w:bCs w:val="0"/>
              <w:caps w:val="0"/>
              <w:sz w:val="24"/>
              <w:szCs w:val="24"/>
            </w:rPr>
          </w:pPr>
          <w:r>
            <w:fldChar w:fldCharType="begin"/>
          </w:r>
          <w:r>
            <w:instrText xml:space="preserve"> HYPERLINK \l "_Toc71899944" </w:instrText>
          </w:r>
          <w:r>
            <w:fldChar w:fldCharType="separate"/>
          </w:r>
          <w:r>
            <w:rPr>
              <w:rStyle w:val="35"/>
              <w:rFonts w:ascii="Times New Roman" w:eastAsia="仿宋_GB2312"/>
              <w:b w:val="0"/>
              <w:sz w:val="24"/>
              <w:szCs w:val="24"/>
            </w:rPr>
            <w:t>三、 规划任务</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_Toc71899944 \h </w:instrText>
          </w:r>
          <w:r>
            <w:rPr>
              <w:rFonts w:ascii="Times New Roman" w:eastAsia="仿宋_GB2312"/>
              <w:b w:val="0"/>
              <w:sz w:val="24"/>
              <w:szCs w:val="24"/>
            </w:rPr>
            <w:fldChar w:fldCharType="separate"/>
          </w:r>
          <w:r>
            <w:rPr>
              <w:rFonts w:ascii="Times New Roman" w:eastAsia="仿宋_GB2312"/>
              <w:b w:val="0"/>
              <w:sz w:val="24"/>
              <w:szCs w:val="24"/>
            </w:rPr>
            <w:t>29</w:t>
          </w:r>
          <w:r>
            <w:rPr>
              <w:rFonts w:ascii="Times New Roman" w:eastAsia="仿宋_GB2312"/>
              <w:b w:val="0"/>
              <w:sz w:val="24"/>
              <w:szCs w:val="24"/>
            </w:rPr>
            <w:fldChar w:fldCharType="end"/>
          </w:r>
          <w:r>
            <w:rPr>
              <w:rFonts w:ascii="Times New Roman" w:eastAsia="仿宋_GB2312"/>
              <w:b w:val="0"/>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"_Toc71899945" </w:instrText>
          </w:r>
          <w:r>
            <w:fldChar w:fldCharType="separate"/>
          </w:r>
          <w:r>
            <w:rPr>
              <w:rStyle w:val="35"/>
              <w:rFonts w:ascii="Times New Roman" w:hAnsi="Times New Roman" w:eastAsia="仿宋_GB2312" w:cs="Times New Roman"/>
              <w:sz w:val="24"/>
              <w:szCs w:val="24"/>
            </w:rPr>
            <w:t>（一）</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强化水污染防治</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_Toc71899945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bookmarkStart w:id="77" w:name="_GoBack"/>
          <w:bookmarkEnd w:id="77"/>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"_Toc71899946" </w:instrText>
          </w:r>
          <w:r>
            <w:fldChar w:fldCharType="separate"/>
          </w:r>
          <w:r>
            <w:rPr>
              <w:rStyle w:val="35"/>
              <w:rFonts w:ascii="Times New Roman" w:hAnsi="Times New Roman" w:eastAsia="仿宋_GB2312" w:cs="Times New Roman"/>
              <w:sz w:val="24"/>
              <w:szCs w:val="24"/>
            </w:rPr>
            <w:t>（二）</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推进水生态修复</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_Toc71899946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34</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"_Toc71899947" </w:instrText>
          </w:r>
          <w:r>
            <w:fldChar w:fldCharType="separate"/>
          </w:r>
          <w:r>
            <w:rPr>
              <w:rStyle w:val="35"/>
              <w:rFonts w:ascii="Times New Roman" w:hAnsi="Times New Roman" w:eastAsia="仿宋_GB2312" w:cs="Times New Roman"/>
              <w:sz w:val="24"/>
              <w:szCs w:val="24"/>
            </w:rPr>
            <w:t>（三）</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深化水资源保障</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_Toc71899947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"_Toc71899948" </w:instrText>
          </w:r>
          <w:r>
            <w:fldChar w:fldCharType="separate"/>
          </w:r>
          <w:r>
            <w:rPr>
              <w:rStyle w:val="35"/>
              <w:rFonts w:ascii="Times New Roman" w:hAnsi="Times New Roman" w:eastAsia="仿宋_GB2312" w:cs="Times New Roman"/>
              <w:sz w:val="24"/>
              <w:szCs w:val="24"/>
            </w:rPr>
            <w:t>（四）</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加强水环境风险防控</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_Toc71899948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38</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"_Toc71899949" </w:instrText>
          </w:r>
          <w:r>
            <w:fldChar w:fldCharType="separate"/>
          </w:r>
          <w:r>
            <w:rPr>
              <w:rStyle w:val="35"/>
              <w:rFonts w:ascii="Times New Roman" w:hAnsi="Times New Roman" w:eastAsia="仿宋_GB2312" w:cs="Times New Roman"/>
              <w:sz w:val="24"/>
              <w:szCs w:val="24"/>
            </w:rPr>
            <w:t>（五）</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丰富治水文化内涵</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_Toc71899949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0"/>
            <w:spacing w:before="0" w:after="0"/>
            <w:rPr>
              <w:rFonts w:ascii="Times New Roman" w:eastAsia="仿宋_GB2312"/>
              <w:b w:val="0"/>
              <w:bCs w:val="0"/>
              <w:caps w:val="0"/>
              <w:sz w:val="24"/>
              <w:szCs w:val="24"/>
            </w:rPr>
          </w:pPr>
          <w:r>
            <w:fldChar w:fldCharType="begin"/>
          </w:r>
          <w:r>
            <w:instrText xml:space="preserve"> HYPERLINK \l "_Toc71899950" </w:instrText>
          </w:r>
          <w:r>
            <w:fldChar w:fldCharType="separate"/>
          </w:r>
          <w:r>
            <w:rPr>
              <w:rStyle w:val="35"/>
              <w:rFonts w:ascii="Times New Roman" w:eastAsia="仿宋_GB2312"/>
              <w:b w:val="0"/>
              <w:sz w:val="24"/>
              <w:szCs w:val="24"/>
            </w:rPr>
            <w:t>四、 主要河流保护方案</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_Toc71899950 \h </w:instrText>
          </w:r>
          <w:r>
            <w:rPr>
              <w:rFonts w:ascii="Times New Roman" w:eastAsia="仿宋_GB2312"/>
              <w:b w:val="0"/>
              <w:sz w:val="24"/>
              <w:szCs w:val="24"/>
            </w:rPr>
            <w:fldChar w:fldCharType="separate"/>
          </w:r>
          <w:r>
            <w:rPr>
              <w:rFonts w:ascii="Times New Roman" w:eastAsia="仿宋_GB2312"/>
              <w:b w:val="0"/>
              <w:sz w:val="24"/>
              <w:szCs w:val="24"/>
            </w:rPr>
            <w:t>40</w:t>
          </w:r>
          <w:r>
            <w:rPr>
              <w:rFonts w:ascii="Times New Roman" w:eastAsia="仿宋_GB2312"/>
              <w:b w:val="0"/>
              <w:sz w:val="24"/>
              <w:szCs w:val="24"/>
            </w:rPr>
            <w:fldChar w:fldCharType="end"/>
          </w:r>
          <w:r>
            <w:rPr>
              <w:rFonts w:ascii="Times New Roman" w:eastAsia="仿宋_GB2312"/>
              <w:b w:val="0"/>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"_Toc71899951" </w:instrText>
          </w:r>
          <w:r>
            <w:fldChar w:fldCharType="separate"/>
          </w:r>
          <w:r>
            <w:rPr>
              <w:rStyle w:val="35"/>
              <w:rFonts w:ascii="Times New Roman" w:hAnsi="Times New Roman" w:eastAsia="仿宋_GB2312" w:cs="Times New Roman"/>
              <w:sz w:val="24"/>
              <w:szCs w:val="24"/>
            </w:rPr>
            <w:t>（一）</w:t>
          </w:r>
          <w:r>
            <w:rPr>
              <w:rFonts w:ascii="Times New Roman" w:hAnsi="Times New Roman" w:eastAsia="仿宋_GB2312" w:cs="Times New Roman"/>
              <w:smallCaps w:val="0"/>
              <w:sz w:val="24"/>
              <w:szCs w:val="24"/>
            </w:rPr>
            <w:tab/>
          </w:r>
          <w:r>
            <w:rPr>
              <w:rStyle w:val="35"/>
              <w:rFonts w:ascii="Times New Roman" w:hAnsi="Times New Roman" w:cs="Times New Roman"/>
              <w:sz w:val="24"/>
              <w:szCs w:val="24"/>
            </w:rPr>
            <w:t>頔</w:t>
          </w:r>
          <w:r>
            <w:rPr>
              <w:rStyle w:val="35"/>
              <w:rFonts w:ascii="Times New Roman" w:hAnsi="Times New Roman" w:eastAsia="仿宋_GB2312" w:cs="Times New Roman"/>
              <w:sz w:val="24"/>
              <w:szCs w:val="24"/>
            </w:rPr>
            <w:t>塘</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_Toc71899951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"_Toc71899952" </w:instrText>
          </w:r>
          <w:r>
            <w:fldChar w:fldCharType="separate"/>
          </w:r>
          <w:r>
            <w:rPr>
              <w:rStyle w:val="35"/>
              <w:rFonts w:ascii="Times New Roman" w:hAnsi="Times New Roman" w:eastAsia="仿宋_GB2312" w:cs="Times New Roman"/>
              <w:sz w:val="24"/>
              <w:szCs w:val="24"/>
            </w:rPr>
            <w:t>（二）</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京杭运河</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_Toc71899952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"_Toc71899953" </w:instrText>
          </w:r>
          <w:r>
            <w:fldChar w:fldCharType="separate"/>
          </w:r>
          <w:r>
            <w:rPr>
              <w:rStyle w:val="35"/>
              <w:rFonts w:ascii="Times New Roman" w:hAnsi="Times New Roman" w:eastAsia="仿宋_GB2312" w:cs="Times New Roman"/>
              <w:sz w:val="24"/>
              <w:szCs w:val="24"/>
            </w:rPr>
            <w:t>（三）</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东苕溪</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_Toc71899953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0"/>
            <w:spacing w:before="0" w:after="0"/>
            <w:rPr>
              <w:rFonts w:ascii="Times New Roman" w:eastAsia="仿宋_GB2312"/>
              <w:b w:val="0"/>
              <w:bCs w:val="0"/>
              <w:caps w:val="0"/>
              <w:sz w:val="24"/>
              <w:szCs w:val="24"/>
            </w:rPr>
          </w:pPr>
          <w:r>
            <w:fldChar w:fldCharType="begin"/>
          </w:r>
          <w:r>
            <w:instrText xml:space="preserve"> HYPERLINK \l "_Toc71899954" </w:instrText>
          </w:r>
          <w:r>
            <w:fldChar w:fldCharType="separate"/>
          </w:r>
          <w:r>
            <w:rPr>
              <w:rStyle w:val="35"/>
              <w:rFonts w:ascii="Times New Roman" w:eastAsia="仿宋_GB2312"/>
              <w:b w:val="0"/>
              <w:sz w:val="24"/>
              <w:szCs w:val="24"/>
            </w:rPr>
            <w:t>五、 重点工程</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_Toc71899954 \h </w:instrText>
          </w:r>
          <w:r>
            <w:rPr>
              <w:rFonts w:ascii="Times New Roman" w:eastAsia="仿宋_GB2312"/>
              <w:b w:val="0"/>
              <w:sz w:val="24"/>
              <w:szCs w:val="24"/>
            </w:rPr>
            <w:fldChar w:fldCharType="separate"/>
          </w:r>
          <w:r>
            <w:rPr>
              <w:rFonts w:ascii="Times New Roman" w:eastAsia="仿宋_GB2312"/>
              <w:b w:val="0"/>
              <w:sz w:val="24"/>
              <w:szCs w:val="24"/>
            </w:rPr>
            <w:t>44</w:t>
          </w:r>
          <w:r>
            <w:rPr>
              <w:rFonts w:ascii="Times New Roman" w:eastAsia="仿宋_GB2312"/>
              <w:b w:val="0"/>
              <w:sz w:val="24"/>
              <w:szCs w:val="24"/>
            </w:rPr>
            <w:fldChar w:fldCharType="end"/>
          </w:r>
          <w:r>
            <w:rPr>
              <w:rFonts w:ascii="Times New Roman" w:eastAsia="仿宋_GB2312"/>
              <w:b w:val="0"/>
              <w:sz w:val="24"/>
              <w:szCs w:val="24"/>
            </w:rPr>
            <w:fldChar w:fldCharType="end"/>
          </w:r>
        </w:p>
        <w:p>
          <w:pPr>
            <w:pStyle w:val="20"/>
            <w:spacing w:before="0" w:after="0"/>
            <w:rPr>
              <w:rFonts w:ascii="Times New Roman" w:eastAsia="仿宋_GB2312"/>
              <w:b w:val="0"/>
              <w:bCs w:val="0"/>
              <w:caps w:val="0"/>
              <w:sz w:val="24"/>
              <w:szCs w:val="24"/>
            </w:rPr>
          </w:pPr>
          <w:r>
            <w:fldChar w:fldCharType="begin"/>
          </w:r>
          <w:r>
            <w:instrText xml:space="preserve"> HYPERLINK \l "_Toc71899955" </w:instrText>
          </w:r>
          <w:r>
            <w:fldChar w:fldCharType="separate"/>
          </w:r>
          <w:r>
            <w:rPr>
              <w:rStyle w:val="35"/>
              <w:rFonts w:ascii="Times New Roman" w:eastAsia="仿宋_GB2312"/>
              <w:b w:val="0"/>
              <w:sz w:val="24"/>
              <w:szCs w:val="24"/>
            </w:rPr>
            <w:t>六、 保障措施</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_Toc71899955 \h </w:instrText>
          </w:r>
          <w:r>
            <w:rPr>
              <w:rFonts w:ascii="Times New Roman" w:eastAsia="仿宋_GB2312"/>
              <w:b w:val="0"/>
              <w:sz w:val="24"/>
              <w:szCs w:val="24"/>
            </w:rPr>
            <w:fldChar w:fldCharType="separate"/>
          </w:r>
          <w:r>
            <w:rPr>
              <w:rFonts w:ascii="Times New Roman" w:eastAsia="仿宋_GB2312"/>
              <w:b w:val="0"/>
              <w:sz w:val="24"/>
              <w:szCs w:val="24"/>
            </w:rPr>
            <w:t>45</w:t>
          </w:r>
          <w:r>
            <w:rPr>
              <w:rFonts w:ascii="Times New Roman" w:eastAsia="仿宋_GB2312"/>
              <w:b w:val="0"/>
              <w:sz w:val="24"/>
              <w:szCs w:val="24"/>
            </w:rPr>
            <w:fldChar w:fldCharType="end"/>
          </w:r>
          <w:r>
            <w:rPr>
              <w:rFonts w:ascii="Times New Roman" w:eastAsia="仿宋_GB2312"/>
              <w:b w:val="0"/>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"_Toc71899956" </w:instrText>
          </w:r>
          <w:r>
            <w:fldChar w:fldCharType="separate"/>
          </w:r>
          <w:r>
            <w:rPr>
              <w:rStyle w:val="35"/>
              <w:rFonts w:ascii="Times New Roman" w:hAnsi="Times New Roman" w:eastAsia="仿宋_GB2312" w:cs="Times New Roman"/>
              <w:sz w:val="24"/>
              <w:szCs w:val="24"/>
            </w:rPr>
            <w:t>（一）</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加强组织领导</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_Toc71899956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"_Toc71899957" </w:instrText>
          </w:r>
          <w:r>
            <w:fldChar w:fldCharType="separate"/>
          </w:r>
          <w:r>
            <w:rPr>
              <w:rStyle w:val="35"/>
              <w:rFonts w:ascii="Times New Roman" w:hAnsi="Times New Roman" w:eastAsia="仿宋_GB2312" w:cs="Times New Roman"/>
              <w:sz w:val="24"/>
              <w:szCs w:val="24"/>
            </w:rPr>
            <w:t>（二）</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推动联防联控</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_Toc71899957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"_Toc71899958" </w:instrText>
          </w:r>
          <w:r>
            <w:fldChar w:fldCharType="separate"/>
          </w:r>
          <w:r>
            <w:rPr>
              <w:rStyle w:val="35"/>
              <w:rFonts w:ascii="Times New Roman" w:hAnsi="Times New Roman" w:eastAsia="仿宋_GB2312" w:cs="Times New Roman"/>
              <w:sz w:val="24"/>
              <w:szCs w:val="24"/>
            </w:rPr>
            <w:t>（三）</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完善资金保障</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_Toc71899958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"_Toc71899959" </w:instrText>
          </w:r>
          <w:r>
            <w:fldChar w:fldCharType="separate"/>
          </w:r>
          <w:r>
            <w:rPr>
              <w:rStyle w:val="35"/>
              <w:rFonts w:ascii="Times New Roman" w:hAnsi="Times New Roman" w:eastAsia="仿宋_GB2312" w:cs="Times New Roman"/>
              <w:sz w:val="24"/>
              <w:szCs w:val="24"/>
            </w:rPr>
            <w:t>（四）</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注重科研支撑</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_Toc71899959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"_Toc71899960" </w:instrText>
          </w:r>
          <w:r>
            <w:fldChar w:fldCharType="separate"/>
          </w:r>
          <w:r>
            <w:rPr>
              <w:rStyle w:val="35"/>
              <w:rFonts w:ascii="Times New Roman" w:hAnsi="Times New Roman" w:eastAsia="仿宋_GB2312" w:cs="Times New Roman"/>
              <w:sz w:val="24"/>
              <w:szCs w:val="24"/>
            </w:rPr>
            <w:t>（五）</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强化监督管理</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_Toc71899960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4"/>
            <w:tabs>
              <w:tab w:val="left" w:pos="1050"/>
              <w:tab w:val="right" w:leader="dot" w:pos="8296"/>
            </w:tabs>
            <w:rPr>
              <w:rFonts w:ascii="Times New Roman" w:hAnsi="Times New Roman" w:eastAsia="仿宋_GB2312" w:cs="Times New Roman"/>
              <w:smallCaps w:val="0"/>
              <w:sz w:val="24"/>
              <w:szCs w:val="24"/>
            </w:rPr>
          </w:pPr>
          <w:r>
            <w:fldChar w:fldCharType="begin"/>
          </w:r>
          <w:r>
            <w:instrText xml:space="preserve"> HYPERLINK \l "_Toc71899961" </w:instrText>
          </w:r>
          <w:r>
            <w:fldChar w:fldCharType="separate"/>
          </w:r>
          <w:r>
            <w:rPr>
              <w:rStyle w:val="35"/>
              <w:rFonts w:ascii="Times New Roman" w:hAnsi="Times New Roman" w:eastAsia="仿宋_GB2312" w:cs="Times New Roman"/>
              <w:sz w:val="24"/>
              <w:szCs w:val="24"/>
            </w:rPr>
            <w:t>（六）</w:t>
          </w:r>
          <w:r>
            <w:rPr>
              <w:rFonts w:ascii="Times New Roman" w:hAnsi="Times New Roman" w:eastAsia="仿宋_GB2312" w:cs="Times New Roman"/>
              <w:smallCaps w:val="0"/>
              <w:sz w:val="24"/>
              <w:szCs w:val="24"/>
            </w:rPr>
            <w:tab/>
          </w:r>
          <w:r>
            <w:rPr>
              <w:rStyle w:val="35"/>
              <w:rFonts w:ascii="Times New Roman" w:hAnsi="Times New Roman" w:eastAsia="仿宋_GB2312" w:cs="Times New Roman"/>
              <w:sz w:val="24"/>
              <w:szCs w:val="24"/>
            </w:rPr>
            <w:t>深化公众参与</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_Toc71899961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47</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20"/>
            <w:spacing w:before="0" w:after="0"/>
            <w:rPr>
              <w:rFonts w:ascii="Times New Roman" w:eastAsia="仿宋_GB2312"/>
              <w:b w:val="0"/>
              <w:bCs w:val="0"/>
              <w:caps w:val="0"/>
              <w:sz w:val="24"/>
              <w:szCs w:val="24"/>
            </w:rPr>
          </w:pPr>
          <w:r>
            <w:fldChar w:fldCharType="begin"/>
          </w:r>
          <w:r>
            <w:instrText xml:space="preserve"> HYPERLINK \l "_Toc71899962" </w:instrText>
          </w:r>
          <w:r>
            <w:fldChar w:fldCharType="separate"/>
          </w:r>
          <w:r>
            <w:rPr>
              <w:rStyle w:val="35"/>
              <w:rFonts w:ascii="Times New Roman" w:eastAsia="仿宋_GB2312"/>
              <w:b w:val="0"/>
              <w:sz w:val="24"/>
              <w:szCs w:val="24"/>
            </w:rPr>
            <w:t>附表一  规划工程项目及投资表</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_Toc71899962 \h </w:instrText>
          </w:r>
          <w:r>
            <w:rPr>
              <w:rFonts w:ascii="Times New Roman" w:eastAsia="仿宋_GB2312"/>
              <w:b w:val="0"/>
              <w:sz w:val="24"/>
              <w:szCs w:val="24"/>
            </w:rPr>
            <w:fldChar w:fldCharType="separate"/>
          </w:r>
          <w:r>
            <w:rPr>
              <w:rFonts w:ascii="Times New Roman" w:eastAsia="仿宋_GB2312"/>
              <w:b w:val="0"/>
              <w:sz w:val="24"/>
              <w:szCs w:val="24"/>
            </w:rPr>
            <w:t>48</w:t>
          </w:r>
          <w:r>
            <w:rPr>
              <w:rFonts w:ascii="Times New Roman" w:eastAsia="仿宋_GB2312"/>
              <w:b w:val="0"/>
              <w:sz w:val="24"/>
              <w:szCs w:val="24"/>
            </w:rPr>
            <w:fldChar w:fldCharType="end"/>
          </w:r>
          <w:r>
            <w:rPr>
              <w:rFonts w:ascii="Times New Roman" w:eastAsia="仿宋_GB2312"/>
              <w:b w:val="0"/>
              <w:sz w:val="24"/>
              <w:szCs w:val="24"/>
            </w:rPr>
            <w:fldChar w:fldCharType="end"/>
          </w:r>
        </w:p>
        <w:p>
          <w:pPr>
            <w:pStyle w:val="20"/>
            <w:spacing w:before="0" w:after="0"/>
            <w:rPr>
              <w:rFonts w:ascii="Times New Roman" w:eastAsia="仿宋_GB2312"/>
              <w:b w:val="0"/>
              <w:bCs w:val="0"/>
              <w:caps w:val="0"/>
              <w:sz w:val="24"/>
              <w:szCs w:val="24"/>
            </w:rPr>
          </w:pPr>
          <w:r>
            <w:fldChar w:fldCharType="begin"/>
          </w:r>
          <w:r>
            <w:instrText xml:space="preserve"> HYPERLINK \l "_Toc71899963" </w:instrText>
          </w:r>
          <w:r>
            <w:fldChar w:fldCharType="separate"/>
          </w:r>
          <w:r>
            <w:rPr>
              <w:rStyle w:val="35"/>
              <w:rFonts w:ascii="Times New Roman" w:eastAsia="仿宋_GB2312"/>
              <w:b w:val="0"/>
              <w:sz w:val="24"/>
              <w:szCs w:val="24"/>
            </w:rPr>
            <w:t>附表二 水环境状况调查表</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_Toc71899963 \h </w:instrText>
          </w:r>
          <w:r>
            <w:rPr>
              <w:rFonts w:ascii="Times New Roman" w:eastAsia="仿宋_GB2312"/>
              <w:b w:val="0"/>
              <w:sz w:val="24"/>
              <w:szCs w:val="24"/>
            </w:rPr>
            <w:fldChar w:fldCharType="separate"/>
          </w:r>
          <w:r>
            <w:rPr>
              <w:rFonts w:ascii="Times New Roman" w:eastAsia="仿宋_GB2312"/>
              <w:b w:val="0"/>
              <w:sz w:val="24"/>
              <w:szCs w:val="24"/>
            </w:rPr>
            <w:t>51</w:t>
          </w:r>
          <w:r>
            <w:rPr>
              <w:rFonts w:ascii="Times New Roman" w:eastAsia="仿宋_GB2312"/>
              <w:b w:val="0"/>
              <w:sz w:val="24"/>
              <w:szCs w:val="24"/>
            </w:rPr>
            <w:fldChar w:fldCharType="end"/>
          </w:r>
          <w:r>
            <w:rPr>
              <w:rFonts w:ascii="Times New Roman" w:eastAsia="仿宋_GB2312"/>
              <w:b w:val="0"/>
              <w:sz w:val="24"/>
              <w:szCs w:val="24"/>
            </w:rPr>
            <w:fldChar w:fldCharType="end"/>
          </w:r>
        </w:p>
        <w:p>
          <w:pPr>
            <w:pStyle w:val="20"/>
            <w:spacing w:before="0" w:after="0"/>
            <w:rPr>
              <w:rFonts w:ascii="Times New Roman" w:eastAsia="仿宋_GB2312"/>
              <w:b w:val="0"/>
              <w:bCs w:val="0"/>
              <w:caps w:val="0"/>
              <w:sz w:val="24"/>
              <w:szCs w:val="24"/>
            </w:rPr>
          </w:pPr>
          <w:r>
            <w:fldChar w:fldCharType="begin"/>
          </w:r>
          <w:r>
            <w:instrText xml:space="preserve"> HYPERLINK \l "_Toc71899964" </w:instrText>
          </w:r>
          <w:r>
            <w:fldChar w:fldCharType="separate"/>
          </w:r>
          <w:r>
            <w:rPr>
              <w:rStyle w:val="35"/>
              <w:rFonts w:ascii="Times New Roman" w:eastAsia="仿宋_GB2312"/>
              <w:b w:val="0"/>
              <w:sz w:val="24"/>
              <w:szCs w:val="24"/>
            </w:rPr>
            <w:t>附图1  南浔区断面-入河排污口-污染源溯源示意图</w:t>
          </w:r>
          <w:r>
            <w:rPr>
              <w:rFonts w:ascii="Times New Roman" w:eastAsia="仿宋_GB2312"/>
              <w:b w:val="0"/>
              <w:sz w:val="24"/>
              <w:szCs w:val="24"/>
            </w:rPr>
            <w:tab/>
          </w:r>
          <w:r>
            <w:rPr>
              <w:rFonts w:ascii="Times New Roman" w:eastAsia="仿宋_GB2312"/>
              <w:b w:val="0"/>
              <w:sz w:val="24"/>
              <w:szCs w:val="24"/>
            </w:rPr>
            <w:fldChar w:fldCharType="begin"/>
          </w:r>
          <w:r>
            <w:rPr>
              <w:rFonts w:ascii="Times New Roman" w:eastAsia="仿宋_GB2312"/>
              <w:b w:val="0"/>
              <w:sz w:val="24"/>
              <w:szCs w:val="24"/>
            </w:rPr>
            <w:instrText xml:space="preserve"> PAGEREF _Toc71899964 \h </w:instrText>
          </w:r>
          <w:r>
            <w:rPr>
              <w:rFonts w:ascii="Times New Roman" w:eastAsia="仿宋_GB2312"/>
              <w:b w:val="0"/>
              <w:sz w:val="24"/>
              <w:szCs w:val="24"/>
            </w:rPr>
            <w:fldChar w:fldCharType="separate"/>
          </w:r>
          <w:r>
            <w:rPr>
              <w:rFonts w:ascii="Times New Roman" w:eastAsia="仿宋_GB2312"/>
              <w:b w:val="0"/>
              <w:sz w:val="24"/>
              <w:szCs w:val="24"/>
            </w:rPr>
            <w:t>63</w:t>
          </w:r>
          <w:r>
            <w:rPr>
              <w:rFonts w:ascii="Times New Roman" w:eastAsia="仿宋_GB2312"/>
              <w:b w:val="0"/>
              <w:sz w:val="24"/>
              <w:szCs w:val="24"/>
            </w:rPr>
            <w:fldChar w:fldCharType="end"/>
          </w:r>
          <w:r>
            <w:rPr>
              <w:rFonts w:ascii="Times New Roman" w:eastAsia="仿宋_GB2312"/>
              <w:b w:val="0"/>
              <w:sz w:val="24"/>
              <w:szCs w:val="24"/>
            </w:rPr>
            <w:fldChar w:fldCharType="end"/>
          </w:r>
        </w:p>
        <w:p>
          <w:pPr>
            <w:rPr>
              <w:highlight w:val="yellow"/>
            </w:rPr>
          </w:pPr>
          <w:r>
            <w:rPr>
              <w:rFonts w:eastAsia="仿宋_GB2312"/>
              <w:sz w:val="24"/>
              <w:szCs w:val="24"/>
              <w:lang w:val="zh-CN"/>
            </w:rPr>
            <w:fldChar w:fldCharType="end"/>
          </w:r>
        </w:p>
      </w:sdtContent>
    </w:sdt>
    <w:p>
      <w:pPr>
        <w:tabs>
          <w:tab w:val="left" w:pos="613"/>
        </w:tabs>
        <w:rPr>
          <w:rFonts w:eastAsia="仿宋_GB2312"/>
          <w:sz w:val="28"/>
          <w:szCs w:val="28"/>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spacing w:line="560" w:lineRule="exact"/>
      </w:pPr>
      <w:bookmarkStart w:id="0" w:name="_Toc71899926"/>
      <w:r>
        <w:t>基本情况</w:t>
      </w:r>
      <w:bookmarkEnd w:id="0"/>
    </w:p>
    <w:p>
      <w:pPr>
        <w:pStyle w:val="3"/>
        <w:keepNext/>
        <w:keepLines/>
        <w:numPr>
          <w:ilvl w:val="0"/>
          <w:numId w:val="5"/>
        </w:numPr>
        <w:spacing w:line="560" w:lineRule="exact"/>
        <w:rPr>
          <w:rFonts w:eastAsia="楷体"/>
          <w:b/>
        </w:rPr>
      </w:pPr>
      <w:bookmarkStart w:id="1" w:name="_Toc71899927"/>
      <w:r>
        <w:rPr>
          <w:rFonts w:eastAsia="楷体"/>
          <w:b/>
        </w:rPr>
        <w:t>区域概况</w:t>
      </w:r>
      <w:bookmarkEnd w:id="1"/>
    </w:p>
    <w:p>
      <w:pPr>
        <w:pStyle w:val="4"/>
        <w:numPr>
          <w:ilvl w:val="0"/>
          <w:numId w:val="6"/>
        </w:numPr>
        <w:spacing w:line="560" w:lineRule="exact"/>
        <w:rPr>
          <w:rFonts w:ascii="Times New Roman" w:eastAsia="仿宋_GB2312"/>
        </w:rPr>
      </w:pPr>
      <w:bookmarkStart w:id="2" w:name="_Toc43368845"/>
      <w:bookmarkStart w:id="3" w:name="_Toc43324233"/>
      <w:bookmarkStart w:id="4" w:name="_Toc43378098"/>
      <w:bookmarkStart w:id="5" w:name="_Toc71899928"/>
      <w:r>
        <w:rPr>
          <w:rFonts w:ascii="Times New Roman" w:eastAsia="仿宋_GB2312"/>
        </w:rPr>
        <w:t>地理位置</w:t>
      </w:r>
      <w:bookmarkEnd w:id="2"/>
      <w:bookmarkEnd w:id="3"/>
      <w:bookmarkEnd w:id="4"/>
      <w:bookmarkEnd w:id="5"/>
    </w:p>
    <w:p>
      <w:pPr>
        <w:spacing w:line="560" w:lineRule="exact"/>
        <w:ind w:firstLine="600" w:firstLineChars="200"/>
        <w:rPr>
          <w:rFonts w:eastAsia="仿宋_GB2312"/>
          <w:sz w:val="30"/>
          <w:szCs w:val="30"/>
        </w:rPr>
      </w:pPr>
      <w:r>
        <w:rPr>
          <w:rFonts w:eastAsia="仿宋_GB2312"/>
          <w:sz w:val="30"/>
          <w:szCs w:val="30"/>
        </w:rPr>
        <w:t>南浔区是湖州的东大门，地处苏浙两省交界处，北纬30°52″-30°53″，东经120°25″-120°26″，东北面与苏州吴江接壤，东南与嘉兴桐乡接壤，南连德清县，西北接吴兴区。于2003年建区，面积702平方公里，下辖8个镇、2个街道和1个省级开发区，共有211个行政村和34个社区。</w:t>
      </w:r>
    </w:p>
    <w:p>
      <w:pPr>
        <w:pStyle w:val="4"/>
        <w:numPr>
          <w:ilvl w:val="0"/>
          <w:numId w:val="6"/>
        </w:numPr>
        <w:spacing w:line="560" w:lineRule="exact"/>
        <w:rPr>
          <w:rFonts w:ascii="Times New Roman" w:eastAsia="仿宋_GB2312"/>
        </w:rPr>
      </w:pPr>
      <w:bookmarkStart w:id="6" w:name="_Toc43324234"/>
      <w:bookmarkStart w:id="7" w:name="_Toc43368846"/>
      <w:bookmarkStart w:id="8" w:name="_Toc71899929"/>
      <w:bookmarkStart w:id="9" w:name="_Toc43378099"/>
      <w:r>
        <w:rPr>
          <w:rFonts w:ascii="Times New Roman" w:eastAsia="仿宋_GB2312"/>
        </w:rPr>
        <w:t>水系特征</w:t>
      </w:r>
      <w:bookmarkEnd w:id="6"/>
      <w:bookmarkEnd w:id="7"/>
      <w:bookmarkEnd w:id="8"/>
      <w:bookmarkEnd w:id="9"/>
    </w:p>
    <w:p>
      <w:pPr>
        <w:spacing w:line="560" w:lineRule="exact"/>
        <w:ind w:firstLine="600" w:firstLineChars="200"/>
        <w:rPr>
          <w:rFonts w:eastAsia="仿宋_GB2312"/>
          <w:sz w:val="30"/>
          <w:szCs w:val="30"/>
        </w:rPr>
      </w:pPr>
      <w:r>
        <w:rPr>
          <w:rFonts w:eastAsia="仿宋_GB2312"/>
          <w:sz w:val="30"/>
          <w:szCs w:val="30"/>
        </w:rPr>
        <w:t>南浔水系主要有两支。其中一支源于天目山系的山岭丘陵，另一支为京杭运河。其中，天目山系水分两条支脉，一是东西苕溪在湖汇合以后，分流入荻塘至南浔镇；一是由德清各水系由南向北流入大虹桥塘、丁泾塘、白米塘，再汇入荻塘至南浔镇。这两条支脉在南浔镇汇合后，北由古</w:t>
      </w:r>
      <w:r>
        <w:rPr>
          <w:sz w:val="30"/>
          <w:szCs w:val="30"/>
        </w:rPr>
        <w:t>溇</w:t>
      </w:r>
      <w:r>
        <w:rPr>
          <w:rFonts w:eastAsia="仿宋_GB2312"/>
          <w:sz w:val="30"/>
          <w:szCs w:val="30"/>
        </w:rPr>
        <w:t>港等河港泄入太湖，东由荻塘汇入黄浦江。京杭运河经练市后一部分向北汇入月明塘，另一部分向东出境，流向桐乡乌镇。区域内水网密布，其他支流有东塘河、南浔塘河、双林塘河、白米塘河、浔溪、北塘、里塘，中塘河、长超港、思溪港等等。</w:t>
      </w:r>
    </w:p>
    <w:p>
      <w:pPr>
        <w:spacing w:line="560" w:lineRule="exact"/>
        <w:ind w:firstLine="600" w:firstLineChars="200"/>
      </w:pPr>
      <w:r>
        <w:rPr>
          <w:rFonts w:hint="eastAsia" w:eastAsia="仿宋_GB2312"/>
          <w:sz w:val="30"/>
          <w:szCs w:val="30"/>
        </w:rPr>
        <w:t>全区现有河道2248条（不包括机埠内港），总长2118km，其中省、市级河道23条，总长263km；县级河道43条，总长199km，乡镇级河道366条，总长675km；乡镇级以下河道2182条，总长1652km。具体见表1-1。全区现有湖漾615个，水域面积14.04km2。其中重点小型湖泊1个，为和孚镇的和孚漾，水域面积1.31km</w:t>
      </w:r>
      <w:r>
        <w:rPr>
          <w:rFonts w:hint="eastAsia" w:eastAsia="仿宋_GB2312"/>
          <w:sz w:val="30"/>
          <w:szCs w:val="30"/>
          <w:vertAlign w:val="superscript"/>
        </w:rPr>
        <w:t>2</w:t>
      </w:r>
      <w:r>
        <w:rPr>
          <w:rFonts w:hint="eastAsia" w:eastAsia="仿宋_GB2312"/>
          <w:sz w:val="30"/>
          <w:szCs w:val="30"/>
        </w:rPr>
        <w:t>；小型湖泊4个，为和孚镇的横山漾、菱湖镇的后庄漾及旧馆的义家漾和上坡塘漾，水域面积2.36km</w:t>
      </w:r>
      <w:r>
        <w:rPr>
          <w:rFonts w:hint="eastAsia" w:eastAsia="仿宋_GB2312"/>
          <w:sz w:val="30"/>
          <w:szCs w:val="30"/>
          <w:vertAlign w:val="superscript"/>
        </w:rPr>
        <w:t>2</w:t>
      </w:r>
      <w:r>
        <w:rPr>
          <w:rFonts w:hint="eastAsia" w:eastAsia="仿宋_GB2312"/>
          <w:sz w:val="30"/>
          <w:szCs w:val="30"/>
        </w:rPr>
        <w:t>；其余均为池塘型漾塘，共有池塘610处，水域面积10.37km</w:t>
      </w:r>
      <w:r>
        <w:rPr>
          <w:rFonts w:hint="eastAsia" w:eastAsia="仿宋_GB2312"/>
          <w:sz w:val="30"/>
          <w:szCs w:val="30"/>
          <w:vertAlign w:val="superscript"/>
        </w:rPr>
        <w:t>2</w:t>
      </w:r>
      <w:r>
        <w:rPr>
          <w:rFonts w:hint="eastAsia" w:eastAsia="仿宋_GB2312"/>
          <w:sz w:val="30"/>
          <w:szCs w:val="30"/>
        </w:rPr>
        <w:t>。具体见表1-2。</w:t>
      </w:r>
    </w:p>
    <w:p>
      <w:pPr>
        <w:jc w:val="center"/>
        <w:rPr>
          <w:rFonts w:eastAsia="黑体"/>
          <w:sz w:val="28"/>
          <w:szCs w:val="28"/>
        </w:rPr>
      </w:pPr>
      <w:r>
        <w:rPr>
          <w:rFonts w:hint="eastAsia" w:eastAsia="黑体"/>
          <w:sz w:val="28"/>
          <w:szCs w:val="28"/>
        </w:rPr>
        <w:t>表1-1南浔区河道汇总表</w:t>
      </w:r>
    </w:p>
    <w:tbl>
      <w:tblPr>
        <w:tblStyle w:val="29"/>
        <w:tblW w:w="5000"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4"/>
        <w:gridCol w:w="682"/>
        <w:gridCol w:w="835"/>
        <w:gridCol w:w="1338"/>
        <w:gridCol w:w="1452"/>
        <w:gridCol w:w="1156"/>
        <w:gridCol w:w="1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934" w:type="pct"/>
            <w:vAlign w:val="center"/>
          </w:tcPr>
          <w:p>
            <w:pPr>
              <w:widowControl/>
              <w:jc w:val="center"/>
              <w:rPr>
                <w:rFonts w:eastAsia="仿宋_GB2312"/>
                <w:b/>
                <w:color w:val="000000"/>
                <w:kern w:val="0"/>
                <w:szCs w:val="21"/>
              </w:rPr>
            </w:pPr>
            <w:r>
              <w:rPr>
                <w:rFonts w:eastAsia="仿宋_GB2312"/>
                <w:b/>
                <w:color w:val="000000"/>
                <w:kern w:val="0"/>
                <w:szCs w:val="21"/>
              </w:rPr>
              <w:t>河道类型</w:t>
            </w:r>
          </w:p>
        </w:tc>
        <w:tc>
          <w:tcPr>
            <w:tcW w:w="410" w:type="pct"/>
            <w:vAlign w:val="center"/>
          </w:tcPr>
          <w:p>
            <w:pPr>
              <w:widowControl/>
              <w:jc w:val="center"/>
              <w:rPr>
                <w:rFonts w:eastAsia="仿宋_GB2312"/>
                <w:b/>
                <w:color w:val="000000"/>
                <w:kern w:val="0"/>
                <w:szCs w:val="21"/>
              </w:rPr>
            </w:pPr>
            <w:r>
              <w:rPr>
                <w:rFonts w:eastAsia="仿宋_GB2312"/>
                <w:b/>
                <w:color w:val="000000"/>
                <w:kern w:val="0"/>
                <w:szCs w:val="21"/>
              </w:rPr>
              <w:t>长度</w:t>
            </w:r>
          </w:p>
          <w:p>
            <w:pPr>
              <w:widowControl/>
              <w:jc w:val="center"/>
              <w:rPr>
                <w:rFonts w:eastAsia="仿宋_GB2312"/>
                <w:b/>
                <w:color w:val="000000"/>
                <w:kern w:val="0"/>
                <w:szCs w:val="21"/>
              </w:rPr>
            </w:pPr>
            <w:r>
              <w:rPr>
                <w:rFonts w:eastAsia="仿宋_GB2312"/>
                <w:b/>
                <w:color w:val="000000"/>
                <w:kern w:val="0"/>
                <w:szCs w:val="21"/>
              </w:rPr>
              <w:t>(km)</w:t>
            </w:r>
          </w:p>
        </w:tc>
        <w:tc>
          <w:tcPr>
            <w:tcW w:w="502" w:type="pct"/>
            <w:vAlign w:val="center"/>
          </w:tcPr>
          <w:p>
            <w:pPr>
              <w:widowControl/>
              <w:jc w:val="center"/>
              <w:rPr>
                <w:rFonts w:eastAsia="仿宋_GB2312"/>
                <w:b/>
                <w:color w:val="000000"/>
                <w:kern w:val="0"/>
                <w:szCs w:val="21"/>
              </w:rPr>
            </w:pPr>
            <w:r>
              <w:rPr>
                <w:rFonts w:eastAsia="仿宋_GB2312"/>
                <w:b/>
                <w:color w:val="000000"/>
                <w:kern w:val="0"/>
                <w:szCs w:val="21"/>
              </w:rPr>
              <w:t>条数</w:t>
            </w:r>
          </w:p>
        </w:tc>
        <w:tc>
          <w:tcPr>
            <w:tcW w:w="804" w:type="pct"/>
            <w:vAlign w:val="center"/>
          </w:tcPr>
          <w:p>
            <w:pPr>
              <w:widowControl/>
              <w:jc w:val="center"/>
              <w:rPr>
                <w:rFonts w:eastAsia="仿宋_GB2312"/>
                <w:b/>
                <w:color w:val="000000"/>
                <w:kern w:val="0"/>
                <w:szCs w:val="21"/>
              </w:rPr>
            </w:pPr>
            <w:r>
              <w:rPr>
                <w:rFonts w:eastAsia="仿宋_GB2312"/>
                <w:b/>
                <w:color w:val="000000"/>
                <w:kern w:val="0"/>
                <w:szCs w:val="21"/>
              </w:rPr>
              <w:t>正常水位水</w:t>
            </w:r>
          </w:p>
          <w:p>
            <w:pPr>
              <w:widowControl/>
              <w:jc w:val="center"/>
              <w:rPr>
                <w:rFonts w:eastAsia="仿宋_GB2312"/>
                <w:b/>
                <w:color w:val="000000"/>
                <w:kern w:val="0"/>
                <w:szCs w:val="21"/>
              </w:rPr>
            </w:pPr>
            <w:r>
              <w:rPr>
                <w:rFonts w:eastAsia="仿宋_GB2312"/>
                <w:b/>
                <w:color w:val="000000"/>
                <w:kern w:val="0"/>
                <w:szCs w:val="21"/>
              </w:rPr>
              <w:t>面面积（km</w:t>
            </w:r>
            <w:r>
              <w:rPr>
                <w:rFonts w:eastAsia="仿宋_GB2312"/>
                <w:b/>
                <w:color w:val="000000"/>
                <w:kern w:val="0"/>
                <w:szCs w:val="21"/>
                <w:vertAlign w:val="superscript"/>
              </w:rPr>
              <w:t>2</w:t>
            </w:r>
            <w:r>
              <w:rPr>
                <w:rFonts w:eastAsia="仿宋_GB2312"/>
                <w:b/>
                <w:color w:val="000000"/>
                <w:kern w:val="0"/>
                <w:szCs w:val="21"/>
              </w:rPr>
              <w:t>）</w:t>
            </w:r>
          </w:p>
        </w:tc>
        <w:tc>
          <w:tcPr>
            <w:tcW w:w="873" w:type="pct"/>
            <w:vAlign w:val="center"/>
          </w:tcPr>
          <w:p>
            <w:pPr>
              <w:widowControl/>
              <w:jc w:val="center"/>
              <w:rPr>
                <w:rFonts w:eastAsia="仿宋_GB2312"/>
                <w:b/>
                <w:color w:val="000000"/>
                <w:kern w:val="0"/>
                <w:szCs w:val="21"/>
              </w:rPr>
            </w:pPr>
            <w:r>
              <w:rPr>
                <w:rFonts w:eastAsia="仿宋_GB2312"/>
                <w:b/>
                <w:color w:val="000000"/>
                <w:kern w:val="0"/>
                <w:szCs w:val="21"/>
              </w:rPr>
              <w:t>正常水位蓄</w:t>
            </w:r>
          </w:p>
          <w:p>
            <w:pPr>
              <w:widowControl/>
              <w:jc w:val="center"/>
              <w:rPr>
                <w:rFonts w:eastAsia="仿宋_GB2312"/>
                <w:b/>
                <w:color w:val="000000"/>
                <w:kern w:val="0"/>
                <w:szCs w:val="21"/>
              </w:rPr>
            </w:pPr>
            <w:r>
              <w:rPr>
                <w:rFonts w:eastAsia="仿宋_GB2312"/>
                <w:b/>
                <w:color w:val="000000"/>
                <w:kern w:val="0"/>
                <w:szCs w:val="21"/>
              </w:rPr>
              <w:t>水量(万m</w:t>
            </w:r>
            <w:r>
              <w:rPr>
                <w:rFonts w:eastAsia="仿宋_GB2312"/>
                <w:b/>
                <w:color w:val="000000"/>
                <w:kern w:val="0"/>
                <w:szCs w:val="21"/>
                <w:vertAlign w:val="superscript"/>
              </w:rPr>
              <w:t>3</w:t>
            </w:r>
            <w:r>
              <w:rPr>
                <w:rFonts w:eastAsia="仿宋_GB2312"/>
                <w:b/>
                <w:color w:val="000000"/>
                <w:kern w:val="0"/>
                <w:szCs w:val="21"/>
              </w:rPr>
              <w:t>)</w:t>
            </w:r>
          </w:p>
        </w:tc>
        <w:tc>
          <w:tcPr>
            <w:tcW w:w="695" w:type="pct"/>
            <w:vAlign w:val="center"/>
          </w:tcPr>
          <w:p>
            <w:pPr>
              <w:widowControl/>
              <w:jc w:val="center"/>
              <w:rPr>
                <w:rFonts w:eastAsia="仿宋_GB2312"/>
                <w:b/>
                <w:color w:val="000000"/>
                <w:kern w:val="0"/>
                <w:szCs w:val="21"/>
              </w:rPr>
            </w:pPr>
            <w:r>
              <w:rPr>
                <w:rFonts w:eastAsia="仿宋_GB2312"/>
                <w:b/>
                <w:color w:val="000000"/>
                <w:kern w:val="0"/>
                <w:szCs w:val="21"/>
              </w:rPr>
              <w:t>水域面积（km</w:t>
            </w:r>
            <w:r>
              <w:rPr>
                <w:rFonts w:eastAsia="仿宋_GB2312"/>
                <w:b/>
                <w:color w:val="000000"/>
                <w:kern w:val="0"/>
                <w:szCs w:val="21"/>
                <w:vertAlign w:val="superscript"/>
              </w:rPr>
              <w:t>2</w:t>
            </w:r>
            <w:r>
              <w:rPr>
                <w:rFonts w:eastAsia="仿宋_GB2312"/>
                <w:b/>
                <w:color w:val="000000"/>
                <w:kern w:val="0"/>
                <w:szCs w:val="21"/>
              </w:rPr>
              <w:t>）</w:t>
            </w:r>
          </w:p>
        </w:tc>
        <w:tc>
          <w:tcPr>
            <w:tcW w:w="781" w:type="pct"/>
            <w:vAlign w:val="center"/>
          </w:tcPr>
          <w:p>
            <w:pPr>
              <w:widowControl/>
              <w:jc w:val="center"/>
              <w:rPr>
                <w:rFonts w:eastAsia="仿宋_GB2312"/>
                <w:b/>
                <w:color w:val="000000"/>
                <w:kern w:val="0"/>
                <w:szCs w:val="21"/>
              </w:rPr>
            </w:pPr>
            <w:r>
              <w:rPr>
                <w:rFonts w:eastAsia="仿宋_GB2312"/>
                <w:b/>
                <w:color w:val="000000"/>
                <w:kern w:val="0"/>
                <w:szCs w:val="21"/>
              </w:rPr>
              <w:t>水域容积</w:t>
            </w:r>
          </w:p>
          <w:p>
            <w:pPr>
              <w:widowControl/>
              <w:jc w:val="center"/>
              <w:rPr>
                <w:rFonts w:eastAsia="仿宋_GB2312"/>
                <w:b/>
                <w:color w:val="000000"/>
                <w:kern w:val="0"/>
                <w:szCs w:val="21"/>
              </w:rPr>
            </w:pPr>
            <w:r>
              <w:rPr>
                <w:rFonts w:eastAsia="仿宋_GB2312"/>
                <w:b/>
                <w:color w:val="000000"/>
                <w:kern w:val="0"/>
                <w:szCs w:val="21"/>
              </w:rPr>
              <w:t>(万m</w:t>
            </w:r>
            <w:r>
              <w:rPr>
                <w:rFonts w:eastAsia="仿宋_GB2312"/>
                <w:b/>
                <w:color w:val="000000"/>
                <w:kern w:val="0"/>
                <w:szCs w:val="21"/>
                <w:vertAlign w:val="superscript"/>
              </w:rPr>
              <w:t>3</w:t>
            </w:r>
            <w:r>
              <w:rPr>
                <w:rFonts w:eastAsia="仿宋_GB2312"/>
                <w:b/>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934" w:type="pct"/>
            <w:vAlign w:val="center"/>
          </w:tcPr>
          <w:p>
            <w:pPr>
              <w:widowControl/>
              <w:jc w:val="center"/>
              <w:rPr>
                <w:rFonts w:eastAsia="仿宋_GB2312"/>
                <w:color w:val="000000"/>
                <w:kern w:val="0"/>
                <w:szCs w:val="21"/>
              </w:rPr>
            </w:pPr>
            <w:r>
              <w:rPr>
                <w:rFonts w:eastAsia="仿宋_GB2312"/>
                <w:color w:val="000000"/>
                <w:kern w:val="0"/>
                <w:szCs w:val="21"/>
              </w:rPr>
              <w:t>市级河道</w:t>
            </w:r>
          </w:p>
        </w:tc>
        <w:tc>
          <w:tcPr>
            <w:tcW w:w="410" w:type="pct"/>
            <w:vAlign w:val="center"/>
          </w:tcPr>
          <w:p>
            <w:pPr>
              <w:widowControl/>
              <w:jc w:val="center"/>
              <w:rPr>
                <w:rFonts w:eastAsia="仿宋_GB2312"/>
                <w:color w:val="000000"/>
                <w:kern w:val="0"/>
                <w:szCs w:val="21"/>
              </w:rPr>
            </w:pPr>
            <w:r>
              <w:rPr>
                <w:rFonts w:eastAsia="仿宋_GB2312"/>
                <w:color w:val="000000"/>
                <w:kern w:val="0"/>
                <w:szCs w:val="21"/>
              </w:rPr>
              <w:t>263</w:t>
            </w:r>
          </w:p>
        </w:tc>
        <w:tc>
          <w:tcPr>
            <w:tcW w:w="502" w:type="pct"/>
            <w:vAlign w:val="center"/>
          </w:tcPr>
          <w:p>
            <w:pPr>
              <w:widowControl/>
              <w:jc w:val="center"/>
              <w:rPr>
                <w:rFonts w:eastAsia="仿宋_GB2312"/>
                <w:color w:val="000000"/>
                <w:kern w:val="0"/>
                <w:szCs w:val="21"/>
              </w:rPr>
            </w:pPr>
            <w:r>
              <w:rPr>
                <w:rFonts w:eastAsia="仿宋_GB2312"/>
                <w:color w:val="000000"/>
                <w:kern w:val="0"/>
                <w:szCs w:val="21"/>
              </w:rPr>
              <w:t>23</w:t>
            </w:r>
          </w:p>
        </w:tc>
        <w:tc>
          <w:tcPr>
            <w:tcW w:w="804" w:type="pct"/>
            <w:vAlign w:val="center"/>
          </w:tcPr>
          <w:p>
            <w:pPr>
              <w:widowControl/>
              <w:jc w:val="center"/>
              <w:rPr>
                <w:rFonts w:eastAsia="仿宋_GB2312"/>
                <w:color w:val="000000"/>
                <w:kern w:val="0"/>
                <w:szCs w:val="21"/>
              </w:rPr>
            </w:pPr>
            <w:r>
              <w:rPr>
                <w:rFonts w:eastAsia="仿宋_GB2312"/>
                <w:color w:val="000000"/>
                <w:kern w:val="0"/>
                <w:szCs w:val="21"/>
              </w:rPr>
              <w:t>15.16</w:t>
            </w:r>
          </w:p>
        </w:tc>
        <w:tc>
          <w:tcPr>
            <w:tcW w:w="873" w:type="pct"/>
            <w:vAlign w:val="center"/>
          </w:tcPr>
          <w:p>
            <w:pPr>
              <w:widowControl/>
              <w:jc w:val="center"/>
              <w:rPr>
                <w:rFonts w:eastAsia="仿宋_GB2312"/>
                <w:color w:val="000000"/>
                <w:kern w:val="0"/>
                <w:szCs w:val="21"/>
              </w:rPr>
            </w:pPr>
            <w:r>
              <w:rPr>
                <w:rFonts w:eastAsia="仿宋_GB2312"/>
                <w:color w:val="000000"/>
                <w:kern w:val="0"/>
                <w:szCs w:val="21"/>
              </w:rPr>
              <w:t>3388</w:t>
            </w:r>
          </w:p>
        </w:tc>
        <w:tc>
          <w:tcPr>
            <w:tcW w:w="695" w:type="pct"/>
            <w:vAlign w:val="center"/>
          </w:tcPr>
          <w:p>
            <w:pPr>
              <w:widowControl/>
              <w:jc w:val="center"/>
              <w:rPr>
                <w:rFonts w:eastAsia="仿宋_GB2312"/>
                <w:color w:val="000000"/>
                <w:kern w:val="0"/>
                <w:szCs w:val="21"/>
              </w:rPr>
            </w:pPr>
            <w:r>
              <w:rPr>
                <w:rFonts w:eastAsia="仿宋_GB2312"/>
                <w:color w:val="000000"/>
                <w:kern w:val="0"/>
                <w:szCs w:val="21"/>
              </w:rPr>
              <w:t>19.80</w:t>
            </w:r>
          </w:p>
        </w:tc>
        <w:tc>
          <w:tcPr>
            <w:tcW w:w="781" w:type="pct"/>
            <w:vAlign w:val="center"/>
          </w:tcPr>
          <w:p>
            <w:pPr>
              <w:widowControl/>
              <w:jc w:val="center"/>
              <w:rPr>
                <w:rFonts w:eastAsia="仿宋_GB2312"/>
                <w:color w:val="000000"/>
                <w:kern w:val="0"/>
                <w:szCs w:val="21"/>
              </w:rPr>
            </w:pPr>
            <w:r>
              <w:rPr>
                <w:rFonts w:eastAsia="仿宋_GB2312"/>
                <w:color w:val="000000"/>
                <w:kern w:val="0"/>
                <w:szCs w:val="21"/>
              </w:rPr>
              <w:t>6137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934" w:type="pct"/>
            <w:vAlign w:val="center"/>
          </w:tcPr>
          <w:p>
            <w:pPr>
              <w:widowControl/>
              <w:jc w:val="center"/>
              <w:rPr>
                <w:rFonts w:eastAsia="仿宋_GB2312"/>
                <w:color w:val="000000"/>
                <w:kern w:val="0"/>
                <w:szCs w:val="21"/>
              </w:rPr>
            </w:pPr>
            <w:r>
              <w:rPr>
                <w:rFonts w:eastAsia="仿宋_GB2312"/>
                <w:color w:val="000000"/>
                <w:kern w:val="0"/>
                <w:szCs w:val="21"/>
              </w:rPr>
              <w:t>区级河道</w:t>
            </w:r>
          </w:p>
        </w:tc>
        <w:tc>
          <w:tcPr>
            <w:tcW w:w="410" w:type="pct"/>
            <w:vAlign w:val="center"/>
          </w:tcPr>
          <w:p>
            <w:pPr>
              <w:widowControl/>
              <w:jc w:val="center"/>
              <w:rPr>
                <w:rFonts w:eastAsia="仿宋_GB2312"/>
                <w:color w:val="000000"/>
                <w:kern w:val="0"/>
                <w:szCs w:val="21"/>
              </w:rPr>
            </w:pPr>
            <w:r>
              <w:rPr>
                <w:rFonts w:eastAsia="仿宋_GB2312"/>
                <w:color w:val="000000"/>
                <w:kern w:val="0"/>
                <w:szCs w:val="21"/>
              </w:rPr>
              <w:t>199</w:t>
            </w:r>
          </w:p>
        </w:tc>
        <w:tc>
          <w:tcPr>
            <w:tcW w:w="502" w:type="pct"/>
            <w:vAlign w:val="center"/>
          </w:tcPr>
          <w:p>
            <w:pPr>
              <w:widowControl/>
              <w:jc w:val="center"/>
              <w:rPr>
                <w:rFonts w:eastAsia="仿宋_GB2312"/>
                <w:color w:val="000000"/>
                <w:kern w:val="0"/>
                <w:szCs w:val="21"/>
              </w:rPr>
            </w:pPr>
            <w:r>
              <w:rPr>
                <w:rFonts w:eastAsia="仿宋_GB2312"/>
                <w:color w:val="000000"/>
                <w:kern w:val="0"/>
                <w:szCs w:val="21"/>
              </w:rPr>
              <w:t>43</w:t>
            </w:r>
          </w:p>
        </w:tc>
        <w:tc>
          <w:tcPr>
            <w:tcW w:w="804" w:type="pct"/>
            <w:vAlign w:val="center"/>
          </w:tcPr>
          <w:p>
            <w:pPr>
              <w:widowControl/>
              <w:jc w:val="center"/>
              <w:rPr>
                <w:rFonts w:eastAsia="仿宋_GB2312"/>
                <w:color w:val="000000"/>
                <w:kern w:val="0"/>
                <w:szCs w:val="21"/>
              </w:rPr>
            </w:pPr>
            <w:r>
              <w:rPr>
                <w:rFonts w:eastAsia="仿宋_GB2312"/>
                <w:color w:val="000000"/>
                <w:kern w:val="0"/>
                <w:szCs w:val="21"/>
              </w:rPr>
              <w:t>9.60</w:t>
            </w:r>
          </w:p>
        </w:tc>
        <w:tc>
          <w:tcPr>
            <w:tcW w:w="873" w:type="pct"/>
            <w:vAlign w:val="center"/>
          </w:tcPr>
          <w:p>
            <w:pPr>
              <w:widowControl/>
              <w:jc w:val="center"/>
              <w:rPr>
                <w:rFonts w:eastAsia="仿宋_GB2312"/>
                <w:color w:val="000000"/>
                <w:kern w:val="0"/>
                <w:szCs w:val="21"/>
              </w:rPr>
            </w:pPr>
            <w:r>
              <w:rPr>
                <w:rFonts w:eastAsia="仿宋_GB2312"/>
                <w:color w:val="000000"/>
                <w:kern w:val="0"/>
                <w:szCs w:val="21"/>
              </w:rPr>
              <w:t>1961</w:t>
            </w:r>
          </w:p>
        </w:tc>
        <w:tc>
          <w:tcPr>
            <w:tcW w:w="695" w:type="pct"/>
            <w:vAlign w:val="center"/>
          </w:tcPr>
          <w:p>
            <w:pPr>
              <w:widowControl/>
              <w:jc w:val="center"/>
              <w:rPr>
                <w:rFonts w:eastAsia="仿宋_GB2312"/>
                <w:color w:val="000000"/>
                <w:kern w:val="0"/>
                <w:szCs w:val="21"/>
              </w:rPr>
            </w:pPr>
            <w:r>
              <w:rPr>
                <w:rFonts w:eastAsia="仿宋_GB2312"/>
                <w:color w:val="000000"/>
                <w:kern w:val="0"/>
                <w:szCs w:val="21"/>
              </w:rPr>
              <w:t>12.20</w:t>
            </w:r>
          </w:p>
        </w:tc>
        <w:tc>
          <w:tcPr>
            <w:tcW w:w="781" w:type="pct"/>
            <w:vAlign w:val="center"/>
          </w:tcPr>
          <w:p>
            <w:pPr>
              <w:widowControl/>
              <w:jc w:val="center"/>
              <w:rPr>
                <w:rFonts w:eastAsia="仿宋_GB2312"/>
                <w:color w:val="000000"/>
                <w:kern w:val="0"/>
                <w:szCs w:val="21"/>
              </w:rPr>
            </w:pPr>
            <w:r>
              <w:rPr>
                <w:rFonts w:eastAsia="仿宋_GB2312"/>
                <w:color w:val="000000"/>
                <w:kern w:val="0"/>
                <w:szCs w:val="21"/>
              </w:rPr>
              <w:t>3744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934" w:type="pct"/>
            <w:vAlign w:val="center"/>
          </w:tcPr>
          <w:p>
            <w:pPr>
              <w:widowControl/>
              <w:jc w:val="center"/>
              <w:rPr>
                <w:rFonts w:eastAsia="仿宋_GB2312"/>
                <w:color w:val="000000"/>
                <w:kern w:val="0"/>
                <w:szCs w:val="21"/>
              </w:rPr>
            </w:pPr>
            <w:r>
              <w:rPr>
                <w:rFonts w:eastAsia="仿宋_GB2312"/>
                <w:color w:val="000000"/>
                <w:kern w:val="0"/>
                <w:szCs w:val="21"/>
              </w:rPr>
              <w:t>镇级河道</w:t>
            </w:r>
          </w:p>
        </w:tc>
        <w:tc>
          <w:tcPr>
            <w:tcW w:w="410" w:type="pct"/>
            <w:vAlign w:val="center"/>
          </w:tcPr>
          <w:p>
            <w:pPr>
              <w:widowControl/>
              <w:jc w:val="center"/>
              <w:rPr>
                <w:rFonts w:eastAsia="仿宋_GB2312"/>
                <w:color w:val="000000"/>
                <w:kern w:val="0"/>
                <w:szCs w:val="21"/>
              </w:rPr>
            </w:pPr>
            <w:r>
              <w:rPr>
                <w:rFonts w:eastAsia="仿宋_GB2312"/>
                <w:color w:val="000000"/>
                <w:kern w:val="0"/>
                <w:szCs w:val="21"/>
              </w:rPr>
              <w:t>675</w:t>
            </w:r>
          </w:p>
        </w:tc>
        <w:tc>
          <w:tcPr>
            <w:tcW w:w="502" w:type="pct"/>
            <w:vAlign w:val="center"/>
          </w:tcPr>
          <w:p>
            <w:pPr>
              <w:widowControl/>
              <w:jc w:val="center"/>
              <w:rPr>
                <w:rFonts w:eastAsia="仿宋_GB2312"/>
                <w:color w:val="000000"/>
                <w:kern w:val="0"/>
                <w:szCs w:val="21"/>
              </w:rPr>
            </w:pPr>
            <w:r>
              <w:rPr>
                <w:rFonts w:eastAsia="仿宋_GB2312"/>
                <w:color w:val="000000"/>
                <w:kern w:val="0"/>
                <w:szCs w:val="21"/>
              </w:rPr>
              <w:t>366</w:t>
            </w:r>
          </w:p>
        </w:tc>
        <w:tc>
          <w:tcPr>
            <w:tcW w:w="804" w:type="pct"/>
            <w:vAlign w:val="center"/>
          </w:tcPr>
          <w:p>
            <w:pPr>
              <w:widowControl/>
              <w:jc w:val="center"/>
              <w:rPr>
                <w:rFonts w:eastAsia="仿宋_GB2312"/>
                <w:color w:val="000000"/>
                <w:kern w:val="0"/>
                <w:szCs w:val="21"/>
              </w:rPr>
            </w:pPr>
            <w:r>
              <w:rPr>
                <w:rFonts w:eastAsia="仿宋_GB2312"/>
                <w:color w:val="000000"/>
                <w:kern w:val="0"/>
                <w:szCs w:val="21"/>
              </w:rPr>
              <w:t>17.71</w:t>
            </w:r>
          </w:p>
        </w:tc>
        <w:tc>
          <w:tcPr>
            <w:tcW w:w="873" w:type="pct"/>
            <w:vAlign w:val="center"/>
          </w:tcPr>
          <w:p>
            <w:pPr>
              <w:widowControl/>
              <w:jc w:val="center"/>
              <w:rPr>
                <w:rFonts w:eastAsia="仿宋_GB2312"/>
                <w:color w:val="000000"/>
                <w:kern w:val="0"/>
                <w:szCs w:val="21"/>
              </w:rPr>
            </w:pPr>
            <w:r>
              <w:rPr>
                <w:rFonts w:eastAsia="仿宋_GB2312"/>
                <w:color w:val="000000"/>
                <w:kern w:val="0"/>
                <w:szCs w:val="21"/>
              </w:rPr>
              <w:t>2856</w:t>
            </w:r>
          </w:p>
        </w:tc>
        <w:tc>
          <w:tcPr>
            <w:tcW w:w="695" w:type="pct"/>
            <w:vAlign w:val="center"/>
          </w:tcPr>
          <w:p>
            <w:pPr>
              <w:widowControl/>
              <w:jc w:val="center"/>
              <w:rPr>
                <w:rFonts w:eastAsia="仿宋_GB2312"/>
                <w:color w:val="000000"/>
                <w:kern w:val="0"/>
                <w:szCs w:val="21"/>
              </w:rPr>
            </w:pPr>
            <w:r>
              <w:rPr>
                <w:rFonts w:eastAsia="仿宋_GB2312"/>
                <w:color w:val="000000"/>
                <w:kern w:val="0"/>
                <w:szCs w:val="21"/>
              </w:rPr>
              <w:t>22.13</w:t>
            </w:r>
          </w:p>
        </w:tc>
        <w:tc>
          <w:tcPr>
            <w:tcW w:w="781" w:type="pct"/>
            <w:vAlign w:val="center"/>
          </w:tcPr>
          <w:p>
            <w:pPr>
              <w:widowControl/>
              <w:jc w:val="center"/>
              <w:rPr>
                <w:rFonts w:eastAsia="仿宋_GB2312"/>
                <w:color w:val="000000"/>
                <w:kern w:val="0"/>
                <w:szCs w:val="21"/>
              </w:rPr>
            </w:pPr>
            <w:r>
              <w:rPr>
                <w:rFonts w:eastAsia="仿宋_GB2312"/>
                <w:color w:val="000000"/>
                <w:kern w:val="0"/>
                <w:szCs w:val="21"/>
              </w:rPr>
              <w:t>6523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934" w:type="pct"/>
            <w:vAlign w:val="center"/>
          </w:tcPr>
          <w:p>
            <w:pPr>
              <w:widowControl/>
              <w:jc w:val="center"/>
              <w:rPr>
                <w:rFonts w:eastAsia="仿宋_GB2312"/>
                <w:color w:val="000000"/>
                <w:kern w:val="0"/>
                <w:szCs w:val="21"/>
              </w:rPr>
            </w:pPr>
            <w:r>
              <w:rPr>
                <w:rFonts w:eastAsia="仿宋_GB2312"/>
                <w:color w:val="000000"/>
                <w:kern w:val="0"/>
                <w:szCs w:val="21"/>
              </w:rPr>
              <w:t>镇以下级河道</w:t>
            </w:r>
          </w:p>
        </w:tc>
        <w:tc>
          <w:tcPr>
            <w:tcW w:w="410" w:type="pct"/>
            <w:vAlign w:val="center"/>
          </w:tcPr>
          <w:p>
            <w:pPr>
              <w:widowControl/>
              <w:jc w:val="center"/>
              <w:rPr>
                <w:rFonts w:eastAsia="仿宋_GB2312"/>
                <w:color w:val="000000"/>
                <w:kern w:val="0"/>
                <w:szCs w:val="21"/>
              </w:rPr>
            </w:pPr>
            <w:r>
              <w:rPr>
                <w:rFonts w:eastAsia="仿宋_GB2312"/>
                <w:color w:val="000000"/>
                <w:kern w:val="0"/>
                <w:szCs w:val="21"/>
              </w:rPr>
              <w:t>981</w:t>
            </w:r>
          </w:p>
        </w:tc>
        <w:tc>
          <w:tcPr>
            <w:tcW w:w="502" w:type="pct"/>
            <w:vAlign w:val="center"/>
          </w:tcPr>
          <w:p>
            <w:pPr>
              <w:widowControl/>
              <w:jc w:val="center"/>
              <w:rPr>
                <w:rFonts w:eastAsia="仿宋_GB2312"/>
                <w:color w:val="000000"/>
                <w:kern w:val="0"/>
                <w:szCs w:val="21"/>
              </w:rPr>
            </w:pPr>
            <w:r>
              <w:rPr>
                <w:rFonts w:eastAsia="仿宋_GB2312"/>
                <w:color w:val="000000"/>
                <w:kern w:val="0"/>
                <w:szCs w:val="21"/>
              </w:rPr>
              <w:t>1816</w:t>
            </w:r>
          </w:p>
        </w:tc>
        <w:tc>
          <w:tcPr>
            <w:tcW w:w="804" w:type="pct"/>
            <w:vAlign w:val="center"/>
          </w:tcPr>
          <w:p>
            <w:pPr>
              <w:widowControl/>
              <w:jc w:val="center"/>
              <w:rPr>
                <w:rFonts w:eastAsia="仿宋_GB2312"/>
                <w:color w:val="000000"/>
                <w:kern w:val="0"/>
                <w:szCs w:val="21"/>
              </w:rPr>
            </w:pPr>
            <w:r>
              <w:rPr>
                <w:rFonts w:eastAsia="仿宋_GB2312"/>
                <w:color w:val="000000"/>
                <w:kern w:val="0"/>
                <w:szCs w:val="21"/>
              </w:rPr>
              <w:t>19.55</w:t>
            </w:r>
          </w:p>
        </w:tc>
        <w:tc>
          <w:tcPr>
            <w:tcW w:w="873" w:type="pct"/>
            <w:vAlign w:val="center"/>
          </w:tcPr>
          <w:p>
            <w:pPr>
              <w:widowControl/>
              <w:jc w:val="center"/>
              <w:rPr>
                <w:rFonts w:eastAsia="仿宋_GB2312"/>
                <w:color w:val="000000"/>
                <w:kern w:val="0"/>
                <w:szCs w:val="21"/>
              </w:rPr>
            </w:pPr>
            <w:r>
              <w:rPr>
                <w:rFonts w:eastAsia="仿宋_GB2312"/>
                <w:color w:val="000000"/>
                <w:kern w:val="0"/>
                <w:szCs w:val="21"/>
              </w:rPr>
              <w:t>2670</w:t>
            </w:r>
          </w:p>
        </w:tc>
        <w:tc>
          <w:tcPr>
            <w:tcW w:w="695" w:type="pct"/>
            <w:vAlign w:val="center"/>
          </w:tcPr>
          <w:p>
            <w:pPr>
              <w:widowControl/>
              <w:jc w:val="center"/>
              <w:rPr>
                <w:rFonts w:eastAsia="仿宋_GB2312"/>
                <w:color w:val="000000"/>
                <w:kern w:val="0"/>
                <w:szCs w:val="21"/>
              </w:rPr>
            </w:pPr>
            <w:r>
              <w:rPr>
                <w:rFonts w:eastAsia="仿宋_GB2312"/>
                <w:color w:val="000000"/>
                <w:kern w:val="0"/>
                <w:szCs w:val="21"/>
              </w:rPr>
              <w:t>25.12</w:t>
            </w:r>
          </w:p>
        </w:tc>
        <w:tc>
          <w:tcPr>
            <w:tcW w:w="781" w:type="pct"/>
            <w:vAlign w:val="center"/>
          </w:tcPr>
          <w:p>
            <w:pPr>
              <w:widowControl/>
              <w:jc w:val="center"/>
              <w:rPr>
                <w:rFonts w:eastAsia="仿宋_GB2312"/>
                <w:color w:val="000000"/>
                <w:kern w:val="0"/>
                <w:szCs w:val="21"/>
              </w:rPr>
            </w:pPr>
            <w:r>
              <w:rPr>
                <w:rFonts w:eastAsia="仿宋_GB2312"/>
                <w:color w:val="000000"/>
                <w:kern w:val="0"/>
                <w:szCs w:val="21"/>
              </w:rPr>
              <w:t>6734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934" w:type="pct"/>
            <w:vAlign w:val="center"/>
          </w:tcPr>
          <w:p>
            <w:pPr>
              <w:widowControl/>
              <w:jc w:val="center"/>
              <w:rPr>
                <w:rFonts w:eastAsia="仿宋_GB2312"/>
                <w:color w:val="000000"/>
                <w:kern w:val="0"/>
                <w:szCs w:val="21"/>
              </w:rPr>
            </w:pPr>
            <w:r>
              <w:rPr>
                <w:rFonts w:eastAsia="仿宋_GB2312"/>
                <w:color w:val="000000"/>
                <w:kern w:val="0"/>
                <w:szCs w:val="21"/>
              </w:rPr>
              <w:t>合 计</w:t>
            </w:r>
          </w:p>
        </w:tc>
        <w:tc>
          <w:tcPr>
            <w:tcW w:w="410" w:type="pct"/>
            <w:vAlign w:val="center"/>
          </w:tcPr>
          <w:p>
            <w:pPr>
              <w:widowControl/>
              <w:jc w:val="center"/>
              <w:rPr>
                <w:rFonts w:eastAsia="仿宋_GB2312"/>
                <w:color w:val="000000"/>
                <w:kern w:val="0"/>
                <w:szCs w:val="21"/>
              </w:rPr>
            </w:pPr>
            <w:r>
              <w:rPr>
                <w:rFonts w:eastAsia="仿宋_GB2312"/>
                <w:color w:val="000000"/>
                <w:kern w:val="0"/>
                <w:szCs w:val="21"/>
              </w:rPr>
              <w:t>2118</w:t>
            </w:r>
          </w:p>
        </w:tc>
        <w:tc>
          <w:tcPr>
            <w:tcW w:w="502" w:type="pct"/>
            <w:vAlign w:val="center"/>
          </w:tcPr>
          <w:p>
            <w:pPr>
              <w:widowControl/>
              <w:jc w:val="center"/>
              <w:rPr>
                <w:rFonts w:eastAsia="仿宋_GB2312"/>
                <w:color w:val="000000"/>
                <w:kern w:val="0"/>
                <w:szCs w:val="21"/>
              </w:rPr>
            </w:pPr>
            <w:r>
              <w:rPr>
                <w:rFonts w:eastAsia="仿宋_GB2312"/>
                <w:color w:val="000000"/>
                <w:kern w:val="0"/>
                <w:szCs w:val="21"/>
              </w:rPr>
              <w:t>2248</w:t>
            </w:r>
          </w:p>
        </w:tc>
        <w:tc>
          <w:tcPr>
            <w:tcW w:w="804" w:type="pct"/>
            <w:vAlign w:val="center"/>
          </w:tcPr>
          <w:p>
            <w:pPr>
              <w:widowControl/>
              <w:jc w:val="center"/>
              <w:rPr>
                <w:rFonts w:eastAsia="仿宋_GB2312"/>
                <w:color w:val="000000"/>
                <w:kern w:val="0"/>
                <w:szCs w:val="21"/>
              </w:rPr>
            </w:pPr>
            <w:r>
              <w:rPr>
                <w:rFonts w:eastAsia="仿宋_GB2312"/>
                <w:color w:val="000000"/>
                <w:kern w:val="0"/>
                <w:szCs w:val="21"/>
              </w:rPr>
              <w:t>62.02</w:t>
            </w:r>
          </w:p>
        </w:tc>
        <w:tc>
          <w:tcPr>
            <w:tcW w:w="873" w:type="pct"/>
            <w:vAlign w:val="center"/>
          </w:tcPr>
          <w:p>
            <w:pPr>
              <w:widowControl/>
              <w:jc w:val="center"/>
              <w:rPr>
                <w:rFonts w:eastAsia="仿宋_GB2312"/>
                <w:color w:val="000000"/>
                <w:kern w:val="0"/>
                <w:szCs w:val="21"/>
              </w:rPr>
            </w:pPr>
            <w:r>
              <w:rPr>
                <w:rFonts w:eastAsia="仿宋_GB2312"/>
                <w:color w:val="000000"/>
                <w:kern w:val="0"/>
                <w:szCs w:val="21"/>
              </w:rPr>
              <w:t>10875</w:t>
            </w:r>
          </w:p>
        </w:tc>
        <w:tc>
          <w:tcPr>
            <w:tcW w:w="695" w:type="pct"/>
            <w:vAlign w:val="center"/>
          </w:tcPr>
          <w:p>
            <w:pPr>
              <w:widowControl/>
              <w:jc w:val="center"/>
              <w:rPr>
                <w:rFonts w:eastAsia="仿宋_GB2312"/>
                <w:color w:val="000000"/>
                <w:kern w:val="0"/>
                <w:szCs w:val="21"/>
              </w:rPr>
            </w:pPr>
            <w:r>
              <w:rPr>
                <w:rFonts w:eastAsia="仿宋_GB2312"/>
                <w:color w:val="000000"/>
                <w:kern w:val="0"/>
                <w:szCs w:val="21"/>
              </w:rPr>
              <w:t>79.25</w:t>
            </w:r>
          </w:p>
        </w:tc>
        <w:tc>
          <w:tcPr>
            <w:tcW w:w="781" w:type="pct"/>
            <w:vAlign w:val="center"/>
          </w:tcPr>
          <w:p>
            <w:pPr>
              <w:widowControl/>
              <w:jc w:val="center"/>
              <w:rPr>
                <w:rFonts w:eastAsia="仿宋_GB2312"/>
                <w:color w:val="000000"/>
                <w:kern w:val="0"/>
                <w:szCs w:val="21"/>
              </w:rPr>
            </w:pPr>
            <w:r>
              <w:rPr>
                <w:rFonts w:eastAsia="仿宋_GB2312"/>
                <w:color w:val="000000"/>
                <w:kern w:val="0"/>
                <w:szCs w:val="21"/>
              </w:rPr>
              <w:t>23138</w:t>
            </w:r>
          </w:p>
        </w:tc>
      </w:tr>
    </w:tbl>
    <w:p>
      <w:pPr>
        <w:jc w:val="center"/>
        <w:rPr>
          <w:rFonts w:eastAsia="黑体"/>
          <w:sz w:val="28"/>
          <w:szCs w:val="28"/>
        </w:rPr>
      </w:pPr>
      <w:r>
        <w:rPr>
          <w:rFonts w:hint="eastAsia" w:eastAsia="黑体"/>
          <w:sz w:val="28"/>
          <w:szCs w:val="28"/>
        </w:rPr>
        <w:t>表1-2南浔区河道汇总表</w:t>
      </w:r>
    </w:p>
    <w:tbl>
      <w:tblPr>
        <w:tblStyle w:val="29"/>
        <w:tblW w:w="5000"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10"/>
        <w:gridCol w:w="1044"/>
        <w:gridCol w:w="1500"/>
        <w:gridCol w:w="1638"/>
        <w:gridCol w:w="1421"/>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48" w:type="pct"/>
            <w:vAlign w:val="center"/>
          </w:tcPr>
          <w:p>
            <w:pPr>
              <w:widowControl/>
              <w:jc w:val="center"/>
              <w:rPr>
                <w:rFonts w:eastAsia="仿宋_GB2312"/>
                <w:b/>
                <w:color w:val="000000"/>
                <w:kern w:val="0"/>
                <w:szCs w:val="21"/>
              </w:rPr>
            </w:pPr>
            <w:r>
              <w:rPr>
                <w:rFonts w:eastAsia="仿宋_GB2312"/>
                <w:b/>
                <w:color w:val="000000"/>
                <w:kern w:val="0"/>
                <w:szCs w:val="21"/>
              </w:rPr>
              <w:t>湖漾类型</w:t>
            </w:r>
          </w:p>
        </w:tc>
        <w:tc>
          <w:tcPr>
            <w:tcW w:w="628" w:type="pct"/>
            <w:vAlign w:val="center"/>
          </w:tcPr>
          <w:p>
            <w:pPr>
              <w:widowControl/>
              <w:jc w:val="center"/>
              <w:rPr>
                <w:rFonts w:eastAsia="仿宋_GB2312"/>
                <w:b/>
                <w:color w:val="000000"/>
                <w:kern w:val="0"/>
                <w:szCs w:val="21"/>
              </w:rPr>
            </w:pPr>
            <w:r>
              <w:rPr>
                <w:rFonts w:eastAsia="仿宋_GB2312"/>
                <w:b/>
                <w:color w:val="000000"/>
                <w:kern w:val="0"/>
                <w:szCs w:val="21"/>
              </w:rPr>
              <w:t>数量（处）</w:t>
            </w:r>
          </w:p>
        </w:tc>
        <w:tc>
          <w:tcPr>
            <w:tcW w:w="902" w:type="pct"/>
            <w:vAlign w:val="center"/>
          </w:tcPr>
          <w:p>
            <w:pPr>
              <w:widowControl/>
              <w:jc w:val="center"/>
              <w:rPr>
                <w:rFonts w:eastAsia="仿宋_GB2312"/>
                <w:b/>
                <w:color w:val="000000"/>
                <w:kern w:val="0"/>
                <w:szCs w:val="21"/>
              </w:rPr>
            </w:pPr>
            <w:r>
              <w:rPr>
                <w:rFonts w:eastAsia="仿宋_GB2312"/>
                <w:b/>
                <w:color w:val="000000"/>
                <w:kern w:val="0"/>
                <w:szCs w:val="21"/>
              </w:rPr>
              <w:t>正常水位水面</w:t>
            </w:r>
          </w:p>
          <w:p>
            <w:pPr>
              <w:widowControl/>
              <w:jc w:val="center"/>
              <w:rPr>
                <w:rFonts w:eastAsia="仿宋_GB2312"/>
                <w:b/>
                <w:color w:val="000000"/>
                <w:kern w:val="0"/>
                <w:szCs w:val="21"/>
              </w:rPr>
            </w:pPr>
            <w:r>
              <w:rPr>
                <w:rFonts w:eastAsia="仿宋_GB2312"/>
                <w:b/>
                <w:color w:val="000000"/>
                <w:kern w:val="0"/>
                <w:szCs w:val="21"/>
              </w:rPr>
              <w:t>面积（km</w:t>
            </w:r>
            <w:r>
              <w:rPr>
                <w:rFonts w:eastAsia="仿宋_GB2312"/>
                <w:b/>
                <w:color w:val="000000"/>
                <w:kern w:val="0"/>
                <w:szCs w:val="21"/>
                <w:vertAlign w:val="superscript"/>
              </w:rPr>
              <w:t>2</w:t>
            </w:r>
            <w:r>
              <w:rPr>
                <w:rFonts w:eastAsia="仿宋_GB2312"/>
                <w:b/>
                <w:color w:val="000000"/>
                <w:kern w:val="0"/>
                <w:szCs w:val="21"/>
              </w:rPr>
              <w:t>）</w:t>
            </w:r>
          </w:p>
        </w:tc>
        <w:tc>
          <w:tcPr>
            <w:tcW w:w="985" w:type="pct"/>
            <w:vAlign w:val="center"/>
          </w:tcPr>
          <w:p>
            <w:pPr>
              <w:widowControl/>
              <w:jc w:val="center"/>
              <w:rPr>
                <w:rFonts w:eastAsia="仿宋_GB2312"/>
                <w:b/>
                <w:color w:val="000000"/>
                <w:kern w:val="0"/>
                <w:szCs w:val="21"/>
              </w:rPr>
            </w:pPr>
            <w:r>
              <w:rPr>
                <w:rFonts w:eastAsia="仿宋_GB2312"/>
                <w:b/>
                <w:color w:val="000000"/>
                <w:kern w:val="0"/>
                <w:szCs w:val="21"/>
              </w:rPr>
              <w:t>正常水位蓄</w:t>
            </w:r>
          </w:p>
          <w:p>
            <w:pPr>
              <w:widowControl/>
              <w:jc w:val="center"/>
              <w:rPr>
                <w:rFonts w:eastAsia="仿宋_GB2312"/>
                <w:b/>
                <w:color w:val="000000"/>
                <w:kern w:val="0"/>
                <w:szCs w:val="21"/>
              </w:rPr>
            </w:pPr>
            <w:r>
              <w:rPr>
                <w:rFonts w:eastAsia="仿宋_GB2312"/>
                <w:b/>
                <w:color w:val="000000"/>
                <w:kern w:val="0"/>
                <w:szCs w:val="21"/>
              </w:rPr>
              <w:t>水量(万m</w:t>
            </w:r>
            <w:r>
              <w:rPr>
                <w:rFonts w:eastAsia="仿宋_GB2312"/>
                <w:b/>
                <w:color w:val="000000"/>
                <w:kern w:val="0"/>
                <w:szCs w:val="21"/>
                <w:vertAlign w:val="superscript"/>
              </w:rPr>
              <w:t>3</w:t>
            </w:r>
            <w:r>
              <w:rPr>
                <w:rFonts w:eastAsia="仿宋_GB2312"/>
                <w:b/>
                <w:color w:val="000000"/>
                <w:kern w:val="0"/>
                <w:szCs w:val="21"/>
              </w:rPr>
              <w:t>)</w:t>
            </w:r>
          </w:p>
        </w:tc>
        <w:tc>
          <w:tcPr>
            <w:tcW w:w="854" w:type="pct"/>
            <w:vAlign w:val="center"/>
          </w:tcPr>
          <w:p>
            <w:pPr>
              <w:widowControl/>
              <w:jc w:val="center"/>
              <w:rPr>
                <w:rFonts w:eastAsia="仿宋_GB2312"/>
                <w:b/>
                <w:color w:val="000000"/>
                <w:kern w:val="0"/>
                <w:szCs w:val="21"/>
              </w:rPr>
            </w:pPr>
            <w:r>
              <w:rPr>
                <w:rFonts w:eastAsia="仿宋_GB2312"/>
                <w:b/>
                <w:color w:val="000000"/>
                <w:kern w:val="0"/>
                <w:szCs w:val="21"/>
              </w:rPr>
              <w:t>水域面积</w:t>
            </w:r>
          </w:p>
          <w:p>
            <w:pPr>
              <w:widowControl/>
              <w:jc w:val="center"/>
              <w:rPr>
                <w:rFonts w:eastAsia="仿宋_GB2312"/>
                <w:b/>
                <w:color w:val="000000"/>
                <w:kern w:val="0"/>
                <w:szCs w:val="21"/>
              </w:rPr>
            </w:pPr>
            <w:r>
              <w:rPr>
                <w:rFonts w:eastAsia="仿宋_GB2312"/>
                <w:b/>
                <w:color w:val="000000"/>
                <w:kern w:val="0"/>
                <w:szCs w:val="21"/>
              </w:rPr>
              <w:t>（km</w:t>
            </w:r>
            <w:r>
              <w:rPr>
                <w:rFonts w:eastAsia="仿宋_GB2312"/>
                <w:b/>
                <w:color w:val="000000"/>
                <w:kern w:val="0"/>
                <w:szCs w:val="21"/>
                <w:vertAlign w:val="superscript"/>
              </w:rPr>
              <w:t>2</w:t>
            </w:r>
            <w:r>
              <w:rPr>
                <w:rFonts w:eastAsia="仿宋_GB2312"/>
                <w:b/>
                <w:color w:val="000000"/>
                <w:kern w:val="0"/>
                <w:szCs w:val="21"/>
              </w:rPr>
              <w:t>）</w:t>
            </w:r>
          </w:p>
        </w:tc>
        <w:tc>
          <w:tcPr>
            <w:tcW w:w="784" w:type="pct"/>
            <w:vAlign w:val="center"/>
          </w:tcPr>
          <w:p>
            <w:pPr>
              <w:widowControl/>
              <w:jc w:val="center"/>
              <w:rPr>
                <w:rFonts w:eastAsia="仿宋_GB2312"/>
                <w:b/>
                <w:color w:val="000000"/>
                <w:kern w:val="0"/>
                <w:szCs w:val="21"/>
              </w:rPr>
            </w:pPr>
            <w:r>
              <w:rPr>
                <w:rFonts w:eastAsia="仿宋_GB2312"/>
                <w:b/>
                <w:color w:val="000000"/>
                <w:kern w:val="0"/>
                <w:szCs w:val="21"/>
              </w:rPr>
              <w:t>水域容积</w:t>
            </w:r>
          </w:p>
          <w:p>
            <w:pPr>
              <w:widowControl/>
              <w:jc w:val="center"/>
              <w:rPr>
                <w:rFonts w:eastAsia="仿宋_GB2312"/>
                <w:b/>
                <w:color w:val="000000"/>
                <w:kern w:val="0"/>
                <w:szCs w:val="21"/>
              </w:rPr>
            </w:pPr>
            <w:r>
              <w:rPr>
                <w:rFonts w:eastAsia="仿宋_GB2312"/>
                <w:b/>
                <w:color w:val="000000"/>
                <w:kern w:val="0"/>
                <w:szCs w:val="21"/>
              </w:rPr>
              <w:t>(万m</w:t>
            </w:r>
            <w:r>
              <w:rPr>
                <w:rFonts w:eastAsia="仿宋_GB2312"/>
                <w:b/>
                <w:color w:val="000000"/>
                <w:kern w:val="0"/>
                <w:szCs w:val="21"/>
                <w:vertAlign w:val="superscript"/>
              </w:rPr>
              <w:t>3</w:t>
            </w:r>
            <w:r>
              <w:rPr>
                <w:rFonts w:eastAsia="仿宋_GB2312"/>
                <w:b/>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848" w:type="pct"/>
            <w:vAlign w:val="center"/>
          </w:tcPr>
          <w:p>
            <w:pPr>
              <w:widowControl/>
              <w:jc w:val="center"/>
              <w:rPr>
                <w:rFonts w:eastAsia="仿宋_GB2312"/>
                <w:color w:val="000000"/>
                <w:kern w:val="0"/>
                <w:szCs w:val="21"/>
              </w:rPr>
            </w:pPr>
            <w:r>
              <w:rPr>
                <w:rFonts w:eastAsia="仿宋_GB2312"/>
                <w:color w:val="000000"/>
                <w:kern w:val="0"/>
                <w:szCs w:val="21"/>
              </w:rPr>
              <w:t>重点小型湖泊</w:t>
            </w:r>
          </w:p>
        </w:tc>
        <w:tc>
          <w:tcPr>
            <w:tcW w:w="628" w:type="pct"/>
            <w:vAlign w:val="center"/>
          </w:tcPr>
          <w:p>
            <w:pPr>
              <w:widowControl/>
              <w:jc w:val="center"/>
              <w:rPr>
                <w:rFonts w:eastAsia="仿宋_GB2312"/>
                <w:color w:val="000000"/>
                <w:kern w:val="0"/>
                <w:szCs w:val="21"/>
              </w:rPr>
            </w:pPr>
            <w:r>
              <w:rPr>
                <w:rFonts w:eastAsia="仿宋_GB2312"/>
                <w:color w:val="000000"/>
                <w:kern w:val="0"/>
                <w:szCs w:val="21"/>
              </w:rPr>
              <w:t>1</w:t>
            </w:r>
          </w:p>
        </w:tc>
        <w:tc>
          <w:tcPr>
            <w:tcW w:w="902" w:type="pct"/>
            <w:vAlign w:val="center"/>
          </w:tcPr>
          <w:p>
            <w:pPr>
              <w:widowControl/>
              <w:jc w:val="center"/>
              <w:rPr>
                <w:rFonts w:eastAsia="仿宋_GB2312"/>
                <w:color w:val="000000"/>
                <w:kern w:val="0"/>
                <w:szCs w:val="21"/>
              </w:rPr>
            </w:pPr>
            <w:r>
              <w:rPr>
                <w:rFonts w:eastAsia="仿宋_GB2312"/>
                <w:color w:val="000000"/>
                <w:kern w:val="0"/>
                <w:szCs w:val="21"/>
              </w:rPr>
              <w:t>1.29</w:t>
            </w:r>
          </w:p>
        </w:tc>
        <w:tc>
          <w:tcPr>
            <w:tcW w:w="985" w:type="pct"/>
            <w:vAlign w:val="center"/>
          </w:tcPr>
          <w:p>
            <w:pPr>
              <w:widowControl/>
              <w:jc w:val="center"/>
              <w:rPr>
                <w:rFonts w:eastAsia="仿宋_GB2312"/>
                <w:color w:val="000000"/>
                <w:kern w:val="0"/>
                <w:szCs w:val="21"/>
              </w:rPr>
            </w:pPr>
            <w:r>
              <w:rPr>
                <w:rFonts w:eastAsia="仿宋_GB2312"/>
                <w:color w:val="000000"/>
                <w:kern w:val="0"/>
                <w:szCs w:val="21"/>
              </w:rPr>
              <w:t>397</w:t>
            </w:r>
          </w:p>
        </w:tc>
        <w:tc>
          <w:tcPr>
            <w:tcW w:w="854" w:type="pct"/>
            <w:vAlign w:val="center"/>
          </w:tcPr>
          <w:p>
            <w:pPr>
              <w:widowControl/>
              <w:jc w:val="center"/>
              <w:rPr>
                <w:rFonts w:eastAsia="仿宋_GB2312"/>
                <w:color w:val="000000"/>
                <w:kern w:val="0"/>
                <w:szCs w:val="21"/>
              </w:rPr>
            </w:pPr>
            <w:r>
              <w:rPr>
                <w:rFonts w:eastAsia="仿宋_GB2312"/>
                <w:color w:val="000000"/>
                <w:kern w:val="0"/>
                <w:szCs w:val="21"/>
              </w:rPr>
              <w:t>1.31</w:t>
            </w:r>
          </w:p>
        </w:tc>
        <w:tc>
          <w:tcPr>
            <w:tcW w:w="784" w:type="pct"/>
            <w:vAlign w:val="center"/>
          </w:tcPr>
          <w:p>
            <w:pPr>
              <w:widowControl/>
              <w:jc w:val="center"/>
              <w:rPr>
                <w:rFonts w:eastAsia="仿宋_GB2312"/>
                <w:color w:val="000000"/>
                <w:kern w:val="0"/>
                <w:szCs w:val="21"/>
              </w:rPr>
            </w:pPr>
            <w:r>
              <w:rPr>
                <w:rFonts w:eastAsia="仿宋_GB2312"/>
                <w:color w:val="000000"/>
                <w:kern w:val="0"/>
                <w:szCs w:val="21"/>
              </w:rPr>
              <w:t>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848" w:type="pct"/>
            <w:vAlign w:val="center"/>
          </w:tcPr>
          <w:p>
            <w:pPr>
              <w:widowControl/>
              <w:jc w:val="center"/>
              <w:rPr>
                <w:rFonts w:eastAsia="仿宋_GB2312"/>
                <w:color w:val="000000"/>
                <w:kern w:val="0"/>
                <w:szCs w:val="21"/>
              </w:rPr>
            </w:pPr>
            <w:r>
              <w:rPr>
                <w:rFonts w:eastAsia="仿宋_GB2312"/>
                <w:color w:val="000000"/>
                <w:kern w:val="0"/>
                <w:szCs w:val="21"/>
              </w:rPr>
              <w:t>小型湖泊</w:t>
            </w:r>
          </w:p>
        </w:tc>
        <w:tc>
          <w:tcPr>
            <w:tcW w:w="628" w:type="pct"/>
            <w:vAlign w:val="center"/>
          </w:tcPr>
          <w:p>
            <w:pPr>
              <w:widowControl/>
              <w:jc w:val="center"/>
              <w:rPr>
                <w:rFonts w:eastAsia="仿宋_GB2312"/>
                <w:color w:val="000000"/>
                <w:kern w:val="0"/>
                <w:szCs w:val="21"/>
              </w:rPr>
            </w:pPr>
            <w:r>
              <w:rPr>
                <w:rFonts w:eastAsia="仿宋_GB2312"/>
                <w:color w:val="000000"/>
                <w:kern w:val="0"/>
                <w:szCs w:val="21"/>
              </w:rPr>
              <w:t>4</w:t>
            </w:r>
          </w:p>
        </w:tc>
        <w:tc>
          <w:tcPr>
            <w:tcW w:w="902" w:type="pct"/>
            <w:vAlign w:val="center"/>
          </w:tcPr>
          <w:p>
            <w:pPr>
              <w:widowControl/>
              <w:jc w:val="center"/>
              <w:rPr>
                <w:rFonts w:eastAsia="仿宋_GB2312"/>
                <w:color w:val="000000"/>
                <w:kern w:val="0"/>
                <w:szCs w:val="21"/>
              </w:rPr>
            </w:pPr>
            <w:r>
              <w:rPr>
                <w:rFonts w:eastAsia="仿宋_GB2312"/>
                <w:color w:val="000000"/>
                <w:kern w:val="0"/>
                <w:szCs w:val="21"/>
              </w:rPr>
              <w:t>2.28</w:t>
            </w:r>
          </w:p>
        </w:tc>
        <w:tc>
          <w:tcPr>
            <w:tcW w:w="985" w:type="pct"/>
            <w:vAlign w:val="center"/>
          </w:tcPr>
          <w:p>
            <w:pPr>
              <w:widowControl/>
              <w:jc w:val="center"/>
              <w:rPr>
                <w:rFonts w:eastAsia="仿宋_GB2312"/>
                <w:color w:val="000000"/>
                <w:kern w:val="0"/>
                <w:szCs w:val="21"/>
              </w:rPr>
            </w:pPr>
            <w:r>
              <w:rPr>
                <w:rFonts w:eastAsia="仿宋_GB2312"/>
                <w:color w:val="000000"/>
                <w:kern w:val="0"/>
                <w:szCs w:val="21"/>
              </w:rPr>
              <w:t>536</w:t>
            </w:r>
          </w:p>
        </w:tc>
        <w:tc>
          <w:tcPr>
            <w:tcW w:w="854" w:type="pct"/>
            <w:vAlign w:val="center"/>
          </w:tcPr>
          <w:p>
            <w:pPr>
              <w:widowControl/>
              <w:jc w:val="center"/>
              <w:rPr>
                <w:rFonts w:eastAsia="仿宋_GB2312"/>
                <w:color w:val="000000"/>
                <w:kern w:val="0"/>
                <w:szCs w:val="21"/>
              </w:rPr>
            </w:pPr>
            <w:r>
              <w:rPr>
                <w:rFonts w:eastAsia="仿宋_GB2312"/>
                <w:color w:val="000000"/>
                <w:kern w:val="0"/>
                <w:szCs w:val="21"/>
              </w:rPr>
              <w:t>2.36</w:t>
            </w:r>
          </w:p>
        </w:tc>
        <w:tc>
          <w:tcPr>
            <w:tcW w:w="784" w:type="pct"/>
            <w:vAlign w:val="center"/>
          </w:tcPr>
          <w:p>
            <w:pPr>
              <w:widowControl/>
              <w:jc w:val="center"/>
              <w:rPr>
                <w:rFonts w:eastAsia="仿宋_GB2312"/>
                <w:color w:val="000000"/>
                <w:kern w:val="0"/>
                <w:szCs w:val="21"/>
              </w:rPr>
            </w:pPr>
            <w:r>
              <w:rPr>
                <w:rFonts w:eastAsia="仿宋_GB2312"/>
                <w:color w:val="000000"/>
                <w:kern w:val="0"/>
                <w:szCs w:val="21"/>
              </w:rPr>
              <w:t>961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848" w:type="pct"/>
            <w:vAlign w:val="center"/>
          </w:tcPr>
          <w:p>
            <w:pPr>
              <w:widowControl/>
              <w:jc w:val="center"/>
              <w:rPr>
                <w:rFonts w:eastAsia="仿宋_GB2312"/>
                <w:color w:val="000000"/>
                <w:kern w:val="0"/>
                <w:szCs w:val="21"/>
              </w:rPr>
            </w:pPr>
            <w:r>
              <w:rPr>
                <w:rFonts w:eastAsia="仿宋_GB2312"/>
                <w:color w:val="000000"/>
                <w:kern w:val="0"/>
                <w:szCs w:val="21"/>
              </w:rPr>
              <w:t>池塘型漾塘</w:t>
            </w:r>
          </w:p>
        </w:tc>
        <w:tc>
          <w:tcPr>
            <w:tcW w:w="628" w:type="pct"/>
            <w:vAlign w:val="center"/>
          </w:tcPr>
          <w:p>
            <w:pPr>
              <w:widowControl/>
              <w:jc w:val="center"/>
              <w:rPr>
                <w:rFonts w:eastAsia="仿宋_GB2312"/>
                <w:color w:val="000000"/>
                <w:kern w:val="0"/>
                <w:szCs w:val="21"/>
              </w:rPr>
            </w:pPr>
            <w:r>
              <w:rPr>
                <w:rFonts w:eastAsia="仿宋_GB2312"/>
                <w:color w:val="000000"/>
                <w:kern w:val="0"/>
                <w:szCs w:val="21"/>
              </w:rPr>
              <w:t>610</w:t>
            </w:r>
          </w:p>
        </w:tc>
        <w:tc>
          <w:tcPr>
            <w:tcW w:w="902" w:type="pct"/>
            <w:vAlign w:val="center"/>
          </w:tcPr>
          <w:p>
            <w:pPr>
              <w:widowControl/>
              <w:jc w:val="center"/>
              <w:rPr>
                <w:rFonts w:eastAsia="仿宋_GB2312"/>
                <w:color w:val="000000"/>
                <w:kern w:val="0"/>
                <w:szCs w:val="21"/>
              </w:rPr>
            </w:pPr>
            <w:r>
              <w:rPr>
                <w:rFonts w:eastAsia="仿宋_GB2312"/>
                <w:color w:val="000000"/>
                <w:kern w:val="0"/>
                <w:szCs w:val="21"/>
              </w:rPr>
              <w:t>8.8</w:t>
            </w:r>
          </w:p>
        </w:tc>
        <w:tc>
          <w:tcPr>
            <w:tcW w:w="985" w:type="pct"/>
            <w:vAlign w:val="center"/>
          </w:tcPr>
          <w:p>
            <w:pPr>
              <w:widowControl/>
              <w:jc w:val="center"/>
              <w:rPr>
                <w:rFonts w:eastAsia="仿宋_GB2312"/>
                <w:color w:val="000000"/>
                <w:kern w:val="0"/>
                <w:szCs w:val="21"/>
              </w:rPr>
            </w:pPr>
            <w:r>
              <w:rPr>
                <w:rFonts w:eastAsia="仿宋_GB2312"/>
                <w:color w:val="000000"/>
                <w:kern w:val="0"/>
                <w:szCs w:val="21"/>
              </w:rPr>
              <w:t>1511</w:t>
            </w:r>
          </w:p>
        </w:tc>
        <w:tc>
          <w:tcPr>
            <w:tcW w:w="854" w:type="pct"/>
            <w:vAlign w:val="center"/>
          </w:tcPr>
          <w:p>
            <w:pPr>
              <w:widowControl/>
              <w:jc w:val="center"/>
              <w:rPr>
                <w:rFonts w:eastAsia="仿宋_GB2312"/>
                <w:color w:val="000000"/>
                <w:kern w:val="0"/>
                <w:szCs w:val="21"/>
              </w:rPr>
            </w:pPr>
            <w:r>
              <w:rPr>
                <w:rFonts w:eastAsia="仿宋_GB2312"/>
                <w:color w:val="000000"/>
                <w:kern w:val="0"/>
                <w:szCs w:val="21"/>
              </w:rPr>
              <w:t>10.37</w:t>
            </w:r>
          </w:p>
        </w:tc>
        <w:tc>
          <w:tcPr>
            <w:tcW w:w="784" w:type="pct"/>
            <w:vAlign w:val="center"/>
          </w:tcPr>
          <w:p>
            <w:pPr>
              <w:widowControl/>
              <w:jc w:val="center"/>
              <w:rPr>
                <w:rFonts w:eastAsia="仿宋_GB2312"/>
                <w:color w:val="000000"/>
                <w:kern w:val="0"/>
                <w:szCs w:val="21"/>
              </w:rPr>
            </w:pPr>
            <w:r>
              <w:rPr>
                <w:rFonts w:eastAsia="仿宋_GB2312"/>
                <w:color w:val="000000"/>
                <w:kern w:val="0"/>
                <w:szCs w:val="21"/>
              </w:rPr>
              <w:t>3270.8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848" w:type="pct"/>
            <w:vAlign w:val="center"/>
          </w:tcPr>
          <w:p>
            <w:pPr>
              <w:widowControl/>
              <w:jc w:val="center"/>
              <w:rPr>
                <w:rFonts w:eastAsia="仿宋_GB2312"/>
                <w:color w:val="000000"/>
                <w:kern w:val="0"/>
                <w:szCs w:val="21"/>
              </w:rPr>
            </w:pPr>
            <w:r>
              <w:rPr>
                <w:rFonts w:eastAsia="仿宋_GB2312"/>
                <w:color w:val="000000"/>
                <w:kern w:val="0"/>
                <w:szCs w:val="21"/>
              </w:rPr>
              <w:t>合 计</w:t>
            </w:r>
          </w:p>
        </w:tc>
        <w:tc>
          <w:tcPr>
            <w:tcW w:w="628" w:type="pct"/>
            <w:vAlign w:val="center"/>
          </w:tcPr>
          <w:p>
            <w:pPr>
              <w:widowControl/>
              <w:jc w:val="center"/>
              <w:rPr>
                <w:rFonts w:eastAsia="仿宋_GB2312"/>
                <w:color w:val="000000"/>
                <w:kern w:val="0"/>
                <w:szCs w:val="21"/>
              </w:rPr>
            </w:pPr>
            <w:r>
              <w:rPr>
                <w:rFonts w:eastAsia="仿宋_GB2312"/>
                <w:color w:val="000000"/>
                <w:kern w:val="0"/>
                <w:szCs w:val="21"/>
              </w:rPr>
              <w:t>615</w:t>
            </w:r>
          </w:p>
        </w:tc>
        <w:tc>
          <w:tcPr>
            <w:tcW w:w="902" w:type="pct"/>
            <w:vAlign w:val="center"/>
          </w:tcPr>
          <w:p>
            <w:pPr>
              <w:widowControl/>
              <w:jc w:val="center"/>
              <w:rPr>
                <w:rFonts w:eastAsia="仿宋_GB2312"/>
                <w:color w:val="000000"/>
                <w:kern w:val="0"/>
                <w:szCs w:val="21"/>
              </w:rPr>
            </w:pPr>
            <w:r>
              <w:rPr>
                <w:rFonts w:eastAsia="仿宋_GB2312"/>
                <w:color w:val="000000"/>
                <w:kern w:val="0"/>
                <w:szCs w:val="21"/>
              </w:rPr>
              <w:t>12.37</w:t>
            </w:r>
          </w:p>
        </w:tc>
        <w:tc>
          <w:tcPr>
            <w:tcW w:w="985" w:type="pct"/>
            <w:vAlign w:val="center"/>
          </w:tcPr>
          <w:p>
            <w:pPr>
              <w:widowControl/>
              <w:jc w:val="center"/>
              <w:rPr>
                <w:rFonts w:eastAsia="仿宋_GB2312"/>
                <w:color w:val="000000"/>
                <w:kern w:val="0"/>
                <w:szCs w:val="21"/>
              </w:rPr>
            </w:pPr>
            <w:r>
              <w:rPr>
                <w:rFonts w:eastAsia="仿宋_GB2312"/>
                <w:color w:val="000000"/>
                <w:kern w:val="0"/>
                <w:szCs w:val="21"/>
              </w:rPr>
              <w:t>2444</w:t>
            </w:r>
          </w:p>
        </w:tc>
        <w:tc>
          <w:tcPr>
            <w:tcW w:w="854" w:type="pct"/>
            <w:vAlign w:val="center"/>
          </w:tcPr>
          <w:p>
            <w:pPr>
              <w:widowControl/>
              <w:jc w:val="center"/>
              <w:rPr>
                <w:rFonts w:eastAsia="仿宋_GB2312"/>
                <w:color w:val="000000"/>
                <w:kern w:val="0"/>
                <w:szCs w:val="21"/>
              </w:rPr>
            </w:pPr>
            <w:r>
              <w:rPr>
                <w:rFonts w:eastAsia="仿宋_GB2312"/>
                <w:color w:val="000000"/>
                <w:kern w:val="0"/>
                <w:szCs w:val="21"/>
              </w:rPr>
              <w:t>14.04</w:t>
            </w:r>
          </w:p>
        </w:tc>
        <w:tc>
          <w:tcPr>
            <w:tcW w:w="784" w:type="pct"/>
            <w:vAlign w:val="center"/>
          </w:tcPr>
          <w:p>
            <w:pPr>
              <w:widowControl/>
              <w:jc w:val="center"/>
              <w:rPr>
                <w:rFonts w:eastAsia="仿宋_GB2312"/>
                <w:color w:val="000000"/>
                <w:kern w:val="0"/>
                <w:szCs w:val="21"/>
              </w:rPr>
            </w:pPr>
            <w:r>
              <w:rPr>
                <w:rFonts w:eastAsia="仿宋_GB2312"/>
                <w:color w:val="000000"/>
                <w:kern w:val="0"/>
                <w:szCs w:val="21"/>
              </w:rPr>
              <w:t>4863.8</w:t>
            </w:r>
          </w:p>
        </w:tc>
      </w:tr>
    </w:tbl>
    <w:p>
      <w:pPr>
        <w:ind w:firstLine="600" w:firstLineChars="200"/>
        <w:rPr>
          <w:rFonts w:eastAsia="仿宋_GB2312"/>
          <w:sz w:val="30"/>
          <w:szCs w:val="30"/>
          <w:highlight w:val="yellow"/>
        </w:rPr>
      </w:pPr>
      <w:r>
        <w:rPr>
          <w:rFonts w:eastAsia="仿宋_GB2312"/>
          <w:sz w:val="30"/>
          <w:szCs w:val="30"/>
        </w:rPr>
        <w:drawing>
          <wp:inline distT="0" distB="0" distL="0" distR="0">
            <wp:extent cx="4371975" cy="3543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70115" cy="3542230"/>
                    </a:xfrm>
                    <a:prstGeom prst="rect">
                      <a:avLst/>
                    </a:prstGeom>
                    <a:noFill/>
                  </pic:spPr>
                </pic:pic>
              </a:graphicData>
            </a:graphic>
          </wp:inline>
        </w:drawing>
      </w:r>
    </w:p>
    <w:p>
      <w:pPr>
        <w:jc w:val="center"/>
        <w:rPr>
          <w:rFonts w:eastAsia="黑体"/>
          <w:sz w:val="28"/>
          <w:szCs w:val="28"/>
        </w:rPr>
      </w:pPr>
      <w:r>
        <w:rPr>
          <w:rFonts w:hint="eastAsia" w:eastAsia="黑体"/>
          <w:sz w:val="28"/>
          <w:szCs w:val="28"/>
        </w:rPr>
        <w:t>图1-1 南浔区水系图</w:t>
      </w:r>
    </w:p>
    <w:p>
      <w:pPr>
        <w:pStyle w:val="4"/>
        <w:numPr>
          <w:ilvl w:val="0"/>
          <w:numId w:val="6"/>
        </w:numPr>
        <w:spacing w:line="560" w:lineRule="exact"/>
        <w:rPr>
          <w:rFonts w:ascii="Times New Roman" w:eastAsia="仿宋_GB2312"/>
        </w:rPr>
      </w:pPr>
      <w:bookmarkStart w:id="10" w:name="_Toc43324235"/>
      <w:bookmarkStart w:id="11" w:name="_Toc43368847"/>
      <w:bookmarkStart w:id="12" w:name="_Toc43378100"/>
      <w:bookmarkStart w:id="13" w:name="_Toc71899930"/>
      <w:r>
        <w:rPr>
          <w:rFonts w:ascii="Times New Roman" w:eastAsia="仿宋_GB2312"/>
        </w:rPr>
        <w:t>水文气候</w:t>
      </w:r>
      <w:bookmarkEnd w:id="10"/>
      <w:bookmarkEnd w:id="11"/>
      <w:bookmarkEnd w:id="12"/>
      <w:bookmarkEnd w:id="13"/>
    </w:p>
    <w:p>
      <w:pPr>
        <w:spacing w:line="560" w:lineRule="exact"/>
        <w:ind w:firstLine="600" w:firstLineChars="200"/>
        <w:rPr>
          <w:rFonts w:eastAsia="仿宋_GB2312"/>
          <w:sz w:val="30"/>
          <w:szCs w:val="30"/>
        </w:rPr>
      </w:pPr>
      <w:r>
        <w:rPr>
          <w:rFonts w:eastAsia="仿宋_GB2312"/>
          <w:sz w:val="30"/>
          <w:szCs w:val="30"/>
        </w:rPr>
        <w:t>南浔区气候属北亚热带季风气候区，湿润温和，四季分明，年平均气温在15.5</w:t>
      </w:r>
      <w:r>
        <w:rPr>
          <w:rFonts w:hint="eastAsia" w:ascii="宋体" w:hAnsi="宋体" w:cs="宋体"/>
          <w:sz w:val="30"/>
          <w:szCs w:val="30"/>
        </w:rPr>
        <w:t>℃</w:t>
      </w:r>
      <w:r>
        <w:rPr>
          <w:rFonts w:eastAsia="仿宋_GB2312"/>
          <w:sz w:val="30"/>
          <w:szCs w:val="30"/>
        </w:rPr>
        <w:t>～16</w:t>
      </w:r>
      <w:r>
        <w:rPr>
          <w:rFonts w:hint="eastAsia" w:ascii="宋体" w:hAnsi="宋体" w:cs="宋体"/>
          <w:sz w:val="30"/>
          <w:szCs w:val="30"/>
        </w:rPr>
        <w:t>℃</w:t>
      </w:r>
      <w:r>
        <w:rPr>
          <w:rFonts w:eastAsia="仿宋_GB2312"/>
          <w:sz w:val="30"/>
          <w:szCs w:val="30"/>
        </w:rPr>
        <w:t>之间，1月气温最低，平均2.8</w:t>
      </w:r>
      <w:r>
        <w:rPr>
          <w:rFonts w:hint="eastAsia" w:ascii="宋体" w:hAnsi="宋体" w:cs="宋体"/>
          <w:sz w:val="30"/>
          <w:szCs w:val="30"/>
        </w:rPr>
        <w:t>℃</w:t>
      </w:r>
      <w:r>
        <w:rPr>
          <w:rFonts w:eastAsia="仿宋_GB2312"/>
          <w:sz w:val="30"/>
          <w:szCs w:val="30"/>
        </w:rPr>
        <w:t>～3.8</w:t>
      </w:r>
      <w:r>
        <w:rPr>
          <w:rFonts w:hint="eastAsia" w:ascii="宋体" w:hAnsi="宋体" w:cs="宋体"/>
          <w:sz w:val="30"/>
          <w:szCs w:val="30"/>
        </w:rPr>
        <w:t>℃</w:t>
      </w:r>
      <w:r>
        <w:rPr>
          <w:rFonts w:eastAsia="仿宋_GB2312"/>
          <w:sz w:val="30"/>
          <w:szCs w:val="30"/>
        </w:rPr>
        <w:t>；7月最高，平均28</w:t>
      </w:r>
      <w:r>
        <w:rPr>
          <w:rFonts w:hint="eastAsia" w:ascii="宋体" w:hAnsi="宋体" w:cs="宋体"/>
          <w:sz w:val="30"/>
          <w:szCs w:val="30"/>
        </w:rPr>
        <w:t>℃</w:t>
      </w:r>
      <w:r>
        <w:rPr>
          <w:rFonts w:eastAsia="仿宋_GB2312"/>
          <w:sz w:val="30"/>
          <w:szCs w:val="30"/>
        </w:rPr>
        <w:t>～28.3</w:t>
      </w:r>
      <w:r>
        <w:rPr>
          <w:rFonts w:hint="eastAsia" w:ascii="宋体" w:hAnsi="宋体" w:cs="宋体"/>
          <w:sz w:val="30"/>
          <w:szCs w:val="30"/>
        </w:rPr>
        <w:t>℃</w:t>
      </w:r>
      <w:r>
        <w:rPr>
          <w:rFonts w:eastAsia="仿宋_GB2312"/>
          <w:sz w:val="30"/>
          <w:szCs w:val="30"/>
        </w:rPr>
        <w:t>。年平均雨日142～155天，平水量在1050～1850毫米左右，平均湿度为78%左右，年平均风速为3.2米/秒左右，无霜期224～246天。年日照为45%，气候温和宜人。</w:t>
      </w:r>
    </w:p>
    <w:p>
      <w:pPr>
        <w:pStyle w:val="4"/>
        <w:numPr>
          <w:ilvl w:val="0"/>
          <w:numId w:val="6"/>
        </w:numPr>
        <w:spacing w:line="560" w:lineRule="exact"/>
        <w:rPr>
          <w:rFonts w:ascii="Times New Roman" w:eastAsia="仿宋_GB2312"/>
        </w:rPr>
      </w:pPr>
      <w:bookmarkStart w:id="14" w:name="_Toc43324236"/>
      <w:bookmarkStart w:id="15" w:name="_Toc43368848"/>
      <w:bookmarkStart w:id="16" w:name="_Toc43378101"/>
      <w:bookmarkStart w:id="17" w:name="_Toc71899931"/>
      <w:r>
        <w:rPr>
          <w:rFonts w:ascii="Times New Roman" w:eastAsia="仿宋_GB2312"/>
        </w:rPr>
        <w:t>土地利用</w:t>
      </w:r>
      <w:bookmarkEnd w:id="14"/>
      <w:bookmarkEnd w:id="15"/>
      <w:bookmarkEnd w:id="16"/>
      <w:bookmarkEnd w:id="17"/>
    </w:p>
    <w:p>
      <w:pPr>
        <w:spacing w:line="560" w:lineRule="exact"/>
        <w:ind w:firstLine="600" w:firstLineChars="200"/>
        <w:rPr>
          <w:rFonts w:eastAsia="仿宋_GB2312"/>
          <w:sz w:val="30"/>
          <w:szCs w:val="30"/>
        </w:rPr>
      </w:pPr>
      <w:r>
        <w:rPr>
          <w:rFonts w:eastAsia="仿宋_GB2312"/>
          <w:sz w:val="30"/>
          <w:szCs w:val="30"/>
        </w:rPr>
        <w:t>南浔区土地面积70224.51公顷，其中水域及水利设施用地27053.2公顷，占比38.52%；耕地14385.02公顷，占比20.48；园地8352.17公顷，占比11.89%。全区建设用地15201.5公顷，占比21.65%。</w:t>
      </w:r>
    </w:p>
    <w:p>
      <w:pPr>
        <w:pStyle w:val="4"/>
        <w:numPr>
          <w:ilvl w:val="0"/>
          <w:numId w:val="6"/>
        </w:numPr>
        <w:spacing w:line="560" w:lineRule="exact"/>
        <w:rPr>
          <w:rFonts w:ascii="Times New Roman" w:eastAsia="仿宋_GB2312"/>
        </w:rPr>
      </w:pPr>
      <w:bookmarkStart w:id="18" w:name="_Toc43324237"/>
      <w:bookmarkStart w:id="19" w:name="_Toc43368849"/>
      <w:bookmarkStart w:id="20" w:name="_Toc43378102"/>
      <w:bookmarkStart w:id="21" w:name="_Toc71899932"/>
      <w:r>
        <w:rPr>
          <w:rFonts w:ascii="Times New Roman" w:eastAsia="仿宋_GB2312"/>
        </w:rPr>
        <w:t>社会经济</w:t>
      </w:r>
      <w:bookmarkEnd w:id="18"/>
      <w:bookmarkEnd w:id="19"/>
      <w:bookmarkEnd w:id="20"/>
      <w:bookmarkEnd w:id="21"/>
    </w:p>
    <w:p>
      <w:pPr>
        <w:spacing w:line="560" w:lineRule="exact"/>
        <w:ind w:firstLine="600" w:firstLineChars="200"/>
        <w:rPr>
          <w:rFonts w:eastAsia="仿宋_GB2312"/>
          <w:sz w:val="30"/>
          <w:szCs w:val="30"/>
        </w:rPr>
      </w:pPr>
      <w:r>
        <w:rPr>
          <w:rFonts w:eastAsia="仿宋_GB2312"/>
          <w:sz w:val="30"/>
          <w:szCs w:val="30"/>
        </w:rPr>
        <w:t>2020年，南浔区地区生产总值（GDP）为467.8亿元，按户籍人口计算，人均GDP为95676元。三次产业结构比例为</w:t>
      </w:r>
      <w:r>
        <w:rPr>
          <w:rFonts w:hint="eastAsia" w:eastAsia="仿宋_GB2312"/>
          <w:sz w:val="30"/>
          <w:szCs w:val="30"/>
        </w:rPr>
        <w:t>5.7</w:t>
      </w:r>
      <w:r>
        <w:rPr>
          <w:rFonts w:eastAsia="仿宋_GB2312"/>
          <w:sz w:val="30"/>
          <w:szCs w:val="30"/>
        </w:rPr>
        <w:t>：</w:t>
      </w:r>
      <w:r>
        <w:rPr>
          <w:rFonts w:hint="eastAsia" w:eastAsia="仿宋_GB2312"/>
          <w:sz w:val="30"/>
          <w:szCs w:val="30"/>
        </w:rPr>
        <w:t>57.9</w:t>
      </w:r>
      <w:r>
        <w:rPr>
          <w:rFonts w:eastAsia="仿宋_GB2312"/>
          <w:sz w:val="30"/>
          <w:szCs w:val="30"/>
        </w:rPr>
        <w:t>：</w:t>
      </w:r>
      <w:r>
        <w:rPr>
          <w:rFonts w:hint="eastAsia" w:eastAsia="仿宋_GB2312"/>
          <w:sz w:val="30"/>
          <w:szCs w:val="30"/>
        </w:rPr>
        <w:t>36.4</w:t>
      </w:r>
      <w:r>
        <w:rPr>
          <w:rFonts w:eastAsia="仿宋_GB2312"/>
          <w:sz w:val="30"/>
          <w:szCs w:val="30"/>
        </w:rPr>
        <w:t>。全区户籍人口49万人，常住人口62.5万，城市化率60.5%。</w:t>
      </w:r>
    </w:p>
    <w:p>
      <w:pPr>
        <w:pStyle w:val="3"/>
        <w:keepNext/>
        <w:keepLines/>
        <w:numPr>
          <w:ilvl w:val="0"/>
          <w:numId w:val="5"/>
        </w:numPr>
        <w:spacing w:line="560" w:lineRule="exact"/>
        <w:ind w:left="0" w:firstLine="643" w:firstLineChars="200"/>
        <w:rPr>
          <w:rFonts w:eastAsia="楷体"/>
          <w:b/>
        </w:rPr>
      </w:pPr>
      <w:bookmarkStart w:id="22" w:name="_Toc71899933"/>
      <w:r>
        <w:rPr>
          <w:rFonts w:eastAsia="楷体"/>
          <w:b/>
        </w:rPr>
        <w:t>水生态环境状况分析</w:t>
      </w:r>
      <w:bookmarkEnd w:id="22"/>
    </w:p>
    <w:p>
      <w:pPr>
        <w:pStyle w:val="4"/>
        <w:numPr>
          <w:ilvl w:val="0"/>
          <w:numId w:val="7"/>
        </w:numPr>
        <w:spacing w:line="560" w:lineRule="exact"/>
        <w:rPr>
          <w:rFonts w:ascii="Times New Roman" w:eastAsia="仿宋_GB2312"/>
        </w:rPr>
      </w:pPr>
      <w:bookmarkStart w:id="23" w:name="_Toc43324239"/>
      <w:bookmarkStart w:id="24" w:name="_Toc43368851"/>
      <w:bookmarkStart w:id="25" w:name="_Toc43378104"/>
      <w:bookmarkStart w:id="26" w:name="_Toc71899934"/>
      <w:r>
        <w:rPr>
          <w:rFonts w:ascii="Times New Roman" w:eastAsia="仿宋_GB2312"/>
        </w:rPr>
        <w:t>水环境状况</w:t>
      </w:r>
      <w:bookmarkEnd w:id="23"/>
      <w:bookmarkEnd w:id="24"/>
      <w:bookmarkEnd w:id="25"/>
      <w:bookmarkEnd w:id="26"/>
    </w:p>
    <w:p>
      <w:pPr>
        <w:pStyle w:val="77"/>
        <w:numPr>
          <w:ilvl w:val="0"/>
          <w:numId w:val="8"/>
        </w:numPr>
        <w:spacing w:line="560" w:lineRule="exact"/>
        <w:ind w:firstLineChars="0"/>
        <w:rPr>
          <w:b/>
          <w:bCs/>
        </w:rPr>
      </w:pPr>
      <w:r>
        <w:rPr>
          <w:b/>
          <w:bCs/>
        </w:rPr>
        <w:t>水环境质量状况</w:t>
      </w:r>
    </w:p>
    <w:p>
      <w:pPr>
        <w:spacing w:line="560" w:lineRule="exact"/>
        <w:ind w:firstLine="602" w:firstLineChars="200"/>
        <w:jc w:val="left"/>
        <w:rPr>
          <w:rFonts w:eastAsia="楷体"/>
          <w:b/>
          <w:bCs/>
          <w:sz w:val="30"/>
          <w:szCs w:val="30"/>
        </w:rPr>
      </w:pPr>
      <w:r>
        <w:rPr>
          <w:rFonts w:eastAsia="楷体"/>
          <w:b/>
          <w:bCs/>
          <w:sz w:val="30"/>
          <w:szCs w:val="30"/>
        </w:rPr>
        <w:t>总体水质情况方面，</w:t>
      </w:r>
      <w:r>
        <w:rPr>
          <w:rFonts w:eastAsia="仿宋_GB2312"/>
          <w:sz w:val="30"/>
          <w:szCs w:val="30"/>
        </w:rPr>
        <w:t>南浔区共7个县控以上断面，其中国控断面2个，省控断面1个，市控断面2个，县控断面2个。</w:t>
      </w:r>
      <w:r>
        <w:rPr>
          <w:rFonts w:hint="eastAsia" w:eastAsia="仿宋_GB2312"/>
          <w:sz w:val="30"/>
          <w:szCs w:val="30"/>
        </w:rPr>
        <w:t>2015~2020年间</w:t>
      </w:r>
      <w:r>
        <w:rPr>
          <w:rFonts w:eastAsia="仿宋_GB2312"/>
          <w:sz w:val="30"/>
          <w:szCs w:val="30"/>
        </w:rPr>
        <w:t>，南浔区7个县控以上断面</w:t>
      </w:r>
      <w:r>
        <w:rPr>
          <w:rFonts w:hint="eastAsia" w:ascii="宋体" w:hAnsi="宋体" w:cs="宋体"/>
          <w:sz w:val="30"/>
          <w:szCs w:val="30"/>
        </w:rPr>
        <w:t>Ⅱ</w:t>
      </w:r>
      <w:r>
        <w:rPr>
          <w:rFonts w:eastAsia="仿宋_GB2312"/>
          <w:sz w:val="30"/>
          <w:szCs w:val="30"/>
        </w:rPr>
        <w:t>~</w:t>
      </w:r>
      <w:r>
        <w:rPr>
          <w:rFonts w:hint="eastAsia" w:ascii="宋体" w:hAnsi="宋体" w:cs="宋体"/>
          <w:sz w:val="30"/>
          <w:szCs w:val="30"/>
        </w:rPr>
        <w:t>Ⅲ</w:t>
      </w:r>
      <w:r>
        <w:rPr>
          <w:rFonts w:eastAsia="仿宋_GB2312"/>
          <w:sz w:val="30"/>
          <w:szCs w:val="30"/>
        </w:rPr>
        <w:t>类断面比例为100%，满足功能要求断面比例为100%，水质保持稳定</w:t>
      </w:r>
      <w:r>
        <w:rPr>
          <w:rFonts w:hint="eastAsia" w:eastAsia="仿宋_GB2312"/>
          <w:sz w:val="30"/>
          <w:szCs w:val="30"/>
        </w:rPr>
        <w:t>，其中2018年除菱湖断面外，其余6个断面水质均达到Ⅱ类。</w:t>
      </w:r>
    </w:p>
    <w:p>
      <w:pPr>
        <w:ind w:firstLine="420" w:firstLineChars="200"/>
        <w:jc w:val="center"/>
        <w:rPr>
          <w:rFonts w:eastAsia="仿宋_GB2312"/>
          <w:sz w:val="30"/>
          <w:szCs w:val="30"/>
          <w:highlight w:val="yellow"/>
        </w:rPr>
      </w:pPr>
      <w:r>
        <w:drawing>
          <wp:inline distT="0" distB="0" distL="0" distR="0">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jc w:val="center"/>
        <w:rPr>
          <w:rFonts w:eastAsia="黑体"/>
          <w:sz w:val="28"/>
          <w:szCs w:val="28"/>
        </w:rPr>
      </w:pPr>
      <w:r>
        <w:rPr>
          <w:rFonts w:eastAsia="黑体"/>
          <w:sz w:val="28"/>
          <w:szCs w:val="28"/>
        </w:rPr>
        <w:t>图</w:t>
      </w:r>
      <w:r>
        <w:rPr>
          <w:rFonts w:hint="eastAsia" w:eastAsia="黑体"/>
          <w:sz w:val="28"/>
          <w:szCs w:val="28"/>
        </w:rPr>
        <w:t>1-2</w:t>
      </w:r>
      <w:r>
        <w:rPr>
          <w:rFonts w:eastAsia="黑体"/>
          <w:sz w:val="28"/>
          <w:szCs w:val="28"/>
        </w:rPr>
        <w:t xml:space="preserve">  2015～2020年南浔区县控以上断面水质变化情况</w:t>
      </w:r>
    </w:p>
    <w:p>
      <w:pPr>
        <w:jc w:val="center"/>
        <w:rPr>
          <w:rFonts w:eastAsia="黑体"/>
          <w:sz w:val="28"/>
          <w:szCs w:val="28"/>
        </w:rPr>
      </w:pPr>
    </w:p>
    <w:p>
      <w:pPr>
        <w:spacing w:line="360" w:lineRule="exact"/>
        <w:jc w:val="center"/>
        <w:rPr>
          <w:rFonts w:eastAsia="黑体"/>
          <w:sz w:val="28"/>
          <w:szCs w:val="28"/>
        </w:rPr>
      </w:pPr>
      <w:r>
        <w:rPr>
          <w:rFonts w:eastAsia="黑体"/>
          <w:sz w:val="28"/>
          <w:szCs w:val="28"/>
        </w:rPr>
        <w:t>表</w:t>
      </w:r>
      <w:r>
        <w:rPr>
          <w:rFonts w:hint="eastAsia" w:eastAsia="黑体"/>
          <w:sz w:val="28"/>
          <w:szCs w:val="28"/>
        </w:rPr>
        <w:t>1-3</w:t>
      </w:r>
      <w:r>
        <w:rPr>
          <w:rFonts w:eastAsia="黑体"/>
          <w:sz w:val="28"/>
          <w:szCs w:val="28"/>
        </w:rPr>
        <w:t xml:space="preserve">  “水十条”目标责任书考核断面水质类别分布情况</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6"/>
        <w:gridCol w:w="840"/>
        <w:gridCol w:w="733"/>
        <w:gridCol w:w="554"/>
        <w:gridCol w:w="834"/>
        <w:gridCol w:w="413"/>
        <w:gridCol w:w="978"/>
        <w:gridCol w:w="870"/>
        <w:gridCol w:w="381"/>
        <w:gridCol w:w="411"/>
        <w:gridCol w:w="413"/>
        <w:gridCol w:w="414"/>
        <w:gridCol w:w="414"/>
        <w:gridCol w:w="414"/>
        <w:gridCol w:w="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174" w:type="pct"/>
            <w:vMerge w:val="restar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序号</w:t>
            </w:r>
          </w:p>
        </w:tc>
        <w:tc>
          <w:tcPr>
            <w:tcW w:w="513" w:type="pct"/>
            <w:vMerge w:val="restar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国控断面</w:t>
            </w:r>
          </w:p>
          <w:p>
            <w:pPr>
              <w:widowControl/>
              <w:jc w:val="center"/>
              <w:rPr>
                <w:rFonts w:eastAsia="仿宋_GB2312"/>
                <w:b/>
                <w:color w:val="000000"/>
                <w:kern w:val="0"/>
                <w:sz w:val="18"/>
                <w:szCs w:val="18"/>
              </w:rPr>
            </w:pPr>
            <w:r>
              <w:rPr>
                <w:rFonts w:eastAsia="仿宋_GB2312"/>
                <w:b/>
                <w:color w:val="000000"/>
                <w:kern w:val="0"/>
                <w:sz w:val="18"/>
                <w:szCs w:val="18"/>
              </w:rPr>
              <w:t>汇水范围</w:t>
            </w:r>
          </w:p>
        </w:tc>
        <w:tc>
          <w:tcPr>
            <w:tcW w:w="341" w:type="pct"/>
            <w:vMerge w:val="restart"/>
            <w:shd w:val="clear" w:color="auto" w:fill="auto"/>
            <w:noWrap/>
            <w:vAlign w:val="center"/>
          </w:tcPr>
          <w:p>
            <w:pPr>
              <w:widowControl/>
              <w:jc w:val="center"/>
              <w:rPr>
                <w:rFonts w:eastAsia="仿宋_GB2312"/>
                <w:b/>
                <w:color w:val="000000"/>
                <w:kern w:val="0"/>
                <w:sz w:val="18"/>
                <w:szCs w:val="18"/>
              </w:rPr>
            </w:pPr>
            <w:r>
              <w:rPr>
                <w:rFonts w:eastAsia="仿宋_GB2312"/>
                <w:b/>
                <w:color w:val="000000"/>
                <w:kern w:val="0"/>
                <w:sz w:val="18"/>
                <w:szCs w:val="18"/>
              </w:rPr>
              <w:t>断面名称</w:t>
            </w:r>
          </w:p>
        </w:tc>
        <w:tc>
          <w:tcPr>
            <w:tcW w:w="341" w:type="pct"/>
            <w:vMerge w:val="restar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断面</w:t>
            </w:r>
          </w:p>
          <w:p>
            <w:pPr>
              <w:widowControl/>
              <w:jc w:val="center"/>
              <w:rPr>
                <w:rFonts w:eastAsia="仿宋_GB2312"/>
                <w:b/>
                <w:color w:val="000000"/>
                <w:kern w:val="0"/>
                <w:sz w:val="18"/>
                <w:szCs w:val="18"/>
              </w:rPr>
            </w:pPr>
            <w:r>
              <w:rPr>
                <w:rFonts w:eastAsia="仿宋_GB2312"/>
                <w:b/>
                <w:color w:val="000000"/>
                <w:kern w:val="0"/>
                <w:sz w:val="18"/>
                <w:szCs w:val="18"/>
              </w:rPr>
              <w:t>类型</w:t>
            </w:r>
          </w:p>
        </w:tc>
        <w:tc>
          <w:tcPr>
            <w:tcW w:w="509" w:type="pct"/>
            <w:vMerge w:val="restart"/>
            <w:shd w:val="clear" w:color="auto" w:fill="auto"/>
            <w:noWrap/>
            <w:vAlign w:val="center"/>
          </w:tcPr>
          <w:p>
            <w:pPr>
              <w:widowControl/>
              <w:jc w:val="center"/>
              <w:rPr>
                <w:rFonts w:eastAsia="仿宋_GB2312"/>
                <w:b/>
                <w:color w:val="000000"/>
                <w:kern w:val="0"/>
                <w:sz w:val="18"/>
                <w:szCs w:val="18"/>
              </w:rPr>
            </w:pPr>
            <w:r>
              <w:rPr>
                <w:rFonts w:eastAsia="仿宋_GB2312"/>
                <w:b/>
                <w:color w:val="000000"/>
                <w:kern w:val="0"/>
                <w:sz w:val="18"/>
                <w:szCs w:val="18"/>
              </w:rPr>
              <w:t>所在水体</w:t>
            </w:r>
          </w:p>
        </w:tc>
        <w:tc>
          <w:tcPr>
            <w:tcW w:w="256" w:type="pct"/>
            <w:vMerge w:val="restar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断面级别</w:t>
            </w:r>
          </w:p>
        </w:tc>
        <w:tc>
          <w:tcPr>
            <w:tcW w:w="596" w:type="pct"/>
            <w:vMerge w:val="restar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经度</w:t>
            </w:r>
          </w:p>
        </w:tc>
        <w:tc>
          <w:tcPr>
            <w:tcW w:w="531" w:type="pct"/>
            <w:vMerge w:val="restar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纬度</w:t>
            </w:r>
          </w:p>
        </w:tc>
        <w:tc>
          <w:tcPr>
            <w:tcW w:w="237" w:type="pct"/>
            <w:vMerge w:val="restart"/>
            <w:vAlign w:val="center"/>
          </w:tcPr>
          <w:p>
            <w:pPr>
              <w:widowControl/>
              <w:jc w:val="center"/>
              <w:rPr>
                <w:rFonts w:eastAsia="仿宋_GB2312"/>
                <w:b/>
                <w:color w:val="000000"/>
                <w:kern w:val="0"/>
                <w:sz w:val="18"/>
                <w:szCs w:val="18"/>
              </w:rPr>
            </w:pPr>
            <w:r>
              <w:rPr>
                <w:rFonts w:eastAsia="仿宋_GB2312"/>
                <w:b/>
                <w:color w:val="000000"/>
                <w:kern w:val="0"/>
                <w:sz w:val="18"/>
                <w:szCs w:val="18"/>
              </w:rPr>
              <w:t>水质目标</w:t>
            </w:r>
          </w:p>
        </w:tc>
        <w:tc>
          <w:tcPr>
            <w:tcW w:w="1503" w:type="pct"/>
            <w:gridSpan w:val="6"/>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174" w:type="pct"/>
            <w:vMerge w:val="continue"/>
            <w:vAlign w:val="center"/>
          </w:tcPr>
          <w:p>
            <w:pPr>
              <w:widowControl/>
              <w:jc w:val="center"/>
              <w:rPr>
                <w:rFonts w:eastAsia="仿宋_GB2312"/>
                <w:b/>
                <w:color w:val="000000"/>
                <w:kern w:val="0"/>
                <w:sz w:val="18"/>
                <w:szCs w:val="18"/>
              </w:rPr>
            </w:pPr>
          </w:p>
        </w:tc>
        <w:tc>
          <w:tcPr>
            <w:tcW w:w="513" w:type="pct"/>
            <w:vMerge w:val="continue"/>
            <w:vAlign w:val="center"/>
          </w:tcPr>
          <w:p>
            <w:pPr>
              <w:widowControl/>
              <w:jc w:val="center"/>
              <w:rPr>
                <w:rFonts w:eastAsia="仿宋_GB2312"/>
                <w:b/>
                <w:color w:val="000000"/>
                <w:kern w:val="0"/>
                <w:sz w:val="18"/>
                <w:szCs w:val="18"/>
              </w:rPr>
            </w:pPr>
          </w:p>
        </w:tc>
        <w:tc>
          <w:tcPr>
            <w:tcW w:w="341" w:type="pct"/>
            <w:vMerge w:val="continue"/>
            <w:vAlign w:val="center"/>
          </w:tcPr>
          <w:p>
            <w:pPr>
              <w:widowControl/>
              <w:jc w:val="center"/>
              <w:rPr>
                <w:rFonts w:eastAsia="仿宋_GB2312"/>
                <w:b/>
                <w:color w:val="000000"/>
                <w:kern w:val="0"/>
                <w:sz w:val="18"/>
                <w:szCs w:val="18"/>
              </w:rPr>
            </w:pPr>
          </w:p>
        </w:tc>
        <w:tc>
          <w:tcPr>
            <w:tcW w:w="341" w:type="pct"/>
            <w:vMerge w:val="continue"/>
            <w:vAlign w:val="center"/>
          </w:tcPr>
          <w:p>
            <w:pPr>
              <w:widowControl/>
              <w:jc w:val="center"/>
              <w:rPr>
                <w:rFonts w:eastAsia="仿宋_GB2312"/>
                <w:b/>
                <w:color w:val="000000"/>
                <w:kern w:val="0"/>
                <w:sz w:val="18"/>
                <w:szCs w:val="18"/>
              </w:rPr>
            </w:pPr>
          </w:p>
        </w:tc>
        <w:tc>
          <w:tcPr>
            <w:tcW w:w="509" w:type="pct"/>
            <w:vMerge w:val="continue"/>
            <w:vAlign w:val="center"/>
          </w:tcPr>
          <w:p>
            <w:pPr>
              <w:widowControl/>
              <w:jc w:val="center"/>
              <w:rPr>
                <w:rFonts w:eastAsia="仿宋_GB2312"/>
                <w:b/>
                <w:color w:val="000000"/>
                <w:kern w:val="0"/>
                <w:sz w:val="18"/>
                <w:szCs w:val="18"/>
              </w:rPr>
            </w:pPr>
          </w:p>
        </w:tc>
        <w:tc>
          <w:tcPr>
            <w:tcW w:w="256" w:type="pct"/>
            <w:vMerge w:val="continue"/>
            <w:vAlign w:val="center"/>
          </w:tcPr>
          <w:p>
            <w:pPr>
              <w:widowControl/>
              <w:jc w:val="center"/>
              <w:rPr>
                <w:rFonts w:eastAsia="仿宋_GB2312"/>
                <w:b/>
                <w:color w:val="000000"/>
                <w:kern w:val="0"/>
                <w:sz w:val="18"/>
                <w:szCs w:val="18"/>
              </w:rPr>
            </w:pPr>
          </w:p>
        </w:tc>
        <w:tc>
          <w:tcPr>
            <w:tcW w:w="596" w:type="pct"/>
            <w:vMerge w:val="continue"/>
            <w:vAlign w:val="center"/>
          </w:tcPr>
          <w:p>
            <w:pPr>
              <w:widowControl/>
              <w:jc w:val="center"/>
              <w:rPr>
                <w:rFonts w:eastAsia="仿宋_GB2312"/>
                <w:b/>
                <w:color w:val="000000"/>
                <w:kern w:val="0"/>
                <w:sz w:val="18"/>
                <w:szCs w:val="18"/>
              </w:rPr>
            </w:pPr>
          </w:p>
        </w:tc>
        <w:tc>
          <w:tcPr>
            <w:tcW w:w="531" w:type="pct"/>
            <w:vMerge w:val="continue"/>
            <w:vAlign w:val="center"/>
          </w:tcPr>
          <w:p>
            <w:pPr>
              <w:widowControl/>
              <w:jc w:val="center"/>
              <w:rPr>
                <w:rFonts w:eastAsia="仿宋_GB2312"/>
                <w:b/>
                <w:color w:val="000000"/>
                <w:kern w:val="0"/>
                <w:sz w:val="18"/>
                <w:szCs w:val="18"/>
              </w:rPr>
            </w:pPr>
          </w:p>
        </w:tc>
        <w:tc>
          <w:tcPr>
            <w:tcW w:w="237" w:type="pct"/>
            <w:vMerge w:val="continue"/>
            <w:vAlign w:val="center"/>
          </w:tcPr>
          <w:p>
            <w:pPr>
              <w:widowControl/>
              <w:jc w:val="center"/>
              <w:rPr>
                <w:rFonts w:eastAsia="仿宋_GB2312"/>
                <w:b/>
                <w:color w:val="000000"/>
                <w:kern w:val="0"/>
                <w:sz w:val="18"/>
                <w:szCs w:val="18"/>
              </w:rPr>
            </w:pPr>
          </w:p>
        </w:tc>
        <w:tc>
          <w:tcPr>
            <w:tcW w:w="255" w:type="pc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2015年</w:t>
            </w:r>
          </w:p>
        </w:tc>
        <w:tc>
          <w:tcPr>
            <w:tcW w:w="256" w:type="pc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2016年</w:t>
            </w:r>
          </w:p>
        </w:tc>
        <w:tc>
          <w:tcPr>
            <w:tcW w:w="256" w:type="pc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2017年</w:t>
            </w:r>
          </w:p>
        </w:tc>
        <w:tc>
          <w:tcPr>
            <w:tcW w:w="256" w:type="pc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2018年</w:t>
            </w:r>
          </w:p>
        </w:tc>
        <w:tc>
          <w:tcPr>
            <w:tcW w:w="256" w:type="pc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2019年</w:t>
            </w:r>
          </w:p>
        </w:tc>
        <w:tc>
          <w:tcPr>
            <w:tcW w:w="223" w:type="pct"/>
            <w:shd w:val="clear" w:color="auto" w:fill="auto"/>
            <w:vAlign w:val="center"/>
          </w:tcPr>
          <w:p>
            <w:pPr>
              <w:widowControl/>
              <w:jc w:val="center"/>
              <w:rPr>
                <w:rFonts w:eastAsia="仿宋_GB2312"/>
                <w:b/>
                <w:color w:val="000000"/>
                <w:kern w:val="0"/>
                <w:sz w:val="18"/>
                <w:szCs w:val="18"/>
              </w:rPr>
            </w:pPr>
            <w:r>
              <w:rPr>
                <w:rFonts w:eastAsia="仿宋_GB2312"/>
                <w:b/>
                <w:color w:val="000000"/>
                <w:kern w:val="0"/>
                <w:sz w:val="18"/>
                <w:szCs w:val="18"/>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1</w:t>
            </w:r>
          </w:p>
        </w:tc>
        <w:tc>
          <w:tcPr>
            <w:tcW w:w="513"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南浔</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南浔</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河流</w:t>
            </w:r>
          </w:p>
        </w:tc>
        <w:tc>
          <w:tcPr>
            <w:tcW w:w="509"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頔塘</w:t>
            </w:r>
          </w:p>
        </w:tc>
        <w:tc>
          <w:tcPr>
            <w:tcW w:w="25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国控</w:t>
            </w:r>
          </w:p>
        </w:tc>
        <w:tc>
          <w:tcPr>
            <w:tcW w:w="59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120.4369431</w:t>
            </w:r>
          </w:p>
        </w:tc>
        <w:tc>
          <w:tcPr>
            <w:tcW w:w="53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30.8869438</w:t>
            </w:r>
          </w:p>
        </w:tc>
        <w:tc>
          <w:tcPr>
            <w:tcW w:w="237" w:type="pct"/>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5"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Ⅱ</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23"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2</w:t>
            </w:r>
          </w:p>
        </w:tc>
        <w:tc>
          <w:tcPr>
            <w:tcW w:w="513"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南浔</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双林</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河流</w:t>
            </w:r>
          </w:p>
        </w:tc>
        <w:tc>
          <w:tcPr>
            <w:tcW w:w="509"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双林塘</w:t>
            </w:r>
          </w:p>
        </w:tc>
        <w:tc>
          <w:tcPr>
            <w:tcW w:w="25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国控</w:t>
            </w:r>
          </w:p>
        </w:tc>
        <w:tc>
          <w:tcPr>
            <w:tcW w:w="59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120.320892</w:t>
            </w:r>
          </w:p>
        </w:tc>
        <w:tc>
          <w:tcPr>
            <w:tcW w:w="53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30.782548</w:t>
            </w:r>
          </w:p>
        </w:tc>
        <w:tc>
          <w:tcPr>
            <w:tcW w:w="237" w:type="pct"/>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5"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Ⅱ</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23"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3</w:t>
            </w:r>
          </w:p>
        </w:tc>
        <w:tc>
          <w:tcPr>
            <w:tcW w:w="513"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南浔</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古溇港</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河流</w:t>
            </w:r>
          </w:p>
        </w:tc>
        <w:tc>
          <w:tcPr>
            <w:tcW w:w="509"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古溇港</w:t>
            </w:r>
          </w:p>
        </w:tc>
        <w:tc>
          <w:tcPr>
            <w:tcW w:w="25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省控</w:t>
            </w:r>
          </w:p>
        </w:tc>
        <w:tc>
          <w:tcPr>
            <w:tcW w:w="59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120.4199524</w:t>
            </w:r>
          </w:p>
        </w:tc>
        <w:tc>
          <w:tcPr>
            <w:tcW w:w="53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30.9026432</w:t>
            </w:r>
          </w:p>
        </w:tc>
        <w:tc>
          <w:tcPr>
            <w:tcW w:w="237" w:type="pct"/>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5"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Ⅱ</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23"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4</w:t>
            </w:r>
          </w:p>
        </w:tc>
        <w:tc>
          <w:tcPr>
            <w:tcW w:w="513"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大钱</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和孚漾</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河流</w:t>
            </w:r>
          </w:p>
        </w:tc>
        <w:tc>
          <w:tcPr>
            <w:tcW w:w="509"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和孚漾</w:t>
            </w:r>
          </w:p>
        </w:tc>
        <w:tc>
          <w:tcPr>
            <w:tcW w:w="25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市控</w:t>
            </w:r>
          </w:p>
        </w:tc>
        <w:tc>
          <w:tcPr>
            <w:tcW w:w="59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120.1551361</w:t>
            </w:r>
          </w:p>
        </w:tc>
        <w:tc>
          <w:tcPr>
            <w:tcW w:w="53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30.7767506</w:t>
            </w:r>
          </w:p>
        </w:tc>
        <w:tc>
          <w:tcPr>
            <w:tcW w:w="237" w:type="pct"/>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5"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Ⅱ</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Ⅱ</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23"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5</w:t>
            </w:r>
          </w:p>
        </w:tc>
        <w:tc>
          <w:tcPr>
            <w:tcW w:w="513"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乌镇北</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乌镇</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河流</w:t>
            </w:r>
          </w:p>
        </w:tc>
        <w:tc>
          <w:tcPr>
            <w:tcW w:w="509"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京杭运河</w:t>
            </w:r>
          </w:p>
        </w:tc>
        <w:tc>
          <w:tcPr>
            <w:tcW w:w="25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市控</w:t>
            </w:r>
          </w:p>
        </w:tc>
        <w:tc>
          <w:tcPr>
            <w:tcW w:w="59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120.4536819</w:t>
            </w:r>
          </w:p>
        </w:tc>
        <w:tc>
          <w:tcPr>
            <w:tcW w:w="53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30.7549248</w:t>
            </w:r>
          </w:p>
        </w:tc>
        <w:tc>
          <w:tcPr>
            <w:tcW w:w="237" w:type="pct"/>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5"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Ⅱ</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23"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6</w:t>
            </w:r>
          </w:p>
        </w:tc>
        <w:tc>
          <w:tcPr>
            <w:tcW w:w="513"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大钱</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菱湖</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河流</w:t>
            </w:r>
          </w:p>
        </w:tc>
        <w:tc>
          <w:tcPr>
            <w:tcW w:w="509"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千金塘</w:t>
            </w:r>
          </w:p>
        </w:tc>
        <w:tc>
          <w:tcPr>
            <w:tcW w:w="25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县控</w:t>
            </w:r>
          </w:p>
        </w:tc>
        <w:tc>
          <w:tcPr>
            <w:tcW w:w="59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120.1585846</w:t>
            </w:r>
          </w:p>
        </w:tc>
        <w:tc>
          <w:tcPr>
            <w:tcW w:w="53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30.7298679</w:t>
            </w:r>
          </w:p>
        </w:tc>
        <w:tc>
          <w:tcPr>
            <w:tcW w:w="237" w:type="pct"/>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5"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23"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4"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7</w:t>
            </w:r>
          </w:p>
        </w:tc>
        <w:tc>
          <w:tcPr>
            <w:tcW w:w="513"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乌镇北</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燕子桥</w:t>
            </w:r>
          </w:p>
        </w:tc>
        <w:tc>
          <w:tcPr>
            <w:tcW w:w="34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河流</w:t>
            </w:r>
          </w:p>
        </w:tc>
        <w:tc>
          <w:tcPr>
            <w:tcW w:w="509"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八字桥塘</w:t>
            </w:r>
          </w:p>
        </w:tc>
        <w:tc>
          <w:tcPr>
            <w:tcW w:w="25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县控</w:t>
            </w:r>
          </w:p>
        </w:tc>
        <w:tc>
          <w:tcPr>
            <w:tcW w:w="596"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120.3238831</w:t>
            </w:r>
          </w:p>
        </w:tc>
        <w:tc>
          <w:tcPr>
            <w:tcW w:w="531"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30.7210484</w:t>
            </w:r>
          </w:p>
        </w:tc>
        <w:tc>
          <w:tcPr>
            <w:tcW w:w="237" w:type="pct"/>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5"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Ⅱ</w:t>
            </w:r>
          </w:p>
        </w:tc>
        <w:tc>
          <w:tcPr>
            <w:tcW w:w="256"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c>
          <w:tcPr>
            <w:tcW w:w="223" w:type="pct"/>
            <w:shd w:val="clear" w:color="auto" w:fill="auto"/>
            <w:vAlign w:val="center"/>
          </w:tcPr>
          <w:p>
            <w:pPr>
              <w:widowControl/>
              <w:jc w:val="center"/>
              <w:rPr>
                <w:rFonts w:eastAsia="仿宋_GB2312"/>
                <w:color w:val="000000"/>
                <w:kern w:val="0"/>
                <w:sz w:val="18"/>
                <w:szCs w:val="18"/>
              </w:rPr>
            </w:pPr>
            <w:r>
              <w:rPr>
                <w:rFonts w:hint="eastAsia" w:eastAsia="仿宋_GB2312"/>
                <w:color w:val="000000"/>
                <w:kern w:val="0"/>
                <w:sz w:val="18"/>
                <w:szCs w:val="18"/>
              </w:rPr>
              <w:t>Ⅲ</w:t>
            </w:r>
          </w:p>
        </w:tc>
      </w:tr>
    </w:tbl>
    <w:p>
      <w:pPr>
        <w:spacing w:line="312" w:lineRule="auto"/>
        <w:ind w:firstLine="480" w:firstLineChars="200"/>
        <w:jc w:val="center"/>
        <w:rPr>
          <w:rFonts w:eastAsia="黑体"/>
          <w:sz w:val="24"/>
          <w:szCs w:val="24"/>
          <w:highlight w:val="yellow"/>
        </w:rPr>
      </w:pPr>
    </w:p>
    <w:p>
      <w:pPr>
        <w:widowControl/>
        <w:spacing w:line="560" w:lineRule="exact"/>
        <w:ind w:firstLine="602" w:firstLineChars="200"/>
        <w:rPr>
          <w:rFonts w:eastAsia="仿宋_GB2312"/>
          <w:sz w:val="30"/>
          <w:szCs w:val="30"/>
        </w:rPr>
      </w:pPr>
      <w:r>
        <w:rPr>
          <w:rFonts w:eastAsia="楷体"/>
          <w:b/>
          <w:bCs/>
          <w:sz w:val="30"/>
          <w:szCs w:val="30"/>
        </w:rPr>
        <w:t>逐月断面水质情况方面，</w:t>
      </w:r>
      <w:r>
        <w:rPr>
          <w:rFonts w:eastAsia="仿宋_GB2312"/>
          <w:sz w:val="30"/>
          <w:szCs w:val="30"/>
        </w:rPr>
        <w:t>部分断面不能逐月稳定达标。</w:t>
      </w:r>
      <w:r>
        <w:rPr>
          <w:rFonts w:hint="eastAsia" w:eastAsia="仿宋_GB2312"/>
          <w:sz w:val="30"/>
          <w:szCs w:val="30"/>
        </w:rPr>
        <w:t>2017-2020年间，南浔断面水质超</w:t>
      </w:r>
      <w:r>
        <w:rPr>
          <w:rFonts w:hint="eastAsia" w:ascii="宋体" w:hAnsi="宋体" w:cs="宋体"/>
          <w:sz w:val="30"/>
          <w:szCs w:val="30"/>
        </w:rPr>
        <w:t>Ⅲ</w:t>
      </w:r>
      <w:r>
        <w:rPr>
          <w:rFonts w:eastAsia="仿宋_GB2312"/>
          <w:sz w:val="30"/>
          <w:szCs w:val="30"/>
        </w:rPr>
        <w:t>类频次</w:t>
      </w:r>
      <w:r>
        <w:rPr>
          <w:rFonts w:hint="eastAsia" w:eastAsia="仿宋_GB2312"/>
          <w:sz w:val="30"/>
          <w:szCs w:val="30"/>
        </w:rPr>
        <w:t>为10次，主要超标指标为溶解氧、总磷和高锰酸盐指数；双林断面超标2次，主要超标指标为溶解氧；</w:t>
      </w:r>
      <w:r>
        <w:rPr>
          <w:rFonts w:eastAsia="仿宋_GB2312"/>
          <w:sz w:val="30"/>
          <w:szCs w:val="30"/>
        </w:rPr>
        <w:t>乌镇断面</w:t>
      </w:r>
      <w:r>
        <w:rPr>
          <w:rFonts w:hint="eastAsia" w:eastAsia="仿宋_GB2312"/>
          <w:sz w:val="30"/>
          <w:szCs w:val="30"/>
        </w:rPr>
        <w:t>超标3次，</w:t>
      </w:r>
      <w:r>
        <w:rPr>
          <w:rFonts w:eastAsia="仿宋_GB2312"/>
          <w:sz w:val="30"/>
          <w:szCs w:val="30"/>
        </w:rPr>
        <w:t>高锰酸盐指数、氨氮、总磷不能稳定达标；古</w:t>
      </w:r>
      <w:r>
        <w:rPr>
          <w:sz w:val="30"/>
          <w:szCs w:val="30"/>
        </w:rPr>
        <w:t>溇</w:t>
      </w:r>
      <w:r>
        <w:rPr>
          <w:rFonts w:eastAsia="仿宋_GB2312"/>
          <w:sz w:val="30"/>
          <w:szCs w:val="30"/>
        </w:rPr>
        <w:t>港、和孚漾、乌镇断面分别超标3次、1次和3次</w:t>
      </w:r>
      <w:r>
        <w:rPr>
          <w:rFonts w:hint="eastAsia" w:eastAsia="仿宋_GB2312"/>
          <w:sz w:val="30"/>
          <w:szCs w:val="30"/>
        </w:rPr>
        <w:t>；</w:t>
      </w:r>
      <w:r>
        <w:rPr>
          <w:rFonts w:eastAsia="仿宋_GB2312"/>
          <w:sz w:val="30"/>
          <w:szCs w:val="30"/>
        </w:rPr>
        <w:t>菱湖断面近两年内共超标7次，为逐月超标频次较多的县控以上断面</w:t>
      </w:r>
      <w:r>
        <w:rPr>
          <w:rFonts w:hint="eastAsia" w:eastAsia="仿宋_GB2312"/>
          <w:sz w:val="30"/>
          <w:szCs w:val="30"/>
        </w:rPr>
        <w:t>，</w:t>
      </w:r>
      <w:r>
        <w:rPr>
          <w:rFonts w:eastAsia="仿宋_GB2312"/>
          <w:sz w:val="30"/>
          <w:szCs w:val="30"/>
        </w:rPr>
        <w:t>主要超标指标为高锰酸盐指数、总磷。</w:t>
      </w:r>
    </w:p>
    <w:p>
      <w:pPr>
        <w:spacing w:line="560" w:lineRule="exact"/>
        <w:ind w:firstLine="602" w:firstLineChars="200"/>
        <w:rPr>
          <w:rFonts w:eastAsia="仿宋_GB2312"/>
          <w:sz w:val="30"/>
          <w:szCs w:val="30"/>
        </w:rPr>
      </w:pPr>
      <w:r>
        <w:rPr>
          <w:rFonts w:eastAsia="楷体"/>
          <w:b/>
          <w:sz w:val="30"/>
          <w:szCs w:val="30"/>
        </w:rPr>
        <w:t>突出污染指标方面</w:t>
      </w:r>
      <w:r>
        <w:rPr>
          <w:rFonts w:eastAsia="仿宋_GB2312"/>
          <w:sz w:val="30"/>
          <w:szCs w:val="30"/>
        </w:rPr>
        <w:t>，从年均浓度分析，全区市控以上断面除和孚漾外，总氮浓度未呈现下降趋势。2016~2020年，古</w:t>
      </w:r>
      <w:r>
        <w:rPr>
          <w:sz w:val="30"/>
          <w:szCs w:val="30"/>
        </w:rPr>
        <w:t>溇</w:t>
      </w:r>
      <w:r>
        <w:rPr>
          <w:rFonts w:eastAsia="仿宋_GB2312"/>
          <w:sz w:val="30"/>
          <w:szCs w:val="30"/>
        </w:rPr>
        <w:t>港断面总氮浓度维持在1.4~1.6毫克/升，达到或接近</w:t>
      </w:r>
      <w:r>
        <w:rPr>
          <w:rFonts w:hint="eastAsia" w:ascii="宋体" w:hAnsi="宋体" w:cs="宋体"/>
          <w:sz w:val="30"/>
          <w:szCs w:val="30"/>
        </w:rPr>
        <w:t>Ⅳ</w:t>
      </w:r>
      <w:r>
        <w:rPr>
          <w:rFonts w:eastAsia="仿宋_GB2312"/>
          <w:sz w:val="30"/>
          <w:szCs w:val="30"/>
        </w:rPr>
        <w:t>类水平；2020年和孚漾断面总氮浓度为1.74毫克/升，达到</w:t>
      </w:r>
      <w:r>
        <w:rPr>
          <w:rFonts w:hint="eastAsia" w:ascii="宋体" w:hAnsi="宋体" w:cs="宋体"/>
          <w:sz w:val="30"/>
          <w:szCs w:val="30"/>
        </w:rPr>
        <w:t>Ⅴ</w:t>
      </w:r>
      <w:r>
        <w:rPr>
          <w:rFonts w:eastAsia="仿宋_GB2312"/>
          <w:sz w:val="30"/>
          <w:szCs w:val="30"/>
        </w:rPr>
        <w:t>类水平；而其余断面均为劣</w:t>
      </w:r>
      <w:r>
        <w:rPr>
          <w:rFonts w:hint="eastAsia" w:ascii="宋体" w:hAnsi="宋体" w:cs="宋体"/>
          <w:sz w:val="30"/>
          <w:szCs w:val="30"/>
        </w:rPr>
        <w:t>Ⅴ</w:t>
      </w:r>
      <w:r>
        <w:rPr>
          <w:rFonts w:eastAsia="仿宋_GB2312"/>
          <w:sz w:val="30"/>
          <w:szCs w:val="30"/>
        </w:rPr>
        <w:t>类水平。从月均浓度看，</w:t>
      </w:r>
      <w:r>
        <w:rPr>
          <w:rFonts w:hint="eastAsia" w:eastAsia="仿宋_GB2312"/>
          <w:sz w:val="30"/>
          <w:szCs w:val="30"/>
        </w:rPr>
        <w:t>南浔和双林两个国控断面总氮月变化总体呈先上升后下降再上升的趋势，总氮峰值出现在3、4月。近年来</w:t>
      </w:r>
      <w:r>
        <w:rPr>
          <w:rFonts w:eastAsia="仿宋_GB2312"/>
          <w:sz w:val="30"/>
          <w:szCs w:val="30"/>
        </w:rPr>
        <w:t>，各断面总氮月均浓度出现劣</w:t>
      </w:r>
      <w:r>
        <w:rPr>
          <w:rFonts w:hint="eastAsia" w:ascii="宋体" w:hAnsi="宋体" w:cs="宋体"/>
          <w:sz w:val="30"/>
          <w:szCs w:val="30"/>
        </w:rPr>
        <w:t>Ⅴ</w:t>
      </w:r>
      <w:r>
        <w:rPr>
          <w:rFonts w:eastAsia="仿宋_GB2312"/>
          <w:sz w:val="30"/>
          <w:szCs w:val="30"/>
        </w:rPr>
        <w:t>类的频次减少，其中双林断面2020年两个月总氮浓度达到</w:t>
      </w:r>
      <w:r>
        <w:rPr>
          <w:rFonts w:hint="eastAsia" w:ascii="宋体" w:hAnsi="宋体" w:cs="宋体"/>
          <w:sz w:val="30"/>
          <w:szCs w:val="30"/>
        </w:rPr>
        <w:t>Ⅲ</w:t>
      </w:r>
      <w:r>
        <w:rPr>
          <w:rFonts w:eastAsia="仿宋_GB2312"/>
          <w:sz w:val="30"/>
          <w:szCs w:val="30"/>
        </w:rPr>
        <w:t>类水平。</w:t>
      </w:r>
    </w:p>
    <w:p>
      <w:pPr>
        <w:spacing w:line="560" w:lineRule="exact"/>
        <w:ind w:firstLine="600" w:firstLineChars="200"/>
        <w:rPr>
          <w:rFonts w:eastAsia="仿宋_GB2312"/>
          <w:sz w:val="30"/>
          <w:szCs w:val="30"/>
        </w:rPr>
      </w:pPr>
      <w:r>
        <w:rPr>
          <w:rFonts w:eastAsia="仿宋_GB2312"/>
          <w:sz w:val="30"/>
          <w:szCs w:val="30"/>
        </w:rPr>
        <w:t>各市控以上断面总磷浓度常年维持在</w:t>
      </w:r>
      <w:r>
        <w:rPr>
          <w:rFonts w:hint="eastAsia" w:ascii="宋体" w:hAnsi="宋体" w:cs="宋体"/>
          <w:sz w:val="30"/>
          <w:szCs w:val="30"/>
        </w:rPr>
        <w:t>Ⅲ</w:t>
      </w:r>
      <w:r>
        <w:rPr>
          <w:rFonts w:eastAsia="仿宋_GB2312"/>
          <w:sz w:val="30"/>
          <w:szCs w:val="30"/>
        </w:rPr>
        <w:t>类水平，</w:t>
      </w:r>
      <w:r>
        <w:rPr>
          <w:rFonts w:hint="eastAsia" w:eastAsia="仿宋_GB2312"/>
          <w:sz w:val="30"/>
          <w:szCs w:val="30"/>
        </w:rPr>
        <w:t>其中</w:t>
      </w:r>
      <w:r>
        <w:rPr>
          <w:rFonts w:eastAsia="仿宋_GB2312"/>
          <w:sz w:val="30"/>
          <w:szCs w:val="30"/>
        </w:rPr>
        <w:t>2018年均达到</w:t>
      </w:r>
      <w:r>
        <w:rPr>
          <w:rFonts w:hint="eastAsia" w:ascii="宋体" w:hAnsi="宋体" w:cs="宋体"/>
          <w:sz w:val="30"/>
          <w:szCs w:val="30"/>
        </w:rPr>
        <w:t>Ⅱ</w:t>
      </w:r>
      <w:r>
        <w:rPr>
          <w:rFonts w:eastAsia="仿宋_GB2312"/>
          <w:sz w:val="30"/>
          <w:szCs w:val="30"/>
        </w:rPr>
        <w:t>类水平</w:t>
      </w:r>
      <w:r>
        <w:rPr>
          <w:rFonts w:hint="eastAsia" w:eastAsia="仿宋_GB2312"/>
          <w:sz w:val="30"/>
          <w:szCs w:val="30"/>
        </w:rPr>
        <w:t>，主要原因是2018年全区降雨量较大，在一定程度上提升了水质清洁度。从月均浓度看，断面总磷月变化总体呈平稳趋势，其中</w:t>
      </w:r>
      <w:r>
        <w:rPr>
          <w:rFonts w:eastAsia="仿宋_GB2312"/>
          <w:sz w:val="30"/>
          <w:szCs w:val="30"/>
        </w:rPr>
        <w:t>南浔断面2017年出现1次总磷超标，超标倍数为0.24；2020年乌镇断面出现2次总磷超标现象，超标倍数分别为0.5和0.1。而县控菱湖断面2019和2020年出现4次总磷超标现象，超标倍数分别为0.45、0.1、0.4和0.2。</w:t>
      </w:r>
    </w:p>
    <w:p>
      <w:pPr>
        <w:spacing w:line="560" w:lineRule="exact"/>
        <w:ind w:firstLine="600" w:firstLineChars="200"/>
        <w:rPr>
          <w:rFonts w:eastAsia="仿宋_GB2312"/>
          <w:sz w:val="30"/>
          <w:szCs w:val="30"/>
        </w:rPr>
      </w:pPr>
      <w:r>
        <w:rPr>
          <w:rFonts w:hint="eastAsia" w:eastAsia="仿宋_GB2312"/>
          <w:sz w:val="30"/>
          <w:szCs w:val="30"/>
        </w:rPr>
        <w:t>结合南浔实际，水体中总氮、总磷污染的来源主要包括生活污水、种植业和水产养殖等。农田以及植物种植区大量施用化肥、农药和除草剂，降雨后氮、磷、钾等营养物质流失，造成水体富营养化、土壤残留农药超标从而影响水环境；同时南浔区还是淡水鱼和龟鳖等的主要养殖区域，饵料的大量投放造成养殖塘的氮磷超标，从而导致河网水系的水质进一步恶化，加剧了水体富营养化；全区生活污水的截污纳管问题，特别是城中村、老旧城区和城乡结合部污水截流纳管是生活污水污染的重中之重。</w:t>
      </w:r>
    </w:p>
    <w:p>
      <w:pPr>
        <w:jc w:val="center"/>
        <w:rPr>
          <w:rFonts w:eastAsia="仿宋_GB2312"/>
          <w:sz w:val="28"/>
          <w:highlight w:val="yellow"/>
        </w:rPr>
      </w:pPr>
      <w:r>
        <w:drawing>
          <wp:inline distT="0" distB="0" distL="0" distR="0">
            <wp:extent cx="4572000" cy="2371725"/>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jc w:val="center"/>
        <w:rPr>
          <w:rFonts w:eastAsia="仿宋_GB2312"/>
          <w:sz w:val="28"/>
          <w:highlight w:val="yellow"/>
        </w:rPr>
      </w:pPr>
      <w:r>
        <w:rPr>
          <w:rFonts w:eastAsia="黑体"/>
          <w:sz w:val="28"/>
          <w:szCs w:val="28"/>
        </w:rPr>
        <w:t>图</w:t>
      </w:r>
      <w:r>
        <w:rPr>
          <w:rFonts w:hint="eastAsia" w:eastAsia="黑体"/>
          <w:sz w:val="28"/>
          <w:szCs w:val="28"/>
        </w:rPr>
        <w:t>1-3</w:t>
      </w:r>
      <w:r>
        <w:rPr>
          <w:rFonts w:eastAsia="黑体"/>
          <w:sz w:val="28"/>
          <w:szCs w:val="28"/>
        </w:rPr>
        <w:t xml:space="preserve">  南浔区</w:t>
      </w:r>
      <w:r>
        <w:rPr>
          <w:rFonts w:hint="eastAsia" w:eastAsia="黑体"/>
          <w:sz w:val="28"/>
          <w:szCs w:val="28"/>
        </w:rPr>
        <w:t>市控以上</w:t>
      </w:r>
      <w:r>
        <w:rPr>
          <w:rFonts w:eastAsia="黑体"/>
          <w:sz w:val="28"/>
          <w:szCs w:val="28"/>
        </w:rPr>
        <w:t>断面总氮</w:t>
      </w:r>
      <w:r>
        <w:rPr>
          <w:rFonts w:hint="eastAsia" w:eastAsia="黑体"/>
          <w:sz w:val="28"/>
          <w:szCs w:val="28"/>
        </w:rPr>
        <w:t>年均</w:t>
      </w:r>
      <w:r>
        <w:rPr>
          <w:rFonts w:eastAsia="黑体"/>
          <w:sz w:val="28"/>
          <w:szCs w:val="28"/>
        </w:rPr>
        <w:t>浓度变化情况</w:t>
      </w:r>
    </w:p>
    <w:p>
      <w:pPr>
        <w:jc w:val="center"/>
        <w:rPr>
          <w:rFonts w:eastAsia="仿宋_GB2312"/>
          <w:sz w:val="28"/>
        </w:rPr>
      </w:pPr>
      <w:r>
        <w:drawing>
          <wp:inline distT="0" distB="0" distL="0" distR="0">
            <wp:extent cx="4572000" cy="232410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jc w:val="center"/>
        <w:rPr>
          <w:rFonts w:eastAsia="黑体"/>
          <w:sz w:val="28"/>
          <w:szCs w:val="28"/>
        </w:rPr>
      </w:pPr>
      <w:r>
        <w:rPr>
          <w:rFonts w:eastAsia="黑体"/>
          <w:sz w:val="28"/>
          <w:szCs w:val="28"/>
        </w:rPr>
        <w:t>图</w:t>
      </w:r>
      <w:r>
        <w:rPr>
          <w:rFonts w:hint="eastAsia" w:eastAsia="黑体"/>
          <w:sz w:val="28"/>
          <w:szCs w:val="28"/>
        </w:rPr>
        <w:t>1-4</w:t>
      </w:r>
      <w:r>
        <w:rPr>
          <w:rFonts w:eastAsia="黑体"/>
          <w:sz w:val="28"/>
          <w:szCs w:val="28"/>
        </w:rPr>
        <w:t xml:space="preserve">  </w:t>
      </w:r>
      <w:r>
        <w:rPr>
          <w:rFonts w:hint="eastAsia" w:eastAsia="黑体"/>
          <w:sz w:val="28"/>
          <w:szCs w:val="28"/>
        </w:rPr>
        <w:t>南浔</w:t>
      </w:r>
      <w:r>
        <w:rPr>
          <w:rFonts w:eastAsia="黑体"/>
          <w:sz w:val="28"/>
          <w:szCs w:val="28"/>
        </w:rPr>
        <w:t>断面</w:t>
      </w:r>
      <w:r>
        <w:rPr>
          <w:rFonts w:hint="eastAsia" w:eastAsia="黑体"/>
          <w:sz w:val="28"/>
          <w:szCs w:val="28"/>
        </w:rPr>
        <w:t>2015-2020年</w:t>
      </w:r>
      <w:r>
        <w:rPr>
          <w:rFonts w:eastAsia="黑体"/>
          <w:sz w:val="28"/>
          <w:szCs w:val="28"/>
        </w:rPr>
        <w:t>总氮</w:t>
      </w:r>
      <w:r>
        <w:rPr>
          <w:rFonts w:hint="eastAsia" w:eastAsia="黑体"/>
          <w:sz w:val="28"/>
          <w:szCs w:val="28"/>
        </w:rPr>
        <w:t>月均</w:t>
      </w:r>
      <w:r>
        <w:rPr>
          <w:rFonts w:eastAsia="黑体"/>
          <w:sz w:val="28"/>
          <w:szCs w:val="28"/>
        </w:rPr>
        <w:t>浓度变化情况</w:t>
      </w:r>
    </w:p>
    <w:p>
      <w:pPr>
        <w:jc w:val="center"/>
        <w:rPr>
          <w:rFonts w:eastAsia="仿宋_GB2312"/>
          <w:sz w:val="28"/>
          <w:highlight w:val="yellow"/>
        </w:rPr>
      </w:pPr>
      <w:r>
        <w:drawing>
          <wp:inline distT="0" distB="0" distL="0" distR="0">
            <wp:extent cx="4572000" cy="244792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center"/>
        <w:rPr>
          <w:rFonts w:eastAsia="仿宋_GB2312"/>
          <w:sz w:val="28"/>
          <w:highlight w:val="yellow"/>
        </w:rPr>
      </w:pPr>
      <w:r>
        <w:rPr>
          <w:rFonts w:eastAsia="黑体"/>
          <w:sz w:val="28"/>
          <w:szCs w:val="28"/>
        </w:rPr>
        <w:t>图</w:t>
      </w:r>
      <w:r>
        <w:rPr>
          <w:rFonts w:hint="eastAsia" w:eastAsia="黑体"/>
          <w:sz w:val="28"/>
          <w:szCs w:val="28"/>
        </w:rPr>
        <w:t>1-5</w:t>
      </w:r>
      <w:r>
        <w:rPr>
          <w:rFonts w:eastAsia="黑体"/>
          <w:sz w:val="28"/>
          <w:szCs w:val="28"/>
        </w:rPr>
        <w:t xml:space="preserve">  </w:t>
      </w:r>
      <w:r>
        <w:rPr>
          <w:rFonts w:hint="eastAsia" w:eastAsia="黑体"/>
          <w:sz w:val="28"/>
          <w:szCs w:val="28"/>
        </w:rPr>
        <w:t>双林断面2015-2020年</w:t>
      </w:r>
      <w:r>
        <w:rPr>
          <w:rFonts w:eastAsia="黑体"/>
          <w:sz w:val="28"/>
          <w:szCs w:val="28"/>
        </w:rPr>
        <w:t>总氮</w:t>
      </w:r>
      <w:r>
        <w:rPr>
          <w:rFonts w:hint="eastAsia" w:eastAsia="黑体"/>
          <w:sz w:val="28"/>
          <w:szCs w:val="28"/>
        </w:rPr>
        <w:t>月均</w:t>
      </w:r>
      <w:r>
        <w:rPr>
          <w:rFonts w:eastAsia="黑体"/>
          <w:sz w:val="28"/>
          <w:szCs w:val="28"/>
        </w:rPr>
        <w:t>浓度变化情况</w:t>
      </w:r>
    </w:p>
    <w:p>
      <w:pPr>
        <w:jc w:val="center"/>
        <w:rPr>
          <w:rFonts w:eastAsia="黑体"/>
          <w:sz w:val="28"/>
          <w:szCs w:val="28"/>
        </w:rPr>
      </w:pPr>
    </w:p>
    <w:p>
      <w:pPr>
        <w:jc w:val="center"/>
      </w:pPr>
      <w:r>
        <w:drawing>
          <wp:inline distT="0" distB="0" distL="0" distR="0">
            <wp:extent cx="4572000" cy="238125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p>
    <w:p>
      <w:pPr>
        <w:jc w:val="center"/>
        <w:rPr>
          <w:rFonts w:eastAsia="黑体"/>
          <w:sz w:val="28"/>
          <w:szCs w:val="28"/>
        </w:rPr>
      </w:pPr>
      <w:r>
        <w:rPr>
          <w:rFonts w:eastAsia="黑体"/>
          <w:sz w:val="28"/>
          <w:szCs w:val="28"/>
        </w:rPr>
        <w:t>图</w:t>
      </w:r>
      <w:r>
        <w:rPr>
          <w:rFonts w:hint="eastAsia" w:eastAsia="黑体"/>
          <w:sz w:val="28"/>
          <w:szCs w:val="28"/>
        </w:rPr>
        <w:t>1-6</w:t>
      </w:r>
      <w:r>
        <w:rPr>
          <w:rFonts w:eastAsia="黑体"/>
          <w:sz w:val="28"/>
          <w:szCs w:val="28"/>
        </w:rPr>
        <w:t xml:space="preserve">  南浔区</w:t>
      </w:r>
      <w:r>
        <w:rPr>
          <w:rFonts w:hint="eastAsia" w:eastAsia="黑体"/>
          <w:sz w:val="28"/>
          <w:szCs w:val="28"/>
        </w:rPr>
        <w:t>市控以上</w:t>
      </w:r>
      <w:r>
        <w:rPr>
          <w:rFonts w:eastAsia="黑体"/>
          <w:sz w:val="28"/>
          <w:szCs w:val="28"/>
        </w:rPr>
        <w:t>断面</w:t>
      </w:r>
      <w:r>
        <w:rPr>
          <w:rFonts w:hint="eastAsia" w:eastAsia="黑体"/>
          <w:sz w:val="28"/>
          <w:szCs w:val="28"/>
        </w:rPr>
        <w:t>总磷年均</w:t>
      </w:r>
      <w:r>
        <w:rPr>
          <w:rFonts w:eastAsia="黑体"/>
          <w:sz w:val="28"/>
          <w:szCs w:val="28"/>
        </w:rPr>
        <w:t>浓度变化情况</w:t>
      </w:r>
    </w:p>
    <w:p>
      <w:pPr>
        <w:jc w:val="center"/>
        <w:rPr>
          <w:rFonts w:eastAsia="黑体"/>
          <w:sz w:val="32"/>
          <w:szCs w:val="28"/>
          <w:highlight w:val="yellow"/>
        </w:rPr>
      </w:pPr>
      <w:r>
        <w:drawing>
          <wp:inline distT="0" distB="0" distL="0" distR="0">
            <wp:extent cx="4572000" cy="2428875"/>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eastAsia="黑体"/>
          <w:sz w:val="32"/>
          <w:szCs w:val="28"/>
          <w:highlight w:val="yellow"/>
        </w:rPr>
      </w:pPr>
      <w:r>
        <w:rPr>
          <w:rFonts w:hint="eastAsia" w:eastAsia="黑体"/>
          <w:sz w:val="28"/>
          <w:szCs w:val="28"/>
        </w:rPr>
        <w:t>图1-7 南浔断面2015-2020年</w:t>
      </w:r>
      <w:r>
        <w:rPr>
          <w:rFonts w:eastAsia="黑体"/>
          <w:sz w:val="28"/>
          <w:szCs w:val="28"/>
        </w:rPr>
        <w:t>总</w:t>
      </w:r>
      <w:r>
        <w:rPr>
          <w:rFonts w:hint="eastAsia" w:eastAsia="黑体"/>
          <w:sz w:val="28"/>
          <w:szCs w:val="28"/>
        </w:rPr>
        <w:t>磷月均</w:t>
      </w:r>
      <w:r>
        <w:rPr>
          <w:rFonts w:eastAsia="黑体"/>
          <w:sz w:val="28"/>
          <w:szCs w:val="28"/>
        </w:rPr>
        <w:t>浓度变化情况</w:t>
      </w:r>
    </w:p>
    <w:p>
      <w:pPr>
        <w:jc w:val="center"/>
        <w:rPr>
          <w:rFonts w:eastAsia="黑体"/>
          <w:sz w:val="32"/>
          <w:szCs w:val="28"/>
          <w:highlight w:val="yellow"/>
        </w:rPr>
      </w:pPr>
      <w:r>
        <w:drawing>
          <wp:inline distT="0" distB="0" distL="0" distR="0">
            <wp:extent cx="4572000" cy="2143125"/>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rFonts w:eastAsia="黑体"/>
          <w:sz w:val="28"/>
          <w:szCs w:val="28"/>
        </w:rPr>
      </w:pPr>
      <w:r>
        <w:rPr>
          <w:rFonts w:hint="eastAsia" w:eastAsia="黑体"/>
          <w:sz w:val="28"/>
          <w:szCs w:val="28"/>
        </w:rPr>
        <w:t>图1-8 双林断面2015-2020年</w:t>
      </w:r>
      <w:r>
        <w:rPr>
          <w:rFonts w:eastAsia="黑体"/>
          <w:sz w:val="28"/>
          <w:szCs w:val="28"/>
        </w:rPr>
        <w:t>总</w:t>
      </w:r>
      <w:r>
        <w:rPr>
          <w:rFonts w:hint="eastAsia" w:eastAsia="黑体"/>
          <w:sz w:val="28"/>
          <w:szCs w:val="28"/>
        </w:rPr>
        <w:t>磷月均</w:t>
      </w:r>
      <w:r>
        <w:rPr>
          <w:rFonts w:eastAsia="黑体"/>
          <w:sz w:val="28"/>
          <w:szCs w:val="28"/>
        </w:rPr>
        <w:t>浓度变化情况</w:t>
      </w:r>
    </w:p>
    <w:p>
      <w:pPr>
        <w:spacing w:line="560" w:lineRule="exact"/>
        <w:ind w:firstLine="560" w:firstLineChars="200"/>
        <w:rPr>
          <w:rFonts w:eastAsia="仿宋_GB2312"/>
          <w:sz w:val="28"/>
          <w:szCs w:val="30"/>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jc w:val="center"/>
        <w:rPr>
          <w:rFonts w:eastAsia="黑体"/>
          <w:sz w:val="28"/>
          <w:szCs w:val="28"/>
        </w:rPr>
      </w:pPr>
      <w:r>
        <w:rPr>
          <w:rFonts w:eastAsia="黑体"/>
          <w:sz w:val="28"/>
          <w:szCs w:val="28"/>
        </w:rPr>
        <w:t>表</w:t>
      </w:r>
      <w:r>
        <w:rPr>
          <w:rFonts w:hint="eastAsia" w:eastAsia="黑体"/>
          <w:sz w:val="28"/>
          <w:szCs w:val="28"/>
        </w:rPr>
        <w:t>1-4</w:t>
      </w:r>
      <w:r>
        <w:rPr>
          <w:rFonts w:eastAsia="黑体"/>
          <w:sz w:val="28"/>
          <w:szCs w:val="28"/>
        </w:rPr>
        <w:t xml:space="preserve"> 南浔区地表水县控以上断面逐月水质状况</w:t>
      </w:r>
    </w:p>
    <w:tbl>
      <w:tblPr>
        <w:tblStyle w:val="29"/>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2"/>
        <w:gridCol w:w="708"/>
        <w:gridCol w:w="708"/>
        <w:gridCol w:w="709"/>
        <w:gridCol w:w="655"/>
        <w:gridCol w:w="655"/>
        <w:gridCol w:w="655"/>
        <w:gridCol w:w="655"/>
        <w:gridCol w:w="655"/>
        <w:gridCol w:w="655"/>
        <w:gridCol w:w="655"/>
        <w:gridCol w:w="655"/>
        <w:gridCol w:w="655"/>
        <w:gridCol w:w="655"/>
        <w:gridCol w:w="655"/>
        <w:gridCol w:w="655"/>
        <w:gridCol w:w="655"/>
        <w:gridCol w:w="30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序号</w:t>
            </w:r>
          </w:p>
        </w:tc>
        <w:tc>
          <w:tcPr>
            <w:tcW w:w="250"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断面</w:t>
            </w:r>
          </w:p>
        </w:tc>
        <w:tc>
          <w:tcPr>
            <w:tcW w:w="250"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年份</w:t>
            </w:r>
          </w:p>
        </w:tc>
        <w:tc>
          <w:tcPr>
            <w:tcW w:w="250"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水质目标</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1月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2月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3月</w:t>
            </w:r>
          </w:p>
        </w:tc>
        <w:tc>
          <w:tcPr>
            <w:tcW w:w="231" w:type="pct"/>
            <w:tcBorders>
              <w:bottom w:val="single" w:color="auto" w:sz="8" w:space="0"/>
            </w:tcBorders>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4月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5月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6月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7月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8月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9月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10月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11月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12月</w:t>
            </w:r>
          </w:p>
        </w:tc>
        <w:tc>
          <w:tcPr>
            <w:tcW w:w="23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年均值</w:t>
            </w:r>
          </w:p>
        </w:tc>
        <w:tc>
          <w:tcPr>
            <w:tcW w:w="1059"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超标因子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2" w:hRule="atLeast"/>
        </w:trPr>
        <w:tc>
          <w:tcPr>
            <w:tcW w:w="188"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1</w:t>
            </w:r>
          </w:p>
        </w:tc>
        <w:tc>
          <w:tcPr>
            <w:tcW w:w="250"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南浔</w:t>
            </w: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2020</w:t>
            </w:r>
          </w:p>
        </w:tc>
        <w:tc>
          <w:tcPr>
            <w:tcW w:w="250" w:type="pct"/>
            <w:vMerge w:val="restar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溶解氧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2019</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2018</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tcBorders>
              <w:bottom w:val="single" w:color="auto" w:sz="8" w:space="0"/>
            </w:tcBorders>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溶解氧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2017</w:t>
            </w:r>
          </w:p>
        </w:tc>
        <w:tc>
          <w:tcPr>
            <w:tcW w:w="250" w:type="pct"/>
            <w:vMerge w:val="continue"/>
            <w:vAlign w:val="center"/>
          </w:tcPr>
          <w:p>
            <w:pPr>
              <w:widowControl/>
              <w:jc w:val="center"/>
              <w:rPr>
                <w:rFonts w:eastAsia="仿宋_GB2312"/>
                <w:color w:val="000000"/>
                <w:kern w:val="0"/>
                <w:szCs w:val="21"/>
              </w:rPr>
            </w:pP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Ⅳ</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Ⅳ</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Ⅴ</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Ⅳ</w:t>
            </w:r>
          </w:p>
        </w:tc>
        <w:tc>
          <w:tcPr>
            <w:tcW w:w="231" w:type="pct"/>
            <w:tcBorders>
              <w:bottom w:val="single" w:color="auto" w:sz="8" w:space="0"/>
            </w:tcBorders>
            <w:shd w:val="clear" w:color="auto" w:fill="FFFFFF" w:themeFill="background1"/>
            <w:noWrap/>
            <w:vAlign w:val="center"/>
          </w:tcPr>
          <w:p>
            <w:pPr>
              <w:widowControl/>
              <w:jc w:val="center"/>
              <w:rPr>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auto"/>
            <w:noWrap/>
            <w:vAlign w:val="center"/>
          </w:tcPr>
          <w:p>
            <w:pPr>
              <w:widowControl/>
              <w:jc w:val="center"/>
              <w:rPr>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溶解氧、总磷、高锰</w:t>
            </w:r>
            <w:r>
              <w:rPr>
                <w:rFonts w:hint="eastAsia" w:eastAsia="仿宋_GB2312"/>
                <w:color w:val="000000"/>
                <w:kern w:val="0"/>
                <w:szCs w:val="21"/>
              </w:rPr>
              <w:t>酸盐指数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 w:hRule="atLeast"/>
        </w:trPr>
        <w:tc>
          <w:tcPr>
            <w:tcW w:w="188"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2</w:t>
            </w:r>
          </w:p>
        </w:tc>
        <w:tc>
          <w:tcPr>
            <w:tcW w:w="250"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双林</w:t>
            </w: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2020</w:t>
            </w:r>
          </w:p>
        </w:tc>
        <w:tc>
          <w:tcPr>
            <w:tcW w:w="250" w:type="pct"/>
            <w:vMerge w:val="restar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Ⅴ</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溶解氧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2019</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2018</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2017</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w:t>
            </w:r>
          </w:p>
        </w:tc>
        <w:tc>
          <w:tcPr>
            <w:tcW w:w="250"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古</w:t>
            </w:r>
            <w:r>
              <w:rPr>
                <w:color w:val="000000"/>
                <w:kern w:val="0"/>
                <w:szCs w:val="21"/>
              </w:rPr>
              <w:t>溇</w:t>
            </w:r>
            <w:r>
              <w:rPr>
                <w:rFonts w:eastAsia="仿宋_GB2312"/>
                <w:color w:val="000000"/>
                <w:kern w:val="0"/>
                <w:szCs w:val="21"/>
              </w:rPr>
              <w:t>港</w:t>
            </w: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2020</w:t>
            </w:r>
          </w:p>
        </w:tc>
        <w:tc>
          <w:tcPr>
            <w:tcW w:w="250" w:type="pct"/>
            <w:vMerge w:val="restar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2019</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2018</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7"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2017</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高锰</w:t>
            </w:r>
            <w:r>
              <w:rPr>
                <w:rFonts w:hint="eastAsia" w:eastAsia="仿宋_GB2312"/>
                <w:color w:val="000000"/>
                <w:kern w:val="0"/>
                <w:szCs w:val="21"/>
              </w:rPr>
              <w:t>酸盐指数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4</w:t>
            </w:r>
          </w:p>
        </w:tc>
        <w:tc>
          <w:tcPr>
            <w:tcW w:w="250"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和孚漾</w:t>
            </w: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2020</w:t>
            </w:r>
          </w:p>
        </w:tc>
        <w:tc>
          <w:tcPr>
            <w:tcW w:w="250" w:type="pct"/>
            <w:vMerge w:val="restar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2019</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化学需氧量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2018</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2017</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188"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5</w:t>
            </w:r>
          </w:p>
        </w:tc>
        <w:tc>
          <w:tcPr>
            <w:tcW w:w="250"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乌镇</w:t>
            </w: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2020</w:t>
            </w:r>
          </w:p>
        </w:tc>
        <w:tc>
          <w:tcPr>
            <w:tcW w:w="250" w:type="pct"/>
            <w:vMerge w:val="restar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高锰</w:t>
            </w:r>
            <w:r>
              <w:rPr>
                <w:rFonts w:hint="eastAsia" w:eastAsia="仿宋_GB2312"/>
                <w:color w:val="000000"/>
                <w:kern w:val="0"/>
                <w:szCs w:val="21"/>
              </w:rPr>
              <w:t>酸盐指数</w:t>
            </w:r>
            <w:r>
              <w:rPr>
                <w:rFonts w:eastAsia="仿宋_GB2312"/>
                <w:color w:val="000000"/>
                <w:kern w:val="0"/>
                <w:szCs w:val="21"/>
              </w:rPr>
              <w:t>、氨氮、总磷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2019</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2018</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231" w:type="pct"/>
            <w:shd w:val="clear" w:color="auto" w:fill="FFFFFF" w:themeFill="background1"/>
            <w:vAlign w:val="center"/>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Ⅱ</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2017</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188"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6</w:t>
            </w:r>
          </w:p>
        </w:tc>
        <w:tc>
          <w:tcPr>
            <w:tcW w:w="250"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菱湖</w:t>
            </w: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2020</w:t>
            </w:r>
          </w:p>
        </w:tc>
        <w:tc>
          <w:tcPr>
            <w:tcW w:w="250" w:type="pct"/>
            <w:vMerge w:val="restar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color w:val="000000"/>
                <w:kern w:val="0"/>
                <w:szCs w:val="21"/>
              </w:rPr>
            </w:pPr>
            <w:r>
              <w:rPr>
                <w:rFonts w:hint="eastAsia" w:ascii="宋体" w:hAnsi="宋体" w:cs="宋体"/>
                <w:color w:val="000000"/>
                <w:kern w:val="0"/>
                <w:szCs w:val="21"/>
              </w:rPr>
              <w:t>Ⅳ</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tcBorders>
              <w:bottom w:val="single" w:color="auto" w:sz="8" w:space="0"/>
            </w:tcBorders>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tcBorders>
              <w:bottom w:val="single" w:color="auto" w:sz="8" w:space="0"/>
            </w:tcBorders>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总磷、高锰</w:t>
            </w:r>
            <w:r>
              <w:rPr>
                <w:rFonts w:hint="eastAsia" w:eastAsia="仿宋_GB2312"/>
                <w:color w:val="000000"/>
                <w:kern w:val="0"/>
                <w:szCs w:val="21"/>
              </w:rPr>
              <w:t>酸盐指数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2019</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Ⅳ</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溶解氧、总磷、高锰</w:t>
            </w:r>
            <w:r>
              <w:rPr>
                <w:rFonts w:hint="eastAsia" w:eastAsia="仿宋_GB2312"/>
                <w:color w:val="000000"/>
                <w:kern w:val="0"/>
                <w:szCs w:val="21"/>
              </w:rPr>
              <w:t>酸盐指数</w:t>
            </w:r>
            <w:r>
              <w:rPr>
                <w:rFonts w:eastAsia="仿宋_GB2312"/>
                <w:color w:val="000000"/>
                <w:kern w:val="0"/>
                <w:szCs w:val="21"/>
              </w:rPr>
              <w:t>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7</w:t>
            </w:r>
          </w:p>
        </w:tc>
        <w:tc>
          <w:tcPr>
            <w:tcW w:w="250" w:type="pct"/>
            <w:vMerge w:val="restar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燕子桥</w:t>
            </w: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2020</w:t>
            </w:r>
          </w:p>
        </w:tc>
        <w:tc>
          <w:tcPr>
            <w:tcW w:w="250" w:type="pct"/>
            <w:vMerge w:val="restart"/>
            <w:shd w:val="clear" w:color="auto" w:fill="auto"/>
            <w:noWrap/>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88" w:type="pct"/>
            <w:vMerge w:val="continue"/>
            <w:vAlign w:val="center"/>
          </w:tcPr>
          <w:p>
            <w:pPr>
              <w:widowControl/>
              <w:jc w:val="center"/>
              <w:rPr>
                <w:rFonts w:eastAsia="仿宋_GB2312"/>
                <w:color w:val="000000"/>
                <w:kern w:val="0"/>
                <w:szCs w:val="21"/>
              </w:rPr>
            </w:pPr>
          </w:p>
        </w:tc>
        <w:tc>
          <w:tcPr>
            <w:tcW w:w="250" w:type="pct"/>
            <w:vMerge w:val="continue"/>
            <w:vAlign w:val="center"/>
          </w:tcPr>
          <w:p>
            <w:pPr>
              <w:widowControl/>
              <w:jc w:val="center"/>
              <w:rPr>
                <w:rFonts w:eastAsia="仿宋_GB2312"/>
                <w:color w:val="000000"/>
                <w:kern w:val="0"/>
                <w:szCs w:val="21"/>
              </w:rPr>
            </w:pPr>
          </w:p>
        </w:tc>
        <w:tc>
          <w:tcPr>
            <w:tcW w:w="250"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2019</w:t>
            </w:r>
          </w:p>
        </w:tc>
        <w:tc>
          <w:tcPr>
            <w:tcW w:w="250" w:type="pct"/>
            <w:vMerge w:val="continue"/>
            <w:vAlign w:val="center"/>
          </w:tcPr>
          <w:p>
            <w:pPr>
              <w:widowControl/>
              <w:jc w:val="center"/>
              <w:rPr>
                <w:rFonts w:eastAsia="仿宋_GB2312"/>
                <w:color w:val="000000"/>
                <w:kern w:val="0"/>
                <w:szCs w:val="21"/>
              </w:rPr>
            </w:pP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FFFFFF" w:themeFill="background1"/>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231" w:type="pct"/>
            <w:shd w:val="clear" w:color="auto" w:fill="FFFFFF" w:themeFill="background1"/>
          </w:tcPr>
          <w:p>
            <w:pPr>
              <w:widowControl/>
              <w:jc w:val="center"/>
              <w:rPr>
                <w:rFonts w:eastAsia="仿宋_GB2312"/>
                <w:color w:val="000000"/>
                <w:kern w:val="0"/>
                <w:szCs w:val="21"/>
              </w:rPr>
            </w:pPr>
            <w:r>
              <w:rPr>
                <w:rFonts w:eastAsia="仿宋_GB2312"/>
                <w:color w:val="000000"/>
                <w:kern w:val="0"/>
                <w:szCs w:val="21"/>
              </w:rPr>
              <w:t>/</w:t>
            </w:r>
          </w:p>
        </w:tc>
        <w:tc>
          <w:tcPr>
            <w:tcW w:w="231" w:type="pct"/>
            <w:shd w:val="clear" w:color="auto" w:fill="auto"/>
            <w:vAlign w:val="center"/>
          </w:tcPr>
          <w:p>
            <w:pPr>
              <w:widowControl/>
              <w:jc w:val="center"/>
              <w:rPr>
                <w:rFonts w:eastAsia="仿宋_GB2312"/>
                <w:color w:val="000000"/>
                <w:kern w:val="0"/>
                <w:szCs w:val="21"/>
              </w:rPr>
            </w:pPr>
            <w:r>
              <w:rPr>
                <w:rFonts w:hint="eastAsia" w:ascii="宋体" w:hAnsi="宋体" w:cs="宋体"/>
                <w:color w:val="000000"/>
                <w:kern w:val="0"/>
                <w:szCs w:val="21"/>
              </w:rPr>
              <w:t>Ⅲ</w:t>
            </w:r>
          </w:p>
        </w:tc>
        <w:tc>
          <w:tcPr>
            <w:tcW w:w="105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w:t>
            </w:r>
          </w:p>
        </w:tc>
      </w:tr>
    </w:tbl>
    <w:p>
      <w:pPr>
        <w:rPr>
          <w:rFonts w:eastAsia="仿宋_GB2312"/>
          <w:sz w:val="28"/>
          <w:highlight w:val="yellow"/>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spacing w:line="560" w:lineRule="exact"/>
        <w:ind w:firstLine="643" w:firstLineChars="200"/>
        <w:rPr>
          <w:rFonts w:eastAsia="仿宋_GB2312"/>
          <w:sz w:val="28"/>
          <w:szCs w:val="30"/>
        </w:rPr>
      </w:pPr>
      <w:bookmarkStart w:id="27" w:name="_Toc55989763"/>
      <w:r>
        <w:rPr>
          <w:rFonts w:eastAsia="楷体"/>
          <w:b/>
          <w:sz w:val="32"/>
          <w:szCs w:val="32"/>
        </w:rPr>
        <w:t>水环境承载力测算</w:t>
      </w:r>
      <w:bookmarkEnd w:id="27"/>
      <w:r>
        <w:rPr>
          <w:rFonts w:hint="eastAsia" w:eastAsia="仿宋_GB2312"/>
          <w:sz w:val="32"/>
          <w:szCs w:val="32"/>
          <w:lang w:eastAsia="zh-CN"/>
        </w:rPr>
        <w:t>，</w:t>
      </w:r>
      <w:r>
        <w:rPr>
          <w:rFonts w:eastAsia="仿宋_GB2312"/>
          <w:sz w:val="28"/>
          <w:szCs w:val="30"/>
        </w:rPr>
        <w:t>按照《水环境承载力评价方法（试行）》（环办水体函〔2020〕538号）要求，南浔区纳入承载力评价的断面包括全部国、省、市、县控断面，共计7个。根据2020年南浔区县控及以上7个断面水环境承载力评价结果，南浔区水环境承载状态为临界超载状态，南浔区水环境承载力指数为88.4%。</w:t>
      </w:r>
    </w:p>
    <w:p>
      <w:pPr>
        <w:ind w:firstLine="560" w:firstLineChars="200"/>
        <w:jc w:val="center"/>
        <w:rPr>
          <w:rFonts w:eastAsia="仿宋_GB2312"/>
          <w:sz w:val="28"/>
          <w:szCs w:val="30"/>
        </w:rPr>
      </w:pPr>
      <w:r>
        <w:rPr>
          <w:rFonts w:eastAsia="黑体"/>
          <w:sz w:val="28"/>
          <w:szCs w:val="28"/>
        </w:rPr>
        <w:t>表</w:t>
      </w:r>
      <w:r>
        <w:rPr>
          <w:rFonts w:hint="eastAsia" w:eastAsia="黑体"/>
          <w:sz w:val="28"/>
          <w:szCs w:val="28"/>
        </w:rPr>
        <w:t>1-5</w:t>
      </w:r>
      <w:r>
        <w:rPr>
          <w:rFonts w:eastAsia="黑体"/>
          <w:sz w:val="28"/>
          <w:szCs w:val="28"/>
        </w:rPr>
        <w:t xml:space="preserve">  南浔区承载力评价断面达标率及年度达标评价结果</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03"/>
        <w:gridCol w:w="1591"/>
        <w:gridCol w:w="1592"/>
        <w:gridCol w:w="1698"/>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45" w:type="pct"/>
            <w:noWrap/>
            <w:vAlign w:val="center"/>
          </w:tcPr>
          <w:p>
            <w:pPr>
              <w:widowControl/>
              <w:jc w:val="center"/>
              <w:rPr>
                <w:rFonts w:ascii="Times New Roman" w:hAnsi="Times New Roman" w:eastAsia="仿宋_GB2312" w:cs="Times New Roman"/>
                <w:b/>
                <w:color w:val="000000"/>
                <w:kern w:val="0"/>
                <w:szCs w:val="21"/>
              </w:rPr>
            </w:pPr>
            <w:r>
              <w:rPr>
                <w:rFonts w:ascii="Times New Roman" w:hAnsi="Times New Roman" w:eastAsia="仿宋_GB2312" w:cs="Times New Roman"/>
                <w:b/>
                <w:color w:val="000000"/>
                <w:kern w:val="0"/>
                <w:szCs w:val="21"/>
              </w:rPr>
              <w:t>年份</w:t>
            </w:r>
          </w:p>
        </w:tc>
        <w:tc>
          <w:tcPr>
            <w:tcW w:w="957" w:type="pct"/>
            <w:noWrap/>
            <w:vAlign w:val="center"/>
          </w:tcPr>
          <w:p>
            <w:pPr>
              <w:widowControl/>
              <w:jc w:val="center"/>
              <w:rPr>
                <w:rFonts w:ascii="Times New Roman" w:hAnsi="Times New Roman" w:eastAsia="仿宋_GB2312" w:cs="Times New Roman"/>
                <w:b/>
                <w:color w:val="000000"/>
                <w:kern w:val="0"/>
                <w:szCs w:val="21"/>
              </w:rPr>
            </w:pPr>
            <w:r>
              <w:rPr>
                <w:rFonts w:ascii="Times New Roman" w:hAnsi="Times New Roman" w:eastAsia="仿宋_GB2312" w:cs="Times New Roman"/>
                <w:b/>
                <w:color w:val="000000"/>
                <w:kern w:val="0"/>
                <w:szCs w:val="21"/>
              </w:rPr>
              <w:t>水质时间达标率</w:t>
            </w:r>
          </w:p>
        </w:tc>
        <w:tc>
          <w:tcPr>
            <w:tcW w:w="958" w:type="pct"/>
            <w:noWrap/>
            <w:vAlign w:val="center"/>
          </w:tcPr>
          <w:p>
            <w:pPr>
              <w:widowControl/>
              <w:jc w:val="center"/>
              <w:rPr>
                <w:rFonts w:ascii="Times New Roman" w:hAnsi="Times New Roman" w:eastAsia="仿宋_GB2312" w:cs="Times New Roman"/>
                <w:b/>
                <w:color w:val="000000"/>
                <w:kern w:val="0"/>
                <w:szCs w:val="21"/>
              </w:rPr>
            </w:pPr>
            <w:r>
              <w:rPr>
                <w:rFonts w:ascii="Times New Roman" w:hAnsi="Times New Roman" w:eastAsia="仿宋_GB2312" w:cs="Times New Roman"/>
                <w:b/>
                <w:color w:val="000000"/>
                <w:kern w:val="0"/>
                <w:szCs w:val="21"/>
              </w:rPr>
              <w:t>水质空间达标率</w:t>
            </w:r>
          </w:p>
        </w:tc>
        <w:tc>
          <w:tcPr>
            <w:tcW w:w="1019" w:type="pct"/>
            <w:noWrap/>
            <w:vAlign w:val="center"/>
          </w:tcPr>
          <w:p>
            <w:pPr>
              <w:widowControl/>
              <w:jc w:val="center"/>
              <w:rPr>
                <w:rFonts w:ascii="Times New Roman" w:hAnsi="Times New Roman" w:eastAsia="仿宋_GB2312" w:cs="Times New Roman"/>
                <w:b/>
                <w:color w:val="000000"/>
                <w:kern w:val="0"/>
                <w:szCs w:val="21"/>
              </w:rPr>
            </w:pPr>
            <w:r>
              <w:rPr>
                <w:rFonts w:ascii="Times New Roman" w:hAnsi="Times New Roman" w:eastAsia="仿宋_GB2312" w:cs="Times New Roman"/>
                <w:b/>
                <w:color w:val="000000"/>
                <w:kern w:val="0"/>
                <w:szCs w:val="21"/>
              </w:rPr>
              <w:t>水环境承载力指数</w:t>
            </w:r>
          </w:p>
        </w:tc>
        <w:tc>
          <w:tcPr>
            <w:tcW w:w="921" w:type="pct"/>
            <w:noWrap/>
            <w:vAlign w:val="center"/>
          </w:tcPr>
          <w:p>
            <w:pPr>
              <w:widowControl/>
              <w:jc w:val="center"/>
              <w:rPr>
                <w:rFonts w:ascii="Times New Roman" w:hAnsi="Times New Roman" w:eastAsia="仿宋_GB2312" w:cs="Times New Roman"/>
                <w:b/>
                <w:color w:val="000000"/>
                <w:kern w:val="0"/>
                <w:szCs w:val="21"/>
              </w:rPr>
            </w:pPr>
            <w:r>
              <w:rPr>
                <w:rFonts w:ascii="Times New Roman" w:hAnsi="Times New Roman" w:eastAsia="仿宋_GB2312" w:cs="Times New Roman"/>
                <w:b/>
                <w:color w:val="000000"/>
                <w:kern w:val="0"/>
                <w:szCs w:val="21"/>
              </w:rPr>
              <w:t>水环境承载状态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45"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2019年</w:t>
            </w:r>
          </w:p>
        </w:tc>
        <w:tc>
          <w:tcPr>
            <w:tcW w:w="957"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92.9%</w:t>
            </w:r>
          </w:p>
        </w:tc>
        <w:tc>
          <w:tcPr>
            <w:tcW w:w="958"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w:t>
            </w:r>
          </w:p>
        </w:tc>
        <w:tc>
          <w:tcPr>
            <w:tcW w:w="1019"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96.4%</w:t>
            </w:r>
          </w:p>
        </w:tc>
        <w:tc>
          <w:tcPr>
            <w:tcW w:w="921"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未超载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45"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2020年</w:t>
            </w:r>
          </w:p>
        </w:tc>
        <w:tc>
          <w:tcPr>
            <w:tcW w:w="957"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76.7%</w:t>
            </w:r>
          </w:p>
        </w:tc>
        <w:tc>
          <w:tcPr>
            <w:tcW w:w="958"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w:t>
            </w:r>
          </w:p>
        </w:tc>
        <w:tc>
          <w:tcPr>
            <w:tcW w:w="1019"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88.4%</w:t>
            </w:r>
          </w:p>
        </w:tc>
        <w:tc>
          <w:tcPr>
            <w:tcW w:w="921" w:type="pct"/>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临界超载</w:t>
            </w:r>
          </w:p>
        </w:tc>
      </w:tr>
    </w:tbl>
    <w:p>
      <w:pPr>
        <w:pStyle w:val="77"/>
        <w:numPr>
          <w:ilvl w:val="0"/>
          <w:numId w:val="8"/>
        </w:numPr>
        <w:ind w:firstLineChars="0"/>
        <w:rPr>
          <w:b/>
          <w:bCs/>
        </w:rPr>
      </w:pPr>
      <w:r>
        <w:rPr>
          <w:b/>
          <w:bCs/>
        </w:rPr>
        <w:t>水污染排放状况</w:t>
      </w:r>
    </w:p>
    <w:p>
      <w:pPr>
        <w:ind w:firstLine="602" w:firstLineChars="200"/>
        <w:rPr>
          <w:rFonts w:eastAsia="仿宋_GB2312"/>
          <w:b/>
          <w:sz w:val="30"/>
          <w:szCs w:val="30"/>
        </w:rPr>
      </w:pPr>
      <w:r>
        <w:rPr>
          <w:rFonts w:hint="eastAsia" w:ascii="宋体" w:hAnsi="宋体" w:cs="宋体"/>
          <w:b/>
          <w:sz w:val="30"/>
          <w:szCs w:val="30"/>
        </w:rPr>
        <w:t>①</w:t>
      </w:r>
      <w:r>
        <w:rPr>
          <w:rFonts w:eastAsia="仿宋_GB2312"/>
          <w:b/>
          <w:sz w:val="30"/>
          <w:szCs w:val="30"/>
        </w:rPr>
        <w:t xml:space="preserve"> 城镇生活</w:t>
      </w:r>
    </w:p>
    <w:p>
      <w:pPr>
        <w:spacing w:line="560" w:lineRule="exact"/>
        <w:ind w:firstLine="602" w:firstLineChars="200"/>
        <w:rPr>
          <w:rFonts w:eastAsia="仿宋_GB2312"/>
          <w:sz w:val="30"/>
          <w:szCs w:val="30"/>
        </w:rPr>
      </w:pPr>
      <w:r>
        <w:rPr>
          <w:rFonts w:eastAsia="楷体"/>
          <w:b/>
          <w:bCs/>
          <w:sz w:val="30"/>
          <w:szCs w:val="30"/>
        </w:rPr>
        <w:t>处理能力方面，</w:t>
      </w:r>
      <w:r>
        <w:rPr>
          <w:rFonts w:eastAsia="仿宋_GB2312"/>
          <w:sz w:val="30"/>
          <w:szCs w:val="30"/>
        </w:rPr>
        <w:t>南浔区城镇污水处理能力总体满足需求。2020年，</w:t>
      </w:r>
      <w:r>
        <w:rPr>
          <w:rFonts w:hint="eastAsia" w:eastAsia="仿宋_GB2312"/>
          <w:sz w:val="30"/>
          <w:szCs w:val="30"/>
        </w:rPr>
        <w:t>南浔区</w:t>
      </w:r>
      <w:r>
        <w:rPr>
          <w:rFonts w:eastAsia="仿宋_GB2312"/>
          <w:sz w:val="30"/>
          <w:szCs w:val="30"/>
        </w:rPr>
        <w:t>共有城镇污水处理厂9座，处理能力20.1万吨/日，年污水处理量5050.44万吨，平均负荷率71.26%，各污水处理厂运行负荷在54%~77%之间。</w:t>
      </w:r>
      <w:r>
        <w:rPr>
          <w:rFonts w:hint="eastAsia" w:eastAsia="仿宋_GB2312"/>
          <w:sz w:val="30"/>
          <w:szCs w:val="30"/>
        </w:rPr>
        <w:t>其中</w:t>
      </w:r>
      <w:r>
        <w:rPr>
          <w:rFonts w:eastAsia="仿宋_GB2312"/>
          <w:sz w:val="30"/>
          <w:szCs w:val="30"/>
        </w:rPr>
        <w:t>湖州千金镇污水处理厂和南浔善琏污水处理厂运行负荷低于60%。</w:t>
      </w:r>
    </w:p>
    <w:p>
      <w:pPr>
        <w:jc w:val="center"/>
        <w:rPr>
          <w:rFonts w:eastAsia="黑体"/>
          <w:sz w:val="28"/>
          <w:szCs w:val="28"/>
        </w:rPr>
      </w:pPr>
      <w:r>
        <w:rPr>
          <w:rFonts w:eastAsia="黑体"/>
          <w:sz w:val="28"/>
          <w:szCs w:val="28"/>
        </w:rPr>
        <w:t>表</w:t>
      </w:r>
      <w:r>
        <w:rPr>
          <w:rFonts w:hint="eastAsia" w:eastAsia="黑体"/>
          <w:sz w:val="28"/>
          <w:szCs w:val="28"/>
        </w:rPr>
        <w:t>1-6</w:t>
      </w:r>
      <w:r>
        <w:rPr>
          <w:rFonts w:eastAsia="黑体"/>
          <w:sz w:val="28"/>
          <w:szCs w:val="28"/>
        </w:rPr>
        <w:t xml:space="preserve">  南浔区城镇污水处理厂运行情况统计表</w:t>
      </w:r>
    </w:p>
    <w:tbl>
      <w:tblPr>
        <w:tblStyle w:val="2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7"/>
        <w:gridCol w:w="707"/>
        <w:gridCol w:w="850"/>
        <w:gridCol w:w="990"/>
        <w:gridCol w:w="852"/>
        <w:gridCol w:w="990"/>
        <w:gridCol w:w="994"/>
        <w:gridCol w:w="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5" w:hRule="atLeast"/>
        </w:trPr>
        <w:tc>
          <w:tcPr>
            <w:tcW w:w="1312"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污水厂名称</w:t>
            </w:r>
          </w:p>
        </w:tc>
        <w:tc>
          <w:tcPr>
            <w:tcW w:w="415" w:type="pct"/>
            <w:vAlign w:val="center"/>
          </w:tcPr>
          <w:p>
            <w:pPr>
              <w:widowControl/>
              <w:jc w:val="center"/>
              <w:rPr>
                <w:rFonts w:eastAsia="仿宋_GB2312"/>
                <w:b/>
                <w:color w:val="000000"/>
                <w:kern w:val="0"/>
                <w:szCs w:val="21"/>
              </w:rPr>
            </w:pPr>
            <w:r>
              <w:rPr>
                <w:rFonts w:eastAsia="仿宋_GB2312"/>
                <w:b/>
                <w:color w:val="000000"/>
                <w:kern w:val="0"/>
                <w:szCs w:val="21"/>
              </w:rPr>
              <w:t>所属乡镇</w:t>
            </w:r>
          </w:p>
        </w:tc>
        <w:tc>
          <w:tcPr>
            <w:tcW w:w="499"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建成设计能力(万立方米/日)</w:t>
            </w:r>
          </w:p>
        </w:tc>
        <w:tc>
          <w:tcPr>
            <w:tcW w:w="58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处理工艺</w:t>
            </w:r>
          </w:p>
        </w:tc>
        <w:tc>
          <w:tcPr>
            <w:tcW w:w="500"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排放去向</w:t>
            </w:r>
          </w:p>
        </w:tc>
        <w:tc>
          <w:tcPr>
            <w:tcW w:w="581"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运行负荷率(%)</w:t>
            </w:r>
          </w:p>
        </w:tc>
        <w:tc>
          <w:tcPr>
            <w:tcW w:w="583"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实际日均处理能力(万立方米/日)</w:t>
            </w:r>
          </w:p>
        </w:tc>
        <w:tc>
          <w:tcPr>
            <w:tcW w:w="529"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实际处理污水量(万立方米)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eastAsia="仿宋_GB2312"/>
                <w:kern w:val="0"/>
                <w:szCs w:val="21"/>
              </w:rPr>
              <w:t>南浔振浔污水处理厂</w:t>
            </w:r>
          </w:p>
        </w:tc>
        <w:tc>
          <w:tcPr>
            <w:tcW w:w="415" w:type="pct"/>
            <w:vAlign w:val="center"/>
          </w:tcPr>
          <w:p>
            <w:pPr>
              <w:widowControl/>
              <w:jc w:val="center"/>
              <w:rPr>
                <w:rFonts w:eastAsia="仿宋_GB2312"/>
                <w:kern w:val="0"/>
                <w:szCs w:val="21"/>
              </w:rPr>
            </w:pPr>
            <w:r>
              <w:rPr>
                <w:rFonts w:eastAsia="仿宋_GB2312"/>
                <w:kern w:val="0"/>
                <w:szCs w:val="21"/>
              </w:rPr>
              <w:t>南浔</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5</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CASS</w:t>
            </w:r>
          </w:p>
        </w:tc>
        <w:tc>
          <w:tcPr>
            <w:tcW w:w="500" w:type="pct"/>
            <w:shd w:val="clear" w:color="auto" w:fill="auto"/>
            <w:vAlign w:val="center"/>
          </w:tcPr>
          <w:p>
            <w:pPr>
              <w:widowControl/>
              <w:jc w:val="center"/>
              <w:rPr>
                <w:rFonts w:eastAsia="仿宋_GB2312"/>
                <w:kern w:val="0"/>
                <w:szCs w:val="21"/>
              </w:rPr>
            </w:pPr>
            <w:r>
              <w:rPr>
                <w:rFonts w:hint="eastAsia" w:ascii="宋体" w:hAnsi="宋体" w:cs="宋体"/>
                <w:kern w:val="0"/>
                <w:szCs w:val="21"/>
              </w:rPr>
              <w:t>頔</w:t>
            </w:r>
            <w:r>
              <w:rPr>
                <w:rFonts w:hint="eastAsia" w:ascii="仿宋_GB2312" w:hAnsi="仿宋_GB2312" w:eastAsia="仿宋_GB2312" w:cs="仿宋_GB2312"/>
                <w:kern w:val="0"/>
                <w:szCs w:val="21"/>
              </w:rPr>
              <w:t>塘</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77.269</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3.8634</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1414.02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eastAsia="仿宋_GB2312"/>
                <w:kern w:val="0"/>
                <w:szCs w:val="21"/>
              </w:rPr>
              <w:t>湖州光正水质净化有限公司</w:t>
            </w:r>
          </w:p>
        </w:tc>
        <w:tc>
          <w:tcPr>
            <w:tcW w:w="415" w:type="pct"/>
            <w:vAlign w:val="center"/>
          </w:tcPr>
          <w:p>
            <w:pPr>
              <w:widowControl/>
              <w:jc w:val="center"/>
              <w:rPr>
                <w:rFonts w:eastAsia="仿宋_GB2312"/>
                <w:kern w:val="0"/>
                <w:szCs w:val="21"/>
              </w:rPr>
            </w:pPr>
            <w:r>
              <w:rPr>
                <w:rFonts w:eastAsia="仿宋_GB2312"/>
                <w:kern w:val="0"/>
                <w:szCs w:val="21"/>
              </w:rPr>
              <w:t>练市</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3</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A2/O</w:t>
            </w:r>
          </w:p>
        </w:tc>
        <w:tc>
          <w:tcPr>
            <w:tcW w:w="500" w:type="pct"/>
            <w:shd w:val="clear" w:color="auto" w:fill="auto"/>
            <w:vAlign w:val="center"/>
          </w:tcPr>
          <w:p>
            <w:pPr>
              <w:widowControl/>
              <w:jc w:val="center"/>
              <w:rPr>
                <w:rFonts w:eastAsia="仿宋_GB2312"/>
                <w:kern w:val="0"/>
                <w:szCs w:val="21"/>
              </w:rPr>
            </w:pPr>
            <w:r>
              <w:rPr>
                <w:rFonts w:eastAsia="仿宋_GB2312"/>
                <w:kern w:val="0"/>
                <w:szCs w:val="21"/>
              </w:rPr>
              <w:t>京杭大运河</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69.243</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2.0773</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760.293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eastAsia="仿宋_GB2312"/>
                <w:kern w:val="0"/>
                <w:szCs w:val="21"/>
              </w:rPr>
              <w:t>湖州双林水质净化有限公司</w:t>
            </w:r>
          </w:p>
        </w:tc>
        <w:tc>
          <w:tcPr>
            <w:tcW w:w="415" w:type="pct"/>
            <w:vAlign w:val="center"/>
          </w:tcPr>
          <w:p>
            <w:pPr>
              <w:widowControl/>
              <w:jc w:val="center"/>
              <w:rPr>
                <w:rFonts w:eastAsia="仿宋_GB2312"/>
                <w:kern w:val="0"/>
                <w:szCs w:val="21"/>
              </w:rPr>
            </w:pPr>
            <w:r>
              <w:rPr>
                <w:rFonts w:eastAsia="仿宋_GB2312"/>
                <w:kern w:val="0"/>
                <w:szCs w:val="21"/>
              </w:rPr>
              <w:t>双林</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2.5</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活性污泥</w:t>
            </w:r>
          </w:p>
        </w:tc>
        <w:tc>
          <w:tcPr>
            <w:tcW w:w="500" w:type="pct"/>
            <w:shd w:val="clear" w:color="auto" w:fill="auto"/>
            <w:vAlign w:val="center"/>
          </w:tcPr>
          <w:p>
            <w:pPr>
              <w:widowControl/>
              <w:jc w:val="center"/>
              <w:rPr>
                <w:rFonts w:eastAsia="仿宋_GB2312"/>
                <w:kern w:val="0"/>
                <w:szCs w:val="21"/>
              </w:rPr>
            </w:pPr>
            <w:r>
              <w:rPr>
                <w:rFonts w:eastAsia="仿宋_GB2312"/>
                <w:kern w:val="0"/>
                <w:szCs w:val="21"/>
              </w:rPr>
              <w:t>双林塘</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73.223</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1.8306</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585.57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eastAsia="仿宋_GB2312"/>
                <w:kern w:val="0"/>
                <w:szCs w:val="21"/>
              </w:rPr>
              <w:t>湖州和孚污水处理</w:t>
            </w:r>
          </w:p>
        </w:tc>
        <w:tc>
          <w:tcPr>
            <w:tcW w:w="415" w:type="pct"/>
            <w:vAlign w:val="center"/>
          </w:tcPr>
          <w:p>
            <w:pPr>
              <w:widowControl/>
              <w:jc w:val="center"/>
              <w:rPr>
                <w:rFonts w:eastAsia="仿宋_GB2312"/>
                <w:kern w:val="0"/>
                <w:szCs w:val="21"/>
              </w:rPr>
            </w:pPr>
            <w:r>
              <w:rPr>
                <w:rFonts w:eastAsia="仿宋_GB2312"/>
                <w:kern w:val="0"/>
                <w:szCs w:val="21"/>
              </w:rPr>
              <w:t>和孚</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1.5</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氧化沟</w:t>
            </w:r>
          </w:p>
        </w:tc>
        <w:tc>
          <w:tcPr>
            <w:tcW w:w="500" w:type="pct"/>
            <w:shd w:val="clear" w:color="auto" w:fill="auto"/>
            <w:vAlign w:val="center"/>
          </w:tcPr>
          <w:p>
            <w:pPr>
              <w:widowControl/>
              <w:jc w:val="center"/>
              <w:rPr>
                <w:rFonts w:eastAsia="仿宋_GB2312"/>
                <w:kern w:val="0"/>
                <w:szCs w:val="21"/>
              </w:rPr>
            </w:pPr>
            <w:r>
              <w:rPr>
                <w:rFonts w:eastAsia="仿宋_GB2312"/>
                <w:kern w:val="0"/>
                <w:szCs w:val="21"/>
              </w:rPr>
              <w:t>长湖申航道</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76.449</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1.1467</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419.703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eastAsia="仿宋_GB2312"/>
                <w:kern w:val="0"/>
                <w:szCs w:val="21"/>
              </w:rPr>
              <w:t>湖州浙环污水处理有限公司</w:t>
            </w:r>
          </w:p>
        </w:tc>
        <w:tc>
          <w:tcPr>
            <w:tcW w:w="415" w:type="pct"/>
            <w:vAlign w:val="center"/>
          </w:tcPr>
          <w:p>
            <w:pPr>
              <w:widowControl/>
              <w:jc w:val="center"/>
              <w:rPr>
                <w:rFonts w:eastAsia="仿宋_GB2312"/>
                <w:kern w:val="0"/>
                <w:szCs w:val="21"/>
              </w:rPr>
            </w:pPr>
            <w:r>
              <w:rPr>
                <w:rFonts w:eastAsia="仿宋_GB2312"/>
                <w:kern w:val="0"/>
                <w:szCs w:val="21"/>
              </w:rPr>
              <w:t>石淙</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1</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活性污泥+絮凝沉淀</w:t>
            </w:r>
          </w:p>
        </w:tc>
        <w:tc>
          <w:tcPr>
            <w:tcW w:w="500" w:type="pct"/>
            <w:shd w:val="clear" w:color="auto" w:fill="auto"/>
            <w:vAlign w:val="center"/>
          </w:tcPr>
          <w:p>
            <w:pPr>
              <w:widowControl/>
              <w:jc w:val="center"/>
              <w:rPr>
                <w:rFonts w:eastAsia="仿宋_GB2312"/>
                <w:kern w:val="0"/>
                <w:szCs w:val="21"/>
              </w:rPr>
            </w:pPr>
            <w:r>
              <w:rPr>
                <w:rFonts w:eastAsia="仿宋_GB2312"/>
                <w:kern w:val="0"/>
                <w:szCs w:val="21"/>
              </w:rPr>
              <w:t>横塘港</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71.766</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0.7177</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262.662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eastAsia="仿宋_GB2312"/>
                <w:kern w:val="0"/>
                <w:szCs w:val="21"/>
              </w:rPr>
              <w:t>湖州南浔嘉诚水质净化有限公司</w:t>
            </w:r>
          </w:p>
        </w:tc>
        <w:tc>
          <w:tcPr>
            <w:tcW w:w="415" w:type="pct"/>
            <w:vAlign w:val="center"/>
          </w:tcPr>
          <w:p>
            <w:pPr>
              <w:widowControl/>
              <w:jc w:val="center"/>
              <w:rPr>
                <w:rFonts w:eastAsia="仿宋_GB2312"/>
                <w:kern w:val="0"/>
                <w:szCs w:val="21"/>
              </w:rPr>
            </w:pPr>
            <w:r>
              <w:rPr>
                <w:rFonts w:eastAsia="仿宋_GB2312"/>
                <w:kern w:val="0"/>
                <w:szCs w:val="21"/>
              </w:rPr>
              <w:t>菱湖</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4</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A2/O</w:t>
            </w:r>
          </w:p>
        </w:tc>
        <w:tc>
          <w:tcPr>
            <w:tcW w:w="500" w:type="pct"/>
            <w:shd w:val="clear" w:color="auto" w:fill="auto"/>
            <w:vAlign w:val="center"/>
          </w:tcPr>
          <w:p>
            <w:pPr>
              <w:widowControl/>
              <w:jc w:val="center"/>
              <w:rPr>
                <w:rFonts w:eastAsia="仿宋_GB2312"/>
                <w:kern w:val="0"/>
                <w:szCs w:val="21"/>
              </w:rPr>
            </w:pPr>
            <w:r>
              <w:rPr>
                <w:rFonts w:eastAsia="仿宋_GB2312"/>
                <w:kern w:val="0"/>
                <w:szCs w:val="21"/>
              </w:rPr>
              <w:t>龙溪港</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68.248</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2.7299</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999.147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eastAsia="仿宋_GB2312"/>
                <w:kern w:val="0"/>
                <w:szCs w:val="21"/>
              </w:rPr>
              <w:t>湖州南浔城投千金污水处理有限公司</w:t>
            </w:r>
          </w:p>
        </w:tc>
        <w:tc>
          <w:tcPr>
            <w:tcW w:w="415" w:type="pct"/>
            <w:vAlign w:val="center"/>
          </w:tcPr>
          <w:p>
            <w:pPr>
              <w:widowControl/>
              <w:jc w:val="center"/>
              <w:rPr>
                <w:rFonts w:eastAsia="仿宋_GB2312"/>
                <w:kern w:val="0"/>
                <w:szCs w:val="21"/>
              </w:rPr>
            </w:pPr>
            <w:r>
              <w:rPr>
                <w:rFonts w:eastAsia="仿宋_GB2312"/>
                <w:kern w:val="0"/>
                <w:szCs w:val="21"/>
              </w:rPr>
              <w:t>千金</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0.6</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活性污泥法</w:t>
            </w:r>
          </w:p>
        </w:tc>
        <w:tc>
          <w:tcPr>
            <w:tcW w:w="500" w:type="pct"/>
            <w:shd w:val="clear" w:color="auto" w:fill="auto"/>
            <w:vAlign w:val="center"/>
          </w:tcPr>
          <w:p>
            <w:pPr>
              <w:widowControl/>
              <w:jc w:val="center"/>
              <w:rPr>
                <w:rFonts w:eastAsia="仿宋_GB2312"/>
                <w:kern w:val="0"/>
                <w:szCs w:val="21"/>
              </w:rPr>
            </w:pPr>
            <w:r>
              <w:rPr>
                <w:rFonts w:eastAsia="仿宋_GB2312"/>
                <w:kern w:val="0"/>
                <w:szCs w:val="21"/>
              </w:rPr>
              <w:t>排塘港</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54.296</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0.3258</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115.65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eastAsia="仿宋_GB2312"/>
                <w:kern w:val="0"/>
                <w:szCs w:val="21"/>
              </w:rPr>
              <w:t>湖州环谐污水处理有限公司</w:t>
            </w:r>
          </w:p>
        </w:tc>
        <w:tc>
          <w:tcPr>
            <w:tcW w:w="415" w:type="pct"/>
            <w:vAlign w:val="center"/>
          </w:tcPr>
          <w:p>
            <w:pPr>
              <w:widowControl/>
              <w:jc w:val="center"/>
              <w:rPr>
                <w:rFonts w:eastAsia="仿宋_GB2312"/>
                <w:kern w:val="0"/>
                <w:szCs w:val="21"/>
              </w:rPr>
            </w:pPr>
            <w:r>
              <w:rPr>
                <w:rFonts w:eastAsia="仿宋_GB2312"/>
                <w:kern w:val="0"/>
                <w:szCs w:val="21"/>
              </w:rPr>
              <w:t>善琏</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1</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CAST</w:t>
            </w:r>
          </w:p>
        </w:tc>
        <w:tc>
          <w:tcPr>
            <w:tcW w:w="500" w:type="pct"/>
            <w:shd w:val="clear" w:color="auto" w:fill="auto"/>
            <w:vAlign w:val="center"/>
          </w:tcPr>
          <w:p>
            <w:pPr>
              <w:widowControl/>
              <w:jc w:val="center"/>
              <w:rPr>
                <w:rFonts w:eastAsia="仿宋_GB2312"/>
                <w:kern w:val="0"/>
                <w:szCs w:val="21"/>
              </w:rPr>
            </w:pPr>
            <w:r>
              <w:rPr>
                <w:rFonts w:eastAsia="仿宋_GB2312"/>
                <w:kern w:val="0"/>
                <w:szCs w:val="21"/>
              </w:rPr>
              <w:t>夹塘港</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59.666</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0.5967</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218.376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12" w:type="pct"/>
            <w:shd w:val="clear" w:color="auto" w:fill="auto"/>
            <w:noWrap/>
            <w:vAlign w:val="center"/>
          </w:tcPr>
          <w:p>
            <w:pPr>
              <w:widowControl/>
              <w:jc w:val="center"/>
              <w:rPr>
                <w:rFonts w:eastAsia="仿宋_GB2312"/>
                <w:kern w:val="0"/>
                <w:szCs w:val="21"/>
              </w:rPr>
            </w:pPr>
            <w:r>
              <w:rPr>
                <w:rFonts w:hint="eastAsia" w:eastAsia="仿宋_GB2312"/>
                <w:kern w:val="0"/>
                <w:szCs w:val="21"/>
              </w:rPr>
              <w:t>湖州南浔城投旧馆污水处理有限公司</w:t>
            </w:r>
          </w:p>
        </w:tc>
        <w:tc>
          <w:tcPr>
            <w:tcW w:w="415" w:type="pct"/>
            <w:vAlign w:val="center"/>
          </w:tcPr>
          <w:p>
            <w:pPr>
              <w:widowControl/>
              <w:jc w:val="center"/>
              <w:rPr>
                <w:rFonts w:eastAsia="仿宋_GB2312"/>
                <w:kern w:val="0"/>
                <w:szCs w:val="21"/>
              </w:rPr>
            </w:pPr>
            <w:r>
              <w:rPr>
                <w:rFonts w:eastAsia="仿宋_GB2312"/>
                <w:kern w:val="0"/>
                <w:szCs w:val="21"/>
              </w:rPr>
              <w:t>旧馆</w:t>
            </w:r>
          </w:p>
        </w:tc>
        <w:tc>
          <w:tcPr>
            <w:tcW w:w="499" w:type="pct"/>
            <w:shd w:val="clear" w:color="auto" w:fill="auto"/>
            <w:noWrap/>
            <w:vAlign w:val="center"/>
          </w:tcPr>
          <w:p>
            <w:pPr>
              <w:widowControl/>
              <w:jc w:val="center"/>
              <w:rPr>
                <w:rFonts w:eastAsia="仿宋_GB2312"/>
                <w:kern w:val="0"/>
                <w:szCs w:val="21"/>
              </w:rPr>
            </w:pPr>
            <w:r>
              <w:rPr>
                <w:rFonts w:eastAsia="仿宋_GB2312"/>
                <w:kern w:val="0"/>
                <w:szCs w:val="21"/>
              </w:rPr>
              <w:t>1.5</w:t>
            </w:r>
          </w:p>
        </w:tc>
        <w:tc>
          <w:tcPr>
            <w:tcW w:w="581" w:type="pct"/>
            <w:shd w:val="clear" w:color="auto" w:fill="auto"/>
            <w:noWrap/>
            <w:vAlign w:val="center"/>
          </w:tcPr>
          <w:p>
            <w:pPr>
              <w:widowControl/>
              <w:jc w:val="center"/>
              <w:rPr>
                <w:rFonts w:eastAsia="仿宋_GB2312"/>
                <w:kern w:val="0"/>
                <w:szCs w:val="21"/>
              </w:rPr>
            </w:pPr>
            <w:r>
              <w:rPr>
                <w:rFonts w:eastAsia="仿宋_GB2312"/>
                <w:kern w:val="0"/>
                <w:szCs w:val="21"/>
              </w:rPr>
              <w:t>A2/O</w:t>
            </w:r>
          </w:p>
        </w:tc>
        <w:tc>
          <w:tcPr>
            <w:tcW w:w="500" w:type="pct"/>
            <w:shd w:val="clear" w:color="auto" w:fill="auto"/>
            <w:vAlign w:val="center"/>
          </w:tcPr>
          <w:p>
            <w:pPr>
              <w:widowControl/>
              <w:jc w:val="center"/>
              <w:rPr>
                <w:rFonts w:eastAsia="仿宋_GB2312"/>
                <w:kern w:val="0"/>
                <w:szCs w:val="21"/>
              </w:rPr>
            </w:pPr>
            <w:r>
              <w:rPr>
                <w:rFonts w:hint="eastAsia" w:ascii="宋体" w:hAnsi="宋体" w:cs="宋体"/>
                <w:kern w:val="0"/>
                <w:szCs w:val="21"/>
              </w:rPr>
              <w:t>頔</w:t>
            </w:r>
            <w:r>
              <w:rPr>
                <w:rFonts w:hint="eastAsia" w:ascii="仿宋_GB2312" w:hAnsi="仿宋_GB2312" w:eastAsia="仿宋_GB2312" w:cs="仿宋_GB2312"/>
                <w:kern w:val="0"/>
                <w:szCs w:val="21"/>
              </w:rPr>
              <w:t>塘</w:t>
            </w:r>
          </w:p>
        </w:tc>
        <w:tc>
          <w:tcPr>
            <w:tcW w:w="581" w:type="pct"/>
            <w:shd w:val="clear" w:color="auto" w:fill="auto"/>
            <w:vAlign w:val="center"/>
          </w:tcPr>
          <w:p>
            <w:pPr>
              <w:widowControl/>
              <w:jc w:val="center"/>
              <w:rPr>
                <w:rFonts w:eastAsia="仿宋_GB2312"/>
                <w:kern w:val="0"/>
                <w:szCs w:val="21"/>
              </w:rPr>
            </w:pPr>
            <w:r>
              <w:rPr>
                <w:rFonts w:eastAsia="仿宋_GB2312"/>
                <w:kern w:val="0"/>
                <w:szCs w:val="21"/>
              </w:rPr>
              <w:t>69.058</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1.0359</w:t>
            </w:r>
          </w:p>
        </w:tc>
        <w:tc>
          <w:tcPr>
            <w:tcW w:w="529" w:type="pct"/>
            <w:shd w:val="clear" w:color="auto" w:fill="auto"/>
            <w:noWrap/>
            <w:vAlign w:val="center"/>
          </w:tcPr>
          <w:p>
            <w:pPr>
              <w:widowControl/>
              <w:jc w:val="center"/>
              <w:rPr>
                <w:rFonts w:eastAsia="仿宋_GB2312"/>
                <w:kern w:val="0"/>
                <w:szCs w:val="21"/>
              </w:rPr>
            </w:pPr>
            <w:r>
              <w:rPr>
                <w:rFonts w:eastAsia="仿宋_GB2312"/>
                <w:kern w:val="0"/>
                <w:szCs w:val="21"/>
              </w:rPr>
              <w:t>190.6</w:t>
            </w:r>
          </w:p>
        </w:tc>
      </w:tr>
    </w:tbl>
    <w:p>
      <w:pPr>
        <w:spacing w:line="560" w:lineRule="exact"/>
        <w:ind w:firstLine="602" w:firstLineChars="200"/>
        <w:rPr>
          <w:rFonts w:eastAsia="楷体"/>
          <w:b/>
          <w:bCs/>
          <w:sz w:val="30"/>
          <w:szCs w:val="30"/>
        </w:rPr>
      </w:pPr>
    </w:p>
    <w:p>
      <w:pPr>
        <w:spacing w:line="560" w:lineRule="exact"/>
        <w:ind w:firstLine="602" w:firstLineChars="200"/>
        <w:rPr>
          <w:rFonts w:eastAsia="仿宋_GB2312"/>
          <w:color w:val="FF0000"/>
          <w:sz w:val="30"/>
          <w:szCs w:val="30"/>
          <w:u w:val="single"/>
        </w:rPr>
      </w:pPr>
      <w:r>
        <w:rPr>
          <w:rFonts w:eastAsia="楷体"/>
          <w:b/>
          <w:bCs/>
          <w:sz w:val="30"/>
          <w:szCs w:val="30"/>
        </w:rPr>
        <w:t>执行标准方面，</w:t>
      </w:r>
      <w:r>
        <w:rPr>
          <w:rFonts w:eastAsia="仿宋_GB2312"/>
          <w:sz w:val="30"/>
          <w:szCs w:val="30"/>
        </w:rPr>
        <w:t>2018年底，南浔区全部城镇污水处理厂执行《城镇污水处理厂污染物排放标准》（GB18918-2002）一级A标准。2019年1月1日实施《城镇污水处理厂主要水污染物排放标准》（DB33/2169-2018）要求新建城镇污水处理厂化学需氧量、氨氮、总氮、总磷分别达到40毫克/升、2（4）毫克/升、12（15）毫克/升、0.3毫克/升，现有城镇污水处理厂化学需氧量、氨氮、总氮、总磷分别达到30毫克/升、1.5（3）毫克/升、10（12）毫克/升、0.3毫克/升，提出了更高要求，全区污水处理厂开始启动清洁排放提标改造工作。</w:t>
      </w:r>
    </w:p>
    <w:p>
      <w:pPr>
        <w:spacing w:line="560" w:lineRule="exact"/>
        <w:ind w:firstLine="602" w:firstLineChars="200"/>
        <w:rPr>
          <w:rFonts w:eastAsia="仿宋_GB2312"/>
          <w:sz w:val="30"/>
          <w:szCs w:val="30"/>
        </w:rPr>
      </w:pPr>
      <w:r>
        <w:rPr>
          <w:rFonts w:eastAsia="楷体"/>
          <w:b/>
          <w:bCs/>
          <w:sz w:val="30"/>
          <w:szCs w:val="30"/>
        </w:rPr>
        <w:t>管网建设方面，</w:t>
      </w:r>
      <w:r>
        <w:rPr>
          <w:rFonts w:eastAsia="仿宋_GB2312"/>
          <w:sz w:val="30"/>
          <w:szCs w:val="30"/>
        </w:rPr>
        <w:t>截至2020年底，南浔区已经建成610.32公里，建成区</w:t>
      </w:r>
      <w:r>
        <w:rPr>
          <w:rFonts w:hint="eastAsia" w:eastAsia="仿宋_GB2312"/>
          <w:sz w:val="30"/>
          <w:szCs w:val="30"/>
        </w:rPr>
        <w:t>污水</w:t>
      </w:r>
      <w:r>
        <w:rPr>
          <w:rFonts w:eastAsia="仿宋_GB2312"/>
          <w:sz w:val="30"/>
          <w:szCs w:val="30"/>
        </w:rPr>
        <w:t>管道密度16.81公里/平方公里，远高于全国（9.51公里/平方公里）和浙江省（13.07公里/平方公里）平均水平。然而，根据实地调研情况情况，全区雨污不分、雨污混排的现象仍有存在，特别是老城区、老旧小区等，由于市政管网长期缺乏养护、年久失修，存在淤堵、破损、渗漏现象。根据各污水处理厂水质监测报告，2020年，南浔区城镇污水处理厂COD</w:t>
      </w:r>
      <w:r>
        <w:rPr>
          <w:rFonts w:eastAsia="仿宋_GB2312"/>
          <w:sz w:val="30"/>
          <w:szCs w:val="30"/>
          <w:vertAlign w:val="subscript"/>
        </w:rPr>
        <w:t>Cr</w:t>
      </w:r>
      <w:r>
        <w:rPr>
          <w:rFonts w:eastAsia="仿宋_GB2312"/>
          <w:sz w:val="30"/>
          <w:szCs w:val="30"/>
        </w:rPr>
        <w:t>进水浓度在139.5～270.9毫克/升之间波动；BOD</w:t>
      </w:r>
      <w:r>
        <w:rPr>
          <w:rFonts w:eastAsia="仿宋_GB2312"/>
          <w:sz w:val="30"/>
          <w:szCs w:val="30"/>
          <w:vertAlign w:val="subscript"/>
        </w:rPr>
        <w:t>5</w:t>
      </w:r>
      <w:r>
        <w:rPr>
          <w:rFonts w:eastAsia="仿宋_GB2312"/>
          <w:sz w:val="30"/>
          <w:szCs w:val="30"/>
        </w:rPr>
        <w:t>进水浓度整体偏低，在调取的6座城镇污水处理厂进水水质报表中，有5座污水处理厂的进水BOD</w:t>
      </w:r>
      <w:r>
        <w:rPr>
          <w:rFonts w:eastAsia="仿宋_GB2312"/>
          <w:sz w:val="30"/>
          <w:szCs w:val="30"/>
          <w:vertAlign w:val="subscript"/>
        </w:rPr>
        <w:t>5</w:t>
      </w:r>
      <w:r>
        <w:rPr>
          <w:rFonts w:eastAsia="仿宋_GB2312"/>
          <w:sz w:val="30"/>
          <w:szCs w:val="30"/>
        </w:rPr>
        <w:t>浓度小于100毫克/升，占比83.3%。</w:t>
      </w:r>
    </w:p>
    <w:p>
      <w:pPr>
        <w:jc w:val="center"/>
        <w:rPr>
          <w:rFonts w:eastAsia="黑体"/>
          <w:sz w:val="30"/>
          <w:szCs w:val="30"/>
        </w:rPr>
      </w:pPr>
      <w:r>
        <w:rPr>
          <w:rFonts w:eastAsia="黑体"/>
          <w:sz w:val="30"/>
          <w:szCs w:val="30"/>
        </w:rPr>
        <w:t>表</w:t>
      </w:r>
      <w:r>
        <w:rPr>
          <w:rFonts w:hint="eastAsia" w:eastAsia="黑体"/>
          <w:sz w:val="30"/>
          <w:szCs w:val="30"/>
        </w:rPr>
        <w:t>1-7</w:t>
      </w:r>
      <w:r>
        <w:rPr>
          <w:rFonts w:eastAsia="黑体"/>
          <w:sz w:val="30"/>
          <w:szCs w:val="30"/>
        </w:rPr>
        <w:t xml:space="preserve">  南浔区城镇配套污水管网建设统计表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75"/>
        <w:gridCol w:w="1133"/>
        <w:gridCol w:w="994"/>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13"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序号</w:t>
            </w:r>
          </w:p>
        </w:tc>
        <w:tc>
          <w:tcPr>
            <w:tcW w:w="748"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所属乡镇（街道）</w:t>
            </w:r>
          </w:p>
        </w:tc>
        <w:tc>
          <w:tcPr>
            <w:tcW w:w="665"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已建</w:t>
            </w:r>
          </w:p>
          <w:p>
            <w:pPr>
              <w:widowControl/>
              <w:jc w:val="center"/>
              <w:rPr>
                <w:rFonts w:eastAsia="仿宋_GB2312"/>
                <w:b/>
                <w:color w:val="000000"/>
                <w:kern w:val="0"/>
                <w:szCs w:val="21"/>
              </w:rPr>
            </w:pPr>
            <w:r>
              <w:rPr>
                <w:rFonts w:eastAsia="仿宋_GB2312"/>
                <w:b/>
                <w:color w:val="000000"/>
                <w:kern w:val="0"/>
                <w:szCs w:val="21"/>
              </w:rPr>
              <w:t>（公里）</w:t>
            </w:r>
          </w:p>
        </w:tc>
        <w:tc>
          <w:tcPr>
            <w:tcW w:w="583"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在建</w:t>
            </w:r>
          </w:p>
          <w:p>
            <w:pPr>
              <w:widowControl/>
              <w:jc w:val="center"/>
              <w:rPr>
                <w:rFonts w:eastAsia="仿宋_GB2312"/>
                <w:b/>
                <w:color w:val="000000"/>
                <w:kern w:val="0"/>
                <w:szCs w:val="21"/>
              </w:rPr>
            </w:pPr>
            <w:r>
              <w:rPr>
                <w:rFonts w:eastAsia="仿宋_GB2312"/>
                <w:b/>
                <w:color w:val="000000"/>
                <w:kern w:val="0"/>
                <w:szCs w:val="21"/>
              </w:rPr>
              <w:t>（公里）</w:t>
            </w:r>
          </w:p>
        </w:tc>
        <w:tc>
          <w:tcPr>
            <w:tcW w:w="2691"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1</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开发区</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134.97</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1.5</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东迁街道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2</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南浔镇</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105</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南浔镇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3</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度假区</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35</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2.5</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度假区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4</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练市镇</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60</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练市工业园区、市政管网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5</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双林镇</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85</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3.5</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双林镇中心镇区、工业园区及莫蓉镇西集镇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6</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菱湖镇</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55</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2</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菱湖镇中心镇区、工业园区及集镇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7</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和孚镇</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61</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和孚镇区，长超集镇，重兆集镇，陶家墩工业园区，重兆工业园区，荻港集镇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8</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善琏镇</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33.5</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善琏集镇、含山集镇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9</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旧馆街道</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21</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旧馆集镇、临港工业平台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10</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千金镇</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14.9</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0.4</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千金镇区、排塘港两侧工业园区、朝阳片区工业企业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 w:type="pct"/>
            <w:shd w:val="clear" w:color="auto" w:fill="auto"/>
            <w:noWrap/>
            <w:vAlign w:val="center"/>
          </w:tcPr>
          <w:p>
            <w:pPr>
              <w:widowControl/>
              <w:jc w:val="center"/>
              <w:rPr>
                <w:rFonts w:eastAsia="仿宋_GB2312"/>
                <w:kern w:val="0"/>
                <w:szCs w:val="21"/>
              </w:rPr>
            </w:pPr>
            <w:r>
              <w:rPr>
                <w:rFonts w:eastAsia="仿宋_GB2312"/>
                <w:kern w:val="0"/>
                <w:szCs w:val="21"/>
              </w:rPr>
              <w:t>11</w:t>
            </w:r>
          </w:p>
        </w:tc>
        <w:tc>
          <w:tcPr>
            <w:tcW w:w="748" w:type="pct"/>
            <w:shd w:val="clear" w:color="auto" w:fill="auto"/>
            <w:noWrap/>
            <w:vAlign w:val="center"/>
          </w:tcPr>
          <w:p>
            <w:pPr>
              <w:widowControl/>
              <w:jc w:val="center"/>
              <w:rPr>
                <w:rFonts w:eastAsia="仿宋_GB2312"/>
                <w:kern w:val="0"/>
                <w:szCs w:val="21"/>
              </w:rPr>
            </w:pPr>
            <w:r>
              <w:rPr>
                <w:rFonts w:eastAsia="仿宋_GB2312"/>
                <w:kern w:val="0"/>
                <w:szCs w:val="21"/>
              </w:rPr>
              <w:t>石淙镇</w:t>
            </w:r>
          </w:p>
        </w:tc>
        <w:tc>
          <w:tcPr>
            <w:tcW w:w="665" w:type="pct"/>
            <w:shd w:val="clear" w:color="auto" w:fill="auto"/>
            <w:noWrap/>
            <w:vAlign w:val="center"/>
          </w:tcPr>
          <w:p>
            <w:pPr>
              <w:widowControl/>
              <w:jc w:val="center"/>
              <w:rPr>
                <w:rFonts w:eastAsia="仿宋_GB2312"/>
                <w:kern w:val="0"/>
                <w:szCs w:val="21"/>
              </w:rPr>
            </w:pPr>
            <w:r>
              <w:rPr>
                <w:rFonts w:eastAsia="仿宋_GB2312"/>
                <w:kern w:val="0"/>
                <w:szCs w:val="21"/>
              </w:rPr>
              <w:t>4.95</w:t>
            </w:r>
          </w:p>
        </w:tc>
        <w:tc>
          <w:tcPr>
            <w:tcW w:w="583" w:type="pct"/>
            <w:shd w:val="clear" w:color="auto" w:fill="auto"/>
            <w:noWrap/>
            <w:vAlign w:val="center"/>
          </w:tcPr>
          <w:p>
            <w:pPr>
              <w:widowControl/>
              <w:jc w:val="center"/>
              <w:rPr>
                <w:rFonts w:eastAsia="仿宋_GB2312"/>
                <w:kern w:val="0"/>
                <w:szCs w:val="21"/>
              </w:rPr>
            </w:pPr>
            <w:r>
              <w:rPr>
                <w:rFonts w:eastAsia="仿宋_GB2312"/>
                <w:kern w:val="0"/>
                <w:szCs w:val="21"/>
              </w:rPr>
              <w:t>0</w:t>
            </w:r>
          </w:p>
        </w:tc>
        <w:tc>
          <w:tcPr>
            <w:tcW w:w="2691" w:type="pct"/>
            <w:shd w:val="clear" w:color="auto" w:fill="auto"/>
            <w:vAlign w:val="center"/>
          </w:tcPr>
          <w:p>
            <w:pPr>
              <w:widowControl/>
              <w:jc w:val="center"/>
              <w:rPr>
                <w:rFonts w:eastAsia="仿宋_GB2312"/>
                <w:kern w:val="0"/>
                <w:szCs w:val="21"/>
              </w:rPr>
            </w:pPr>
            <w:r>
              <w:rPr>
                <w:rFonts w:eastAsia="仿宋_GB2312"/>
                <w:kern w:val="0"/>
                <w:szCs w:val="21"/>
              </w:rPr>
              <w:t>敬塘路、石淙全镇新农村建设小区</w:t>
            </w:r>
          </w:p>
        </w:tc>
      </w:tr>
    </w:tbl>
    <w:p>
      <w:pPr>
        <w:adjustRightInd w:val="0"/>
        <w:jc w:val="center"/>
        <w:rPr>
          <w:rFonts w:eastAsia="黑体"/>
          <w:sz w:val="28"/>
          <w:szCs w:val="28"/>
        </w:rPr>
      </w:pPr>
      <w:r>
        <w:rPr>
          <w:rFonts w:eastAsia="黑体"/>
          <w:sz w:val="28"/>
          <w:szCs w:val="28"/>
        </w:rPr>
        <w:t>表</w:t>
      </w:r>
      <w:r>
        <w:rPr>
          <w:rFonts w:hint="eastAsia" w:eastAsia="黑体"/>
          <w:sz w:val="28"/>
          <w:szCs w:val="28"/>
        </w:rPr>
        <w:t>1-8</w:t>
      </w:r>
      <w:r>
        <w:rPr>
          <w:rFonts w:eastAsia="黑体"/>
          <w:sz w:val="28"/>
          <w:szCs w:val="28"/>
        </w:rPr>
        <w:t xml:space="preserve">  污水处理厂进水浓度信息</w:t>
      </w:r>
    </w:p>
    <w:tbl>
      <w:tblPr>
        <w:tblStyle w:val="29"/>
        <w:tblW w:w="5053"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07"/>
        <w:gridCol w:w="1405"/>
        <w:gridCol w:w="681"/>
        <w:gridCol w:w="680"/>
        <w:gridCol w:w="680"/>
        <w:gridCol w:w="680"/>
        <w:gridCol w:w="680"/>
        <w:gridCol w:w="680"/>
        <w:gridCol w:w="680"/>
        <w:gridCol w:w="680"/>
        <w:gridCol w:w="680"/>
        <w:gridCol w:w="6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236" w:type="pct"/>
            <w:vMerge w:val="restar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序号</w:t>
            </w:r>
          </w:p>
        </w:tc>
        <w:tc>
          <w:tcPr>
            <w:tcW w:w="815" w:type="pct"/>
            <w:vMerge w:val="restar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污水厂名称</w:t>
            </w:r>
          </w:p>
        </w:tc>
        <w:tc>
          <w:tcPr>
            <w:tcW w:w="1975" w:type="pct"/>
            <w:gridSpan w:val="5"/>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BOD</w:t>
            </w:r>
            <w:r>
              <w:rPr>
                <w:rFonts w:eastAsia="仿宋_GB2312"/>
                <w:b/>
                <w:color w:val="000000"/>
                <w:kern w:val="0"/>
                <w:szCs w:val="21"/>
                <w:vertAlign w:val="subscript"/>
              </w:rPr>
              <w:t>5</w:t>
            </w:r>
            <w:r>
              <w:rPr>
                <w:rFonts w:eastAsia="仿宋_GB2312"/>
                <w:b/>
                <w:color w:val="000000"/>
                <w:kern w:val="0"/>
                <w:szCs w:val="21"/>
              </w:rPr>
              <w:t>平均进水浓度（毫克/升)</w:t>
            </w:r>
          </w:p>
        </w:tc>
        <w:tc>
          <w:tcPr>
            <w:tcW w:w="1975" w:type="pct"/>
            <w:gridSpan w:val="5"/>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COD平均进水浓度（毫克/升)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236" w:type="pct"/>
            <w:vMerge w:val="continue"/>
            <w:vAlign w:val="center"/>
          </w:tcPr>
          <w:p>
            <w:pPr>
              <w:widowControl/>
              <w:jc w:val="center"/>
              <w:rPr>
                <w:rFonts w:eastAsia="仿宋_GB2312"/>
                <w:b/>
                <w:color w:val="000000"/>
                <w:kern w:val="0"/>
                <w:szCs w:val="21"/>
              </w:rPr>
            </w:pPr>
          </w:p>
        </w:tc>
        <w:tc>
          <w:tcPr>
            <w:tcW w:w="815" w:type="pct"/>
            <w:vMerge w:val="continue"/>
            <w:vAlign w:val="center"/>
          </w:tcPr>
          <w:p>
            <w:pPr>
              <w:widowControl/>
              <w:jc w:val="center"/>
              <w:rPr>
                <w:rFonts w:eastAsia="仿宋_GB2312"/>
                <w:b/>
                <w:color w:val="000000"/>
                <w:kern w:val="0"/>
                <w:szCs w:val="21"/>
              </w:rPr>
            </w:pP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2016年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2017年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2018年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2019年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2020年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2016年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2017年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2018年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2019年</w:t>
            </w:r>
          </w:p>
        </w:tc>
        <w:tc>
          <w:tcPr>
            <w:tcW w:w="395"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2020年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236" w:type="pct"/>
            <w:shd w:val="clear" w:color="auto" w:fill="auto"/>
            <w:vAlign w:val="center"/>
          </w:tcPr>
          <w:p>
            <w:pPr>
              <w:widowControl/>
              <w:jc w:val="center"/>
              <w:rPr>
                <w:color w:val="000000"/>
                <w:kern w:val="0"/>
                <w:szCs w:val="21"/>
              </w:rPr>
            </w:pPr>
            <w:r>
              <w:rPr>
                <w:color w:val="000000"/>
                <w:kern w:val="0"/>
                <w:szCs w:val="21"/>
              </w:rPr>
              <w:t>1</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南浔振浔污水处理厂</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41.1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59.9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47.8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60.1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84.9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245.7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259.1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201.3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287.8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241.1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236" w:type="pct"/>
            <w:shd w:val="clear" w:color="auto" w:fill="auto"/>
            <w:vAlign w:val="center"/>
          </w:tcPr>
          <w:p>
            <w:pPr>
              <w:widowControl/>
              <w:jc w:val="center"/>
              <w:rPr>
                <w:color w:val="000000"/>
                <w:kern w:val="0"/>
                <w:szCs w:val="21"/>
              </w:rPr>
            </w:pPr>
            <w:r>
              <w:rPr>
                <w:color w:val="000000"/>
                <w:kern w:val="0"/>
                <w:szCs w:val="21"/>
              </w:rPr>
              <w:t>2</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湖州市练市污水处理厂</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60.8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48.6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93.6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79.5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70.1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290.4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229.2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202.8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183.4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173.3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236" w:type="pct"/>
            <w:shd w:val="clear" w:color="auto" w:fill="auto"/>
            <w:vAlign w:val="center"/>
          </w:tcPr>
          <w:p>
            <w:pPr>
              <w:widowControl/>
              <w:jc w:val="center"/>
              <w:rPr>
                <w:color w:val="000000"/>
                <w:kern w:val="0"/>
                <w:szCs w:val="21"/>
              </w:rPr>
            </w:pPr>
            <w:r>
              <w:rPr>
                <w:color w:val="000000"/>
                <w:kern w:val="0"/>
                <w:szCs w:val="21"/>
              </w:rPr>
              <w:t>3</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湖州南浔双林污水处理厂</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191.7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229.1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242.1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180.1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188.5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236" w:type="pct"/>
            <w:shd w:val="clear" w:color="auto" w:fill="auto"/>
            <w:vAlign w:val="center"/>
          </w:tcPr>
          <w:p>
            <w:pPr>
              <w:widowControl/>
              <w:jc w:val="center"/>
              <w:rPr>
                <w:color w:val="000000"/>
                <w:kern w:val="0"/>
                <w:szCs w:val="21"/>
              </w:rPr>
            </w:pPr>
            <w:r>
              <w:rPr>
                <w:color w:val="000000"/>
                <w:kern w:val="0"/>
                <w:szCs w:val="21"/>
              </w:rPr>
              <w:t>4</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湖州和孚污水处理</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302.6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362.8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270.9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236" w:type="pct"/>
            <w:shd w:val="clear" w:color="auto" w:fill="auto"/>
            <w:vAlign w:val="center"/>
          </w:tcPr>
          <w:p>
            <w:pPr>
              <w:widowControl/>
              <w:jc w:val="center"/>
              <w:rPr>
                <w:color w:val="000000"/>
                <w:kern w:val="0"/>
                <w:szCs w:val="21"/>
              </w:rPr>
            </w:pPr>
            <w:r>
              <w:rPr>
                <w:color w:val="000000"/>
                <w:kern w:val="0"/>
                <w:szCs w:val="21"/>
              </w:rPr>
              <w:t>5</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南浔石淙污水处理厂</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320.4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237.1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202.7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202.4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155.6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236" w:type="pct"/>
            <w:shd w:val="clear" w:color="auto" w:fill="auto"/>
            <w:vAlign w:val="center"/>
          </w:tcPr>
          <w:p>
            <w:pPr>
              <w:widowControl/>
              <w:jc w:val="center"/>
              <w:rPr>
                <w:color w:val="000000"/>
                <w:kern w:val="0"/>
                <w:szCs w:val="21"/>
              </w:rPr>
            </w:pPr>
            <w:r>
              <w:rPr>
                <w:color w:val="000000"/>
                <w:kern w:val="0"/>
                <w:szCs w:val="21"/>
              </w:rPr>
              <w:t>6</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菱湖镇污水处理工程</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158.3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140.7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129.5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139.6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98.3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519.1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486.5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367.4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369.5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252.2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236" w:type="pct"/>
            <w:shd w:val="clear" w:color="auto" w:fill="auto"/>
            <w:vAlign w:val="center"/>
          </w:tcPr>
          <w:p>
            <w:pPr>
              <w:widowControl/>
              <w:jc w:val="center"/>
              <w:rPr>
                <w:color w:val="000000"/>
                <w:kern w:val="0"/>
                <w:szCs w:val="21"/>
              </w:rPr>
            </w:pPr>
            <w:r>
              <w:rPr>
                <w:color w:val="000000"/>
                <w:kern w:val="0"/>
                <w:szCs w:val="21"/>
              </w:rPr>
              <w:t>7</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湖州千金镇污水处理厂</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50.5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54.0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34.1 </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320.8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260.3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179.5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236" w:type="pct"/>
            <w:shd w:val="clear" w:color="auto" w:fill="auto"/>
            <w:vAlign w:val="center"/>
          </w:tcPr>
          <w:p>
            <w:pPr>
              <w:widowControl/>
              <w:jc w:val="center"/>
              <w:rPr>
                <w:color w:val="000000"/>
                <w:kern w:val="0"/>
                <w:szCs w:val="21"/>
              </w:rPr>
            </w:pPr>
            <w:r>
              <w:rPr>
                <w:color w:val="000000"/>
                <w:kern w:val="0"/>
                <w:szCs w:val="21"/>
              </w:rPr>
              <w:t>8</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南浔善琏污水处理厂</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29.3 </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188.4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186.8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167.4 </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139.5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236" w:type="pct"/>
            <w:shd w:val="clear" w:color="auto" w:fill="auto"/>
            <w:vAlign w:val="center"/>
          </w:tcPr>
          <w:p>
            <w:pPr>
              <w:widowControl/>
              <w:jc w:val="center"/>
              <w:rPr>
                <w:color w:val="000000"/>
                <w:kern w:val="0"/>
                <w:szCs w:val="21"/>
              </w:rPr>
            </w:pPr>
            <w:r>
              <w:rPr>
                <w:color w:val="000000"/>
                <w:kern w:val="0"/>
                <w:szCs w:val="21"/>
              </w:rPr>
              <w:t>9</w:t>
            </w:r>
          </w:p>
        </w:tc>
        <w:tc>
          <w:tcPr>
            <w:tcW w:w="815" w:type="pct"/>
            <w:shd w:val="clear" w:color="auto" w:fill="auto"/>
            <w:vAlign w:val="center"/>
          </w:tcPr>
          <w:p>
            <w:pPr>
              <w:widowControl/>
              <w:jc w:val="center"/>
              <w:rPr>
                <w:rFonts w:eastAsia="仿宋_GB2312"/>
                <w:color w:val="000000"/>
                <w:kern w:val="0"/>
                <w:sz w:val="18"/>
                <w:szCs w:val="18"/>
              </w:rPr>
            </w:pPr>
            <w:r>
              <w:rPr>
                <w:rFonts w:eastAsia="仿宋_GB2312"/>
                <w:color w:val="000000"/>
                <w:kern w:val="0"/>
                <w:sz w:val="18"/>
                <w:szCs w:val="18"/>
              </w:rPr>
              <w:t>南浔旧馆污水处理厂</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104.7 </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w:t>
            </w:r>
          </w:p>
        </w:tc>
        <w:tc>
          <w:tcPr>
            <w:tcW w:w="395" w:type="pct"/>
            <w:shd w:val="clear" w:color="000000" w:fill="FFFFFF"/>
            <w:vAlign w:val="center"/>
          </w:tcPr>
          <w:p>
            <w:pPr>
              <w:widowControl/>
              <w:jc w:val="center"/>
              <w:rPr>
                <w:color w:val="000000"/>
                <w:kern w:val="0"/>
                <w:sz w:val="18"/>
                <w:szCs w:val="18"/>
              </w:rPr>
            </w:pPr>
            <w:r>
              <w:rPr>
                <w:color w:val="000000"/>
                <w:sz w:val="18"/>
                <w:szCs w:val="18"/>
              </w:rPr>
              <w:t xml:space="preserve">164.2 </w:t>
            </w:r>
          </w:p>
        </w:tc>
      </w:tr>
    </w:tbl>
    <w:p>
      <w:pPr>
        <w:ind w:firstLine="602" w:firstLineChars="200"/>
        <w:rPr>
          <w:rFonts w:hint="eastAsia" w:ascii="宋体" w:hAnsi="宋体" w:cs="宋体"/>
          <w:b/>
          <w:sz w:val="30"/>
          <w:szCs w:val="30"/>
        </w:rPr>
      </w:pPr>
    </w:p>
    <w:p>
      <w:pPr>
        <w:ind w:firstLine="602" w:firstLineChars="200"/>
        <w:rPr>
          <w:rFonts w:eastAsia="仿宋_GB2312"/>
          <w:b/>
          <w:sz w:val="30"/>
          <w:szCs w:val="30"/>
        </w:rPr>
      </w:pPr>
      <w:r>
        <w:rPr>
          <w:rFonts w:hint="eastAsia" w:ascii="宋体" w:hAnsi="宋体" w:cs="宋体"/>
          <w:b/>
          <w:sz w:val="30"/>
          <w:szCs w:val="30"/>
        </w:rPr>
        <w:t>②</w:t>
      </w:r>
      <w:r>
        <w:rPr>
          <w:rFonts w:eastAsia="仿宋_GB2312"/>
          <w:b/>
          <w:sz w:val="30"/>
          <w:szCs w:val="30"/>
        </w:rPr>
        <w:t xml:space="preserve"> 农业农村</w:t>
      </w:r>
    </w:p>
    <w:p>
      <w:pPr>
        <w:spacing w:line="560" w:lineRule="exact"/>
        <w:ind w:firstLine="602" w:firstLineChars="200"/>
        <w:rPr>
          <w:rFonts w:eastAsia="仿宋_GB2312"/>
          <w:sz w:val="30"/>
          <w:szCs w:val="30"/>
        </w:rPr>
      </w:pPr>
      <w:r>
        <w:rPr>
          <w:rFonts w:eastAsia="楷体"/>
          <w:b/>
          <w:sz w:val="30"/>
          <w:szCs w:val="30"/>
        </w:rPr>
        <w:t>畜禽养殖污染防治方面，</w:t>
      </w:r>
      <w:r>
        <w:rPr>
          <w:rFonts w:eastAsia="仿宋_GB2312"/>
          <w:sz w:val="30"/>
          <w:szCs w:val="30"/>
        </w:rPr>
        <w:t>近年来，南浔区规模化畜禽养殖场个数逐年降低，2020年规模化畜禽养殖场个数为344，</w:t>
      </w:r>
      <w:r>
        <w:rPr>
          <w:rFonts w:hint="eastAsia" w:eastAsia="仿宋_GB2312"/>
          <w:sz w:val="30"/>
          <w:szCs w:val="30"/>
        </w:rPr>
        <w:t>其中规模化生猪养殖场21家，除南浔千金建伟养猪场、南浔云湖家庭农场和南浔等6家养殖场存栏量小于500头外，其余15家养殖场存栏量均在500头以上；养羊场120家，养鸡场203家。全区2020年</w:t>
      </w:r>
      <w:r>
        <w:rPr>
          <w:rFonts w:eastAsia="仿宋_GB2312"/>
          <w:sz w:val="30"/>
          <w:szCs w:val="30"/>
        </w:rPr>
        <w:t>畜禽粪便综合利用率99.18%（除湖州东新养殖有限公司粪污综合利用率为95.63%外，其余规模化畜禽养殖场均达到100%）。根据2017年南浔区第二次全国污染源普查数据，畜禽养殖业化学需氧量、氨氮、总氮、总磷的排放量分别为429.44吨、18.74吨、58.21吨、7.22吨。</w:t>
      </w:r>
    </w:p>
    <w:p>
      <w:pPr>
        <w:adjustRightInd w:val="0"/>
        <w:jc w:val="center"/>
        <w:rPr>
          <w:rFonts w:eastAsia="仿宋_GB2312"/>
          <w:sz w:val="30"/>
          <w:szCs w:val="30"/>
          <w:highlight w:val="yellow"/>
        </w:rPr>
      </w:pPr>
      <w:r>
        <w:rPr>
          <w:rFonts w:eastAsia="黑体"/>
          <w:sz w:val="28"/>
          <w:szCs w:val="28"/>
        </w:rPr>
        <w:t>表</w:t>
      </w:r>
      <w:r>
        <w:rPr>
          <w:rFonts w:hint="eastAsia" w:eastAsia="黑体"/>
          <w:sz w:val="28"/>
          <w:szCs w:val="28"/>
        </w:rPr>
        <w:t>1-9</w:t>
      </w:r>
      <w:r>
        <w:rPr>
          <w:rFonts w:eastAsia="黑体"/>
          <w:sz w:val="28"/>
          <w:szCs w:val="28"/>
        </w:rPr>
        <w:t xml:space="preserve">  南浔区规模化畜禽养殖场粪污综合利用率汇总表</w:t>
      </w:r>
    </w:p>
    <w:tbl>
      <w:tblPr>
        <w:tblStyle w:val="29"/>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73"/>
        <w:gridCol w:w="852"/>
        <w:gridCol w:w="1749"/>
        <w:gridCol w:w="1749"/>
        <w:gridCol w:w="1749"/>
        <w:gridCol w:w="17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395" w:type="pct"/>
            <w:tcBorders>
              <w:top w:val="single" w:color="auto" w:sz="4" w:space="0"/>
            </w:tcBorders>
            <w:vAlign w:val="center"/>
          </w:tcPr>
          <w:p>
            <w:pPr>
              <w:widowControl/>
              <w:jc w:val="center"/>
              <w:rPr>
                <w:rFonts w:eastAsia="仿宋_GB2312"/>
                <w:b/>
                <w:color w:val="000000"/>
                <w:kern w:val="0"/>
                <w:szCs w:val="21"/>
              </w:rPr>
            </w:pPr>
            <w:r>
              <w:rPr>
                <w:rFonts w:eastAsia="仿宋_GB2312"/>
                <w:b/>
                <w:color w:val="000000"/>
                <w:kern w:val="0"/>
                <w:szCs w:val="21"/>
              </w:rPr>
              <w:t>序号</w:t>
            </w:r>
          </w:p>
        </w:tc>
        <w:tc>
          <w:tcPr>
            <w:tcW w:w="500" w:type="pct"/>
            <w:tcBorders>
              <w:top w:val="single" w:color="auto" w:sz="4" w:space="0"/>
            </w:tcBorders>
            <w:vAlign w:val="center"/>
          </w:tcPr>
          <w:p>
            <w:pPr>
              <w:widowControl/>
              <w:jc w:val="center"/>
              <w:rPr>
                <w:rFonts w:eastAsia="仿宋_GB2312"/>
                <w:b/>
                <w:color w:val="000000"/>
                <w:kern w:val="0"/>
                <w:szCs w:val="21"/>
              </w:rPr>
            </w:pPr>
            <w:r>
              <w:rPr>
                <w:rFonts w:eastAsia="仿宋_GB2312"/>
                <w:b/>
                <w:color w:val="000000"/>
                <w:kern w:val="0"/>
                <w:szCs w:val="21"/>
              </w:rPr>
              <w:t>年份</w:t>
            </w:r>
          </w:p>
        </w:tc>
        <w:tc>
          <w:tcPr>
            <w:tcW w:w="1026"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规模化畜禽养殖场个数（个）</w:t>
            </w:r>
          </w:p>
        </w:tc>
        <w:tc>
          <w:tcPr>
            <w:tcW w:w="1026"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畜禽粪便产生量（吨）</w:t>
            </w:r>
          </w:p>
        </w:tc>
        <w:tc>
          <w:tcPr>
            <w:tcW w:w="1026"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畜禽粪便综合利用量（吨）</w:t>
            </w:r>
          </w:p>
        </w:tc>
        <w:tc>
          <w:tcPr>
            <w:tcW w:w="1026" w:type="pct"/>
            <w:shd w:val="clear" w:color="000000" w:fill="FFFFFF"/>
            <w:vAlign w:val="center"/>
          </w:tcPr>
          <w:p>
            <w:pPr>
              <w:widowControl/>
              <w:jc w:val="center"/>
              <w:rPr>
                <w:rFonts w:eastAsia="仿宋_GB2312"/>
                <w:b/>
                <w:color w:val="000000"/>
                <w:kern w:val="0"/>
                <w:szCs w:val="21"/>
              </w:rPr>
            </w:pPr>
            <w:r>
              <w:rPr>
                <w:rFonts w:eastAsia="仿宋_GB2312"/>
                <w:b/>
                <w:color w:val="000000"/>
                <w:kern w:val="0"/>
                <w:szCs w:val="21"/>
              </w:rPr>
              <w:t>畜禽粪污综合利用率（%）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395" w:type="pct"/>
            <w:tcBorders>
              <w:top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1</w:t>
            </w:r>
          </w:p>
        </w:tc>
        <w:tc>
          <w:tcPr>
            <w:tcW w:w="500" w:type="pct"/>
            <w:tcBorders>
              <w:top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2017</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513</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118457.75</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116822.73</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98.62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395" w:type="pct"/>
            <w:tcBorders>
              <w:top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2</w:t>
            </w:r>
          </w:p>
        </w:tc>
        <w:tc>
          <w:tcPr>
            <w:tcW w:w="500" w:type="pct"/>
            <w:tcBorders>
              <w:top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2018</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497</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115009.28</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116173.25</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395" w:type="pct"/>
            <w:tcBorders>
              <w:top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3</w:t>
            </w:r>
          </w:p>
        </w:tc>
        <w:tc>
          <w:tcPr>
            <w:tcW w:w="500" w:type="pct"/>
            <w:tcBorders>
              <w:top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2019</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370</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96383.25</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97355.45</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395" w:type="pct"/>
            <w:tcBorders>
              <w:top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4</w:t>
            </w:r>
          </w:p>
        </w:tc>
        <w:tc>
          <w:tcPr>
            <w:tcW w:w="500" w:type="pct"/>
            <w:tcBorders>
              <w:top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2020</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344</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162641.08</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163829.66</w:t>
            </w:r>
          </w:p>
        </w:tc>
        <w:tc>
          <w:tcPr>
            <w:tcW w:w="1026" w:type="pct"/>
            <w:shd w:val="clear" w:color="000000" w:fill="FFFFFF"/>
            <w:vAlign w:val="center"/>
          </w:tcPr>
          <w:p>
            <w:pPr>
              <w:widowControl/>
              <w:jc w:val="center"/>
              <w:rPr>
                <w:rFonts w:eastAsia="仿宋_GB2312"/>
                <w:color w:val="000000"/>
                <w:kern w:val="0"/>
                <w:szCs w:val="21"/>
              </w:rPr>
            </w:pPr>
            <w:r>
              <w:rPr>
                <w:rFonts w:eastAsia="仿宋_GB2312"/>
                <w:color w:val="000000"/>
                <w:kern w:val="0"/>
                <w:szCs w:val="21"/>
              </w:rPr>
              <w:t>99.18</w:t>
            </w:r>
          </w:p>
        </w:tc>
      </w:tr>
    </w:tbl>
    <w:p>
      <w:pPr>
        <w:spacing w:line="560" w:lineRule="exact"/>
        <w:ind w:firstLine="602" w:firstLineChars="200"/>
        <w:rPr>
          <w:rFonts w:eastAsia="仿宋_GB2312"/>
          <w:sz w:val="30"/>
          <w:szCs w:val="30"/>
        </w:rPr>
      </w:pPr>
      <w:r>
        <w:rPr>
          <w:rFonts w:eastAsia="楷体"/>
          <w:b/>
          <w:sz w:val="30"/>
          <w:szCs w:val="30"/>
        </w:rPr>
        <w:t>水产养殖污染防治方面，</w:t>
      </w:r>
      <w:r>
        <w:rPr>
          <w:rFonts w:eastAsia="楷体"/>
          <w:sz w:val="30"/>
          <w:szCs w:val="30"/>
        </w:rPr>
        <w:t>2015～</w:t>
      </w:r>
      <w:r>
        <w:rPr>
          <w:rFonts w:eastAsia="仿宋_GB2312"/>
          <w:sz w:val="30"/>
          <w:szCs w:val="30"/>
        </w:rPr>
        <w:t>2020年，南浔区淡水养殖面积持续递增，2020年淡水养殖面积为12636.4公顷，产量为185617.8吨，主要养殖种类为鲈鱼、黄颡鱼、青鱼、青虾、乌鳢、泥鳅。南浔区水产养殖尾水治理已基本实现全覆盖，工程治理、原位治理、退养面积合计187073亩。根据2017年南浔区第二次全国污染源普查数据，水产养殖业化学需氧量、氨氮、总氮、总磷的排放量分别为3220.14吨、192.03吨、459.63吨、71.11吨，其排放量分别占农业源排放量的88.23%、70.22%、43.73%、45.52%。</w:t>
      </w:r>
    </w:p>
    <w:p>
      <w:pPr>
        <w:jc w:val="center"/>
        <w:rPr>
          <w:rFonts w:eastAsia="黑体"/>
          <w:sz w:val="28"/>
          <w:szCs w:val="28"/>
        </w:rPr>
      </w:pPr>
      <w:r>
        <w:rPr>
          <w:rFonts w:eastAsia="黑体"/>
          <w:sz w:val="28"/>
          <w:szCs w:val="28"/>
        </w:rPr>
        <w:t>表</w:t>
      </w:r>
      <w:r>
        <w:rPr>
          <w:rFonts w:hint="eastAsia" w:eastAsia="黑体"/>
          <w:sz w:val="28"/>
          <w:szCs w:val="28"/>
        </w:rPr>
        <w:t>1-10</w:t>
      </w:r>
      <w:r>
        <w:rPr>
          <w:rFonts w:eastAsia="黑体"/>
          <w:sz w:val="28"/>
          <w:szCs w:val="28"/>
        </w:rPr>
        <w:t xml:space="preserve">  淡水养殖面积汇总</w:t>
      </w:r>
    </w:p>
    <w:tbl>
      <w:tblPr>
        <w:tblStyle w:val="30"/>
        <w:tblpPr w:leftFromText="180" w:rightFromText="180" w:vertAnchor="text" w:horzAnchor="margin" w:tblpXSpec="center" w:tblpY="9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966"/>
        <w:gridCol w:w="1047"/>
        <w:gridCol w:w="1048"/>
        <w:gridCol w:w="1048"/>
        <w:gridCol w:w="1048"/>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59" w:type="pct"/>
            <w:noWrap/>
            <w:vAlign w:val="center"/>
          </w:tcPr>
          <w:p>
            <w:pPr>
              <w:widowControl/>
              <w:jc w:val="center"/>
              <w:rPr>
                <w:rFonts w:eastAsia="仿宋_GB2312"/>
                <w:b/>
                <w:color w:val="000000"/>
                <w:kern w:val="0"/>
                <w:szCs w:val="21"/>
              </w:rPr>
            </w:pPr>
            <w:r>
              <w:rPr>
                <w:rFonts w:eastAsia="仿宋_GB2312"/>
                <w:b/>
                <w:color w:val="000000"/>
                <w:kern w:val="0"/>
                <w:szCs w:val="21"/>
              </w:rPr>
              <w:t>年份</w:t>
            </w:r>
          </w:p>
        </w:tc>
        <w:tc>
          <w:tcPr>
            <w:tcW w:w="567" w:type="pct"/>
            <w:vAlign w:val="center"/>
          </w:tcPr>
          <w:p>
            <w:pPr>
              <w:widowControl/>
              <w:jc w:val="center"/>
              <w:rPr>
                <w:rFonts w:eastAsia="仿宋_GB2312"/>
                <w:b/>
                <w:color w:val="000000"/>
                <w:kern w:val="0"/>
                <w:szCs w:val="21"/>
              </w:rPr>
            </w:pPr>
            <w:r>
              <w:rPr>
                <w:rFonts w:eastAsia="仿宋_GB2312"/>
                <w:b/>
                <w:color w:val="000000"/>
                <w:kern w:val="0"/>
                <w:szCs w:val="21"/>
              </w:rPr>
              <w:t>2015</w:t>
            </w:r>
          </w:p>
        </w:tc>
        <w:tc>
          <w:tcPr>
            <w:tcW w:w="614" w:type="pct"/>
            <w:vAlign w:val="center"/>
          </w:tcPr>
          <w:p>
            <w:pPr>
              <w:widowControl/>
              <w:jc w:val="center"/>
              <w:rPr>
                <w:rFonts w:eastAsia="仿宋_GB2312"/>
                <w:b/>
                <w:color w:val="000000"/>
                <w:kern w:val="0"/>
                <w:szCs w:val="21"/>
              </w:rPr>
            </w:pPr>
            <w:r>
              <w:rPr>
                <w:rFonts w:eastAsia="仿宋_GB2312"/>
                <w:b/>
                <w:color w:val="000000"/>
                <w:kern w:val="0"/>
                <w:szCs w:val="21"/>
              </w:rPr>
              <w:t>2016</w:t>
            </w:r>
          </w:p>
        </w:tc>
        <w:tc>
          <w:tcPr>
            <w:tcW w:w="615" w:type="pct"/>
          </w:tcPr>
          <w:p>
            <w:pPr>
              <w:widowControl/>
              <w:jc w:val="center"/>
              <w:rPr>
                <w:rFonts w:eastAsia="仿宋_GB2312"/>
                <w:b/>
                <w:color w:val="000000"/>
                <w:kern w:val="0"/>
                <w:szCs w:val="21"/>
              </w:rPr>
            </w:pPr>
            <w:r>
              <w:rPr>
                <w:rFonts w:eastAsia="仿宋_GB2312"/>
                <w:b/>
                <w:color w:val="000000"/>
                <w:kern w:val="0"/>
                <w:szCs w:val="21"/>
              </w:rPr>
              <w:t>2017</w:t>
            </w:r>
          </w:p>
        </w:tc>
        <w:tc>
          <w:tcPr>
            <w:tcW w:w="615" w:type="pct"/>
          </w:tcPr>
          <w:p>
            <w:pPr>
              <w:widowControl/>
              <w:jc w:val="center"/>
              <w:rPr>
                <w:rFonts w:eastAsia="仿宋_GB2312"/>
                <w:b/>
                <w:color w:val="000000"/>
                <w:kern w:val="0"/>
                <w:szCs w:val="21"/>
              </w:rPr>
            </w:pPr>
            <w:r>
              <w:rPr>
                <w:rFonts w:eastAsia="仿宋_GB2312"/>
                <w:b/>
                <w:color w:val="000000"/>
                <w:kern w:val="0"/>
                <w:szCs w:val="21"/>
              </w:rPr>
              <w:t>2018</w:t>
            </w:r>
          </w:p>
        </w:tc>
        <w:tc>
          <w:tcPr>
            <w:tcW w:w="615" w:type="pct"/>
          </w:tcPr>
          <w:p>
            <w:pPr>
              <w:widowControl/>
              <w:jc w:val="center"/>
              <w:rPr>
                <w:rFonts w:eastAsia="仿宋_GB2312"/>
                <w:b/>
                <w:color w:val="000000"/>
                <w:kern w:val="0"/>
                <w:szCs w:val="21"/>
              </w:rPr>
            </w:pPr>
            <w:r>
              <w:rPr>
                <w:rFonts w:eastAsia="仿宋_GB2312"/>
                <w:b/>
                <w:color w:val="000000"/>
                <w:kern w:val="0"/>
                <w:szCs w:val="21"/>
              </w:rPr>
              <w:t>2019</w:t>
            </w:r>
          </w:p>
        </w:tc>
        <w:tc>
          <w:tcPr>
            <w:tcW w:w="615" w:type="pct"/>
          </w:tcPr>
          <w:p>
            <w:pPr>
              <w:widowControl/>
              <w:jc w:val="center"/>
              <w:rPr>
                <w:rFonts w:eastAsia="仿宋_GB2312"/>
                <w:b/>
                <w:color w:val="000000"/>
                <w:kern w:val="0"/>
                <w:szCs w:val="21"/>
              </w:rPr>
            </w:pPr>
            <w:r>
              <w:rPr>
                <w:rFonts w:eastAsia="仿宋_GB2312"/>
                <w:b/>
                <w:color w:val="000000"/>
                <w:kern w:val="0"/>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59" w:type="pct"/>
            <w:noWrap/>
            <w:vAlign w:val="center"/>
          </w:tcPr>
          <w:p>
            <w:pPr>
              <w:widowControl/>
              <w:jc w:val="center"/>
              <w:rPr>
                <w:rFonts w:eastAsia="仿宋_GB2312"/>
                <w:color w:val="000000"/>
                <w:kern w:val="0"/>
                <w:szCs w:val="21"/>
              </w:rPr>
            </w:pPr>
            <w:r>
              <w:rPr>
                <w:rFonts w:eastAsia="仿宋_GB2312"/>
                <w:color w:val="000000"/>
                <w:kern w:val="0"/>
                <w:szCs w:val="21"/>
              </w:rPr>
              <w:t>淡水养殖面积（公顷）</w:t>
            </w:r>
          </w:p>
        </w:tc>
        <w:tc>
          <w:tcPr>
            <w:tcW w:w="567" w:type="pct"/>
            <w:vAlign w:val="center"/>
          </w:tcPr>
          <w:p>
            <w:pPr>
              <w:widowControl/>
              <w:jc w:val="center"/>
              <w:rPr>
                <w:rFonts w:eastAsia="仿宋_GB2312"/>
                <w:color w:val="000000"/>
                <w:kern w:val="0"/>
                <w:szCs w:val="21"/>
              </w:rPr>
            </w:pPr>
            <w:r>
              <w:rPr>
                <w:rFonts w:eastAsia="仿宋_GB2312"/>
                <w:color w:val="000000"/>
                <w:kern w:val="0"/>
                <w:szCs w:val="21"/>
              </w:rPr>
              <w:t>6463</w:t>
            </w:r>
          </w:p>
        </w:tc>
        <w:tc>
          <w:tcPr>
            <w:tcW w:w="614" w:type="pct"/>
            <w:vAlign w:val="center"/>
          </w:tcPr>
          <w:p>
            <w:pPr>
              <w:widowControl/>
              <w:jc w:val="center"/>
              <w:rPr>
                <w:rFonts w:eastAsia="仿宋_GB2312"/>
                <w:color w:val="000000"/>
                <w:kern w:val="0"/>
                <w:szCs w:val="21"/>
              </w:rPr>
            </w:pPr>
            <w:r>
              <w:rPr>
                <w:rFonts w:eastAsia="仿宋_GB2312"/>
                <w:color w:val="000000"/>
                <w:kern w:val="0"/>
                <w:szCs w:val="21"/>
              </w:rPr>
              <w:t>6470</w:t>
            </w:r>
          </w:p>
        </w:tc>
        <w:tc>
          <w:tcPr>
            <w:tcW w:w="615" w:type="pct"/>
          </w:tcPr>
          <w:p>
            <w:pPr>
              <w:widowControl/>
              <w:jc w:val="center"/>
              <w:rPr>
                <w:rFonts w:eastAsia="仿宋_GB2312"/>
                <w:color w:val="000000"/>
                <w:kern w:val="0"/>
                <w:szCs w:val="21"/>
              </w:rPr>
            </w:pPr>
            <w:r>
              <w:rPr>
                <w:rFonts w:eastAsia="仿宋_GB2312"/>
                <w:color w:val="000000"/>
                <w:kern w:val="0"/>
                <w:szCs w:val="21"/>
              </w:rPr>
              <w:t>11264</w:t>
            </w:r>
          </w:p>
        </w:tc>
        <w:tc>
          <w:tcPr>
            <w:tcW w:w="615" w:type="pct"/>
          </w:tcPr>
          <w:p>
            <w:pPr>
              <w:widowControl/>
              <w:jc w:val="center"/>
              <w:rPr>
                <w:rFonts w:eastAsia="仿宋_GB2312"/>
                <w:color w:val="000000"/>
                <w:kern w:val="0"/>
                <w:szCs w:val="21"/>
              </w:rPr>
            </w:pPr>
            <w:r>
              <w:rPr>
                <w:rFonts w:eastAsia="仿宋_GB2312"/>
                <w:color w:val="000000"/>
                <w:kern w:val="0"/>
                <w:szCs w:val="21"/>
              </w:rPr>
              <w:t>12061</w:t>
            </w:r>
          </w:p>
        </w:tc>
        <w:tc>
          <w:tcPr>
            <w:tcW w:w="615" w:type="pct"/>
          </w:tcPr>
          <w:p>
            <w:pPr>
              <w:widowControl/>
              <w:jc w:val="center"/>
              <w:rPr>
                <w:rFonts w:eastAsia="仿宋_GB2312"/>
                <w:color w:val="000000"/>
                <w:kern w:val="0"/>
                <w:szCs w:val="21"/>
              </w:rPr>
            </w:pPr>
            <w:r>
              <w:rPr>
                <w:rFonts w:eastAsia="仿宋_GB2312"/>
                <w:color w:val="000000"/>
                <w:kern w:val="0"/>
                <w:szCs w:val="21"/>
              </w:rPr>
              <w:t>12656.1</w:t>
            </w:r>
          </w:p>
        </w:tc>
        <w:tc>
          <w:tcPr>
            <w:tcW w:w="615" w:type="pct"/>
          </w:tcPr>
          <w:p>
            <w:pPr>
              <w:widowControl/>
              <w:jc w:val="center"/>
              <w:rPr>
                <w:rFonts w:eastAsia="仿宋_GB2312"/>
                <w:color w:val="000000"/>
                <w:kern w:val="0"/>
                <w:szCs w:val="21"/>
              </w:rPr>
            </w:pPr>
            <w:r>
              <w:rPr>
                <w:rFonts w:eastAsia="仿宋_GB2312"/>
                <w:color w:val="000000"/>
                <w:kern w:val="0"/>
                <w:szCs w:val="21"/>
              </w:rPr>
              <w:t>12636.4</w:t>
            </w:r>
          </w:p>
        </w:tc>
      </w:tr>
    </w:tbl>
    <w:p>
      <w:pPr>
        <w:ind w:firstLine="560" w:firstLineChars="200"/>
        <w:rPr>
          <w:rFonts w:eastAsia="黑体"/>
          <w:sz w:val="28"/>
          <w:szCs w:val="28"/>
        </w:rPr>
      </w:pPr>
    </w:p>
    <w:p>
      <w:pPr>
        <w:ind w:firstLine="560" w:firstLineChars="200"/>
        <w:rPr>
          <w:rFonts w:eastAsia="仿宋_GB2312"/>
          <w:sz w:val="30"/>
          <w:szCs w:val="30"/>
          <w:highlight w:val="yellow"/>
        </w:rPr>
      </w:pPr>
      <w:r>
        <w:rPr>
          <w:rFonts w:eastAsia="黑体"/>
          <w:sz w:val="28"/>
          <w:szCs w:val="28"/>
        </w:rPr>
        <w:t>表</w:t>
      </w:r>
      <w:r>
        <w:rPr>
          <w:rFonts w:hint="eastAsia" w:eastAsia="黑体"/>
          <w:sz w:val="28"/>
          <w:szCs w:val="28"/>
        </w:rPr>
        <w:t>1-11</w:t>
      </w:r>
      <w:r>
        <w:rPr>
          <w:rFonts w:eastAsia="黑体"/>
          <w:sz w:val="28"/>
          <w:szCs w:val="28"/>
        </w:rPr>
        <w:t xml:space="preserve">  2020年各镇街（开发区）淡水养殖面积和产量汇总表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42"/>
        <w:gridCol w:w="3107"/>
        <w:gridCol w:w="35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81" w:type="pct"/>
            <w:vMerge w:val="restar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单位</w:t>
            </w:r>
          </w:p>
        </w:tc>
        <w:tc>
          <w:tcPr>
            <w:tcW w:w="1823" w:type="pct"/>
            <w:vMerge w:val="restar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淡水养殖面积（公顷）</w:t>
            </w:r>
          </w:p>
        </w:tc>
        <w:tc>
          <w:tcPr>
            <w:tcW w:w="2096" w:type="pct"/>
            <w:vMerge w:val="restar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内陆养殖产量（吨）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1081" w:type="pct"/>
            <w:vMerge w:val="continue"/>
            <w:vAlign w:val="center"/>
          </w:tcPr>
          <w:p>
            <w:pPr>
              <w:widowControl/>
              <w:jc w:val="center"/>
              <w:rPr>
                <w:rFonts w:eastAsia="仿宋_GB2312"/>
                <w:color w:val="000000"/>
                <w:kern w:val="0"/>
                <w:szCs w:val="21"/>
              </w:rPr>
            </w:pPr>
          </w:p>
        </w:tc>
        <w:tc>
          <w:tcPr>
            <w:tcW w:w="1823" w:type="pct"/>
            <w:vMerge w:val="continue"/>
            <w:vAlign w:val="center"/>
          </w:tcPr>
          <w:p>
            <w:pPr>
              <w:widowControl/>
              <w:jc w:val="center"/>
              <w:rPr>
                <w:rFonts w:eastAsia="仿宋_GB2312"/>
                <w:color w:val="000000"/>
                <w:kern w:val="0"/>
                <w:szCs w:val="21"/>
              </w:rPr>
            </w:pPr>
          </w:p>
        </w:tc>
        <w:tc>
          <w:tcPr>
            <w:tcW w:w="2096" w:type="pct"/>
            <w:vMerge w:val="continue"/>
            <w:vAlign w:val="center"/>
          </w:tcPr>
          <w:p>
            <w:pPr>
              <w:widowControl/>
              <w:jc w:val="center"/>
              <w:rPr>
                <w:rFonts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合计</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12636.4</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185617.8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菱湖</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5216</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89729.5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千金</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1428</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26502.4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和孚</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1639</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29172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石淙</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350</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5954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南浔</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808</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双林</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716</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8524.9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练市</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785</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7321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善琏</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406</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6388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旧馆</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322.6</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3126.5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开发区</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948.6</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5419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1"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度假区</w:t>
            </w:r>
          </w:p>
        </w:tc>
        <w:tc>
          <w:tcPr>
            <w:tcW w:w="1823"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17.2</w:t>
            </w:r>
          </w:p>
        </w:tc>
        <w:tc>
          <w:tcPr>
            <w:tcW w:w="2096"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80.5</w:t>
            </w:r>
          </w:p>
        </w:tc>
      </w:tr>
    </w:tbl>
    <w:p>
      <w:pPr>
        <w:jc w:val="center"/>
        <w:rPr>
          <w:rFonts w:eastAsia="黑体"/>
          <w:sz w:val="28"/>
          <w:szCs w:val="28"/>
        </w:rPr>
      </w:pPr>
    </w:p>
    <w:p>
      <w:pPr>
        <w:jc w:val="center"/>
        <w:rPr>
          <w:rFonts w:eastAsia="黑体"/>
          <w:sz w:val="28"/>
          <w:szCs w:val="28"/>
        </w:rPr>
      </w:pPr>
      <w:r>
        <w:rPr>
          <w:rFonts w:eastAsia="黑体"/>
          <w:sz w:val="28"/>
          <w:szCs w:val="28"/>
        </w:rPr>
        <w:t>表</w:t>
      </w:r>
      <w:r>
        <w:rPr>
          <w:rFonts w:hint="eastAsia" w:eastAsia="黑体"/>
          <w:sz w:val="28"/>
          <w:szCs w:val="28"/>
        </w:rPr>
        <w:t>1-</w:t>
      </w:r>
      <w:r>
        <w:rPr>
          <w:rFonts w:eastAsia="黑体"/>
          <w:sz w:val="28"/>
          <w:szCs w:val="28"/>
        </w:rPr>
        <w:t>1</w:t>
      </w:r>
      <w:r>
        <w:rPr>
          <w:rFonts w:hint="eastAsia" w:eastAsia="黑体"/>
          <w:sz w:val="28"/>
          <w:szCs w:val="28"/>
        </w:rPr>
        <w:t>2</w:t>
      </w:r>
      <w:r>
        <w:rPr>
          <w:rFonts w:eastAsia="黑体"/>
          <w:sz w:val="28"/>
          <w:szCs w:val="28"/>
        </w:rPr>
        <w:t xml:space="preserve">  尾水治理面积汇总（2019年数据）</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87"/>
        <w:gridCol w:w="1187"/>
        <w:gridCol w:w="1188"/>
        <w:gridCol w:w="1264"/>
        <w:gridCol w:w="1113"/>
        <w:gridCol w:w="1188"/>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427" w:type="pct"/>
            <w:gridSpan w:val="2"/>
            <w:vAlign w:val="center"/>
          </w:tcPr>
          <w:p>
            <w:pPr>
              <w:widowControl/>
              <w:jc w:val="center"/>
              <w:rPr>
                <w:rFonts w:eastAsia="仿宋_GB2312"/>
                <w:b/>
                <w:color w:val="000000"/>
                <w:kern w:val="0"/>
                <w:szCs w:val="21"/>
              </w:rPr>
            </w:pPr>
            <w:r>
              <w:rPr>
                <w:rFonts w:eastAsia="仿宋_GB2312"/>
                <w:b/>
                <w:color w:val="000000"/>
                <w:kern w:val="0"/>
                <w:szCs w:val="21"/>
              </w:rPr>
              <w:t>工程治理</w:t>
            </w:r>
          </w:p>
        </w:tc>
        <w:tc>
          <w:tcPr>
            <w:tcW w:w="1474" w:type="pct"/>
            <w:gridSpan w:val="2"/>
            <w:vAlign w:val="center"/>
          </w:tcPr>
          <w:p>
            <w:pPr>
              <w:widowControl/>
              <w:jc w:val="center"/>
              <w:rPr>
                <w:rFonts w:eastAsia="仿宋_GB2312"/>
                <w:b/>
                <w:color w:val="000000"/>
                <w:kern w:val="0"/>
                <w:szCs w:val="21"/>
              </w:rPr>
            </w:pPr>
            <w:r>
              <w:rPr>
                <w:rFonts w:eastAsia="仿宋_GB2312"/>
                <w:b/>
                <w:color w:val="000000"/>
                <w:kern w:val="0"/>
                <w:szCs w:val="21"/>
              </w:rPr>
              <w:t>原位治理</w:t>
            </w:r>
          </w:p>
        </w:tc>
        <w:tc>
          <w:tcPr>
            <w:tcW w:w="1383" w:type="pct"/>
            <w:gridSpan w:val="2"/>
            <w:vAlign w:val="center"/>
          </w:tcPr>
          <w:p>
            <w:pPr>
              <w:widowControl/>
              <w:jc w:val="center"/>
              <w:rPr>
                <w:rFonts w:eastAsia="仿宋_GB2312"/>
                <w:b/>
                <w:color w:val="000000"/>
                <w:kern w:val="0"/>
                <w:szCs w:val="21"/>
              </w:rPr>
            </w:pPr>
            <w:r>
              <w:rPr>
                <w:rFonts w:eastAsia="仿宋_GB2312"/>
                <w:b/>
                <w:color w:val="000000"/>
                <w:kern w:val="0"/>
                <w:szCs w:val="21"/>
              </w:rPr>
              <w:t>退养</w:t>
            </w:r>
          </w:p>
        </w:tc>
        <w:tc>
          <w:tcPr>
            <w:tcW w:w="715" w:type="pct"/>
            <w:vAlign w:val="center"/>
          </w:tcPr>
          <w:p>
            <w:pPr>
              <w:widowControl/>
              <w:jc w:val="center"/>
              <w:rPr>
                <w:rFonts w:eastAsia="仿宋_GB2312"/>
                <w:b/>
                <w:color w:val="000000"/>
                <w:kern w:val="0"/>
                <w:szCs w:val="21"/>
              </w:rPr>
            </w:pPr>
            <w:r>
              <w:rPr>
                <w:rFonts w:eastAsia="仿宋_GB2312"/>
                <w:b/>
                <w:color w:val="000000"/>
                <w:kern w:val="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14" w:type="pct"/>
            <w:vAlign w:val="center"/>
          </w:tcPr>
          <w:p>
            <w:pPr>
              <w:widowControl/>
              <w:jc w:val="center"/>
              <w:rPr>
                <w:rFonts w:eastAsia="仿宋_GB2312"/>
                <w:b/>
                <w:color w:val="000000"/>
                <w:kern w:val="0"/>
                <w:szCs w:val="21"/>
              </w:rPr>
            </w:pPr>
            <w:r>
              <w:rPr>
                <w:rFonts w:eastAsia="仿宋_GB2312"/>
                <w:b/>
                <w:color w:val="000000"/>
                <w:kern w:val="0"/>
                <w:szCs w:val="21"/>
              </w:rPr>
              <w:t>治理点（个）</w:t>
            </w:r>
          </w:p>
        </w:tc>
        <w:tc>
          <w:tcPr>
            <w:tcW w:w="714" w:type="pct"/>
            <w:vAlign w:val="center"/>
          </w:tcPr>
          <w:p>
            <w:pPr>
              <w:widowControl/>
              <w:jc w:val="center"/>
              <w:rPr>
                <w:rFonts w:eastAsia="仿宋_GB2312"/>
                <w:b/>
                <w:color w:val="000000"/>
                <w:kern w:val="0"/>
                <w:szCs w:val="21"/>
              </w:rPr>
            </w:pPr>
            <w:r>
              <w:rPr>
                <w:rFonts w:eastAsia="仿宋_GB2312"/>
                <w:b/>
                <w:color w:val="000000"/>
                <w:kern w:val="0"/>
                <w:szCs w:val="21"/>
              </w:rPr>
              <w:t>面积（亩）</w:t>
            </w:r>
          </w:p>
        </w:tc>
        <w:tc>
          <w:tcPr>
            <w:tcW w:w="714" w:type="pct"/>
            <w:vAlign w:val="center"/>
          </w:tcPr>
          <w:p>
            <w:pPr>
              <w:widowControl/>
              <w:jc w:val="center"/>
              <w:rPr>
                <w:rFonts w:eastAsia="仿宋_GB2312"/>
                <w:b/>
                <w:color w:val="000000"/>
                <w:kern w:val="0"/>
                <w:szCs w:val="21"/>
              </w:rPr>
            </w:pPr>
            <w:r>
              <w:rPr>
                <w:rFonts w:eastAsia="仿宋_GB2312"/>
                <w:b/>
                <w:color w:val="000000"/>
                <w:kern w:val="0"/>
                <w:szCs w:val="21"/>
              </w:rPr>
              <w:t>治理点（个）</w:t>
            </w:r>
          </w:p>
        </w:tc>
        <w:tc>
          <w:tcPr>
            <w:tcW w:w="760" w:type="pct"/>
            <w:vAlign w:val="center"/>
          </w:tcPr>
          <w:p>
            <w:pPr>
              <w:widowControl/>
              <w:jc w:val="center"/>
              <w:rPr>
                <w:rFonts w:eastAsia="仿宋_GB2312"/>
                <w:b/>
                <w:color w:val="000000"/>
                <w:kern w:val="0"/>
                <w:szCs w:val="21"/>
              </w:rPr>
            </w:pPr>
            <w:r>
              <w:rPr>
                <w:rFonts w:eastAsia="仿宋_GB2312"/>
                <w:b/>
                <w:color w:val="000000"/>
                <w:kern w:val="0"/>
                <w:szCs w:val="21"/>
              </w:rPr>
              <w:t>面积（亩）</w:t>
            </w:r>
          </w:p>
        </w:tc>
        <w:tc>
          <w:tcPr>
            <w:tcW w:w="669" w:type="pct"/>
            <w:vAlign w:val="center"/>
          </w:tcPr>
          <w:p>
            <w:pPr>
              <w:widowControl/>
              <w:jc w:val="center"/>
              <w:rPr>
                <w:rFonts w:eastAsia="仿宋_GB2312"/>
                <w:b/>
                <w:color w:val="000000"/>
                <w:kern w:val="0"/>
                <w:szCs w:val="21"/>
              </w:rPr>
            </w:pPr>
            <w:r>
              <w:rPr>
                <w:rFonts w:eastAsia="仿宋_GB2312"/>
                <w:b/>
                <w:color w:val="000000"/>
                <w:kern w:val="0"/>
                <w:szCs w:val="21"/>
              </w:rPr>
              <w:t>点（个）</w:t>
            </w:r>
          </w:p>
        </w:tc>
        <w:tc>
          <w:tcPr>
            <w:tcW w:w="714" w:type="pct"/>
            <w:vAlign w:val="center"/>
          </w:tcPr>
          <w:p>
            <w:pPr>
              <w:widowControl/>
              <w:jc w:val="center"/>
              <w:rPr>
                <w:rFonts w:eastAsia="仿宋_GB2312"/>
                <w:b/>
                <w:color w:val="000000"/>
                <w:kern w:val="0"/>
                <w:szCs w:val="21"/>
              </w:rPr>
            </w:pPr>
            <w:r>
              <w:rPr>
                <w:rFonts w:eastAsia="仿宋_GB2312"/>
                <w:b/>
                <w:color w:val="000000"/>
                <w:kern w:val="0"/>
                <w:szCs w:val="21"/>
              </w:rPr>
              <w:t>面积（亩）</w:t>
            </w:r>
          </w:p>
        </w:tc>
        <w:tc>
          <w:tcPr>
            <w:tcW w:w="715" w:type="pct"/>
            <w:vAlign w:val="center"/>
          </w:tcPr>
          <w:p>
            <w:pPr>
              <w:widowControl/>
              <w:jc w:val="center"/>
              <w:rPr>
                <w:rFonts w:eastAsia="仿宋_GB2312"/>
                <w:b/>
                <w:color w:val="000000"/>
                <w:kern w:val="0"/>
                <w:szCs w:val="21"/>
              </w:rPr>
            </w:pPr>
            <w:r>
              <w:rPr>
                <w:rFonts w:eastAsia="仿宋_GB2312"/>
                <w:b/>
                <w:color w:val="000000"/>
                <w:kern w:val="0"/>
                <w:szCs w:val="21"/>
              </w:rPr>
              <w:t>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14" w:type="pct"/>
            <w:vAlign w:val="center"/>
          </w:tcPr>
          <w:p>
            <w:pPr>
              <w:widowControl/>
              <w:jc w:val="center"/>
              <w:rPr>
                <w:rFonts w:eastAsia="仿宋_GB2312"/>
                <w:color w:val="000000"/>
                <w:kern w:val="0"/>
                <w:szCs w:val="21"/>
              </w:rPr>
            </w:pPr>
            <w:r>
              <w:rPr>
                <w:rFonts w:eastAsia="仿宋_GB2312"/>
                <w:color w:val="000000"/>
                <w:kern w:val="0"/>
                <w:szCs w:val="21"/>
              </w:rPr>
              <w:t>1092</w:t>
            </w:r>
          </w:p>
        </w:tc>
        <w:tc>
          <w:tcPr>
            <w:tcW w:w="714" w:type="pct"/>
            <w:vAlign w:val="center"/>
          </w:tcPr>
          <w:p>
            <w:pPr>
              <w:widowControl/>
              <w:jc w:val="center"/>
              <w:rPr>
                <w:rFonts w:eastAsia="仿宋_GB2312"/>
                <w:color w:val="000000"/>
                <w:kern w:val="0"/>
                <w:szCs w:val="21"/>
              </w:rPr>
            </w:pPr>
            <w:r>
              <w:rPr>
                <w:rFonts w:eastAsia="仿宋_GB2312"/>
                <w:color w:val="000000"/>
                <w:kern w:val="0"/>
                <w:szCs w:val="21"/>
              </w:rPr>
              <w:t>168912</w:t>
            </w:r>
          </w:p>
        </w:tc>
        <w:tc>
          <w:tcPr>
            <w:tcW w:w="714" w:type="pct"/>
            <w:vAlign w:val="center"/>
          </w:tcPr>
          <w:p>
            <w:pPr>
              <w:widowControl/>
              <w:jc w:val="center"/>
              <w:rPr>
                <w:rFonts w:eastAsia="仿宋_GB2312"/>
                <w:color w:val="000000"/>
                <w:kern w:val="0"/>
                <w:szCs w:val="21"/>
              </w:rPr>
            </w:pPr>
            <w:r>
              <w:rPr>
                <w:rFonts w:eastAsia="仿宋_GB2312"/>
                <w:color w:val="000000"/>
                <w:kern w:val="0"/>
                <w:szCs w:val="21"/>
              </w:rPr>
              <w:t>9</w:t>
            </w:r>
          </w:p>
        </w:tc>
        <w:tc>
          <w:tcPr>
            <w:tcW w:w="760" w:type="pct"/>
            <w:vAlign w:val="center"/>
          </w:tcPr>
          <w:p>
            <w:pPr>
              <w:widowControl/>
              <w:jc w:val="center"/>
              <w:rPr>
                <w:rFonts w:eastAsia="仿宋_GB2312"/>
                <w:color w:val="000000"/>
                <w:kern w:val="0"/>
                <w:szCs w:val="21"/>
              </w:rPr>
            </w:pPr>
            <w:r>
              <w:rPr>
                <w:rFonts w:eastAsia="仿宋_GB2312"/>
                <w:color w:val="000000"/>
                <w:kern w:val="0"/>
                <w:szCs w:val="21"/>
              </w:rPr>
              <w:t>1125</w:t>
            </w:r>
          </w:p>
        </w:tc>
        <w:tc>
          <w:tcPr>
            <w:tcW w:w="669" w:type="pct"/>
            <w:vAlign w:val="center"/>
          </w:tcPr>
          <w:p>
            <w:pPr>
              <w:widowControl/>
              <w:jc w:val="center"/>
              <w:rPr>
                <w:rFonts w:eastAsia="仿宋_GB2312"/>
                <w:color w:val="000000"/>
                <w:kern w:val="0"/>
                <w:szCs w:val="21"/>
              </w:rPr>
            </w:pPr>
            <w:r>
              <w:rPr>
                <w:rFonts w:eastAsia="仿宋_GB2312"/>
                <w:color w:val="000000"/>
                <w:kern w:val="0"/>
                <w:szCs w:val="21"/>
              </w:rPr>
              <w:t>199</w:t>
            </w:r>
          </w:p>
        </w:tc>
        <w:tc>
          <w:tcPr>
            <w:tcW w:w="714" w:type="pct"/>
            <w:vAlign w:val="center"/>
          </w:tcPr>
          <w:p>
            <w:pPr>
              <w:widowControl/>
              <w:jc w:val="center"/>
              <w:rPr>
                <w:rFonts w:eastAsia="仿宋_GB2312"/>
                <w:color w:val="000000"/>
                <w:kern w:val="0"/>
                <w:szCs w:val="21"/>
              </w:rPr>
            </w:pPr>
            <w:r>
              <w:rPr>
                <w:rFonts w:eastAsia="仿宋_GB2312"/>
                <w:color w:val="000000"/>
                <w:kern w:val="0"/>
                <w:szCs w:val="21"/>
              </w:rPr>
              <w:t>17036</w:t>
            </w:r>
          </w:p>
        </w:tc>
        <w:tc>
          <w:tcPr>
            <w:tcW w:w="715" w:type="pct"/>
            <w:vAlign w:val="center"/>
          </w:tcPr>
          <w:p>
            <w:pPr>
              <w:widowControl/>
              <w:jc w:val="center"/>
              <w:rPr>
                <w:rFonts w:eastAsia="仿宋_GB2312"/>
                <w:color w:val="000000"/>
                <w:kern w:val="0"/>
                <w:szCs w:val="21"/>
              </w:rPr>
            </w:pPr>
            <w:r>
              <w:rPr>
                <w:rFonts w:eastAsia="仿宋_GB2312"/>
                <w:color w:val="000000"/>
                <w:kern w:val="0"/>
                <w:szCs w:val="21"/>
              </w:rPr>
              <w:t>187073</w:t>
            </w:r>
          </w:p>
        </w:tc>
      </w:tr>
    </w:tbl>
    <w:p>
      <w:pPr>
        <w:spacing w:line="560" w:lineRule="exact"/>
        <w:ind w:firstLine="602" w:firstLineChars="200"/>
        <w:rPr>
          <w:rFonts w:eastAsia="楷体"/>
          <w:b/>
          <w:sz w:val="30"/>
          <w:szCs w:val="30"/>
        </w:rPr>
      </w:pPr>
    </w:p>
    <w:p>
      <w:pPr>
        <w:spacing w:line="560" w:lineRule="exact"/>
        <w:ind w:firstLine="602" w:firstLineChars="200"/>
        <w:rPr>
          <w:rFonts w:eastAsia="仿宋_GB2312"/>
          <w:sz w:val="30"/>
          <w:szCs w:val="30"/>
        </w:rPr>
      </w:pPr>
      <w:r>
        <w:rPr>
          <w:rFonts w:eastAsia="楷体"/>
          <w:b/>
          <w:sz w:val="30"/>
          <w:szCs w:val="30"/>
        </w:rPr>
        <w:t>种植业面源污染防治方面，</w:t>
      </w:r>
      <w:r>
        <w:rPr>
          <w:rFonts w:eastAsia="仿宋_GB2312"/>
          <w:sz w:val="30"/>
          <w:szCs w:val="30"/>
        </w:rPr>
        <w:t>2019年，化肥施用量为5010吨，单位农作物播种面积化肥施用强度为186.20千克/公顷，低于耕地施用化肥强度警戒值（225千克/公顷）；</w:t>
      </w:r>
      <w:r>
        <w:rPr>
          <w:rFonts w:eastAsia="仿宋_GB2312"/>
          <w:bCs/>
          <w:sz w:val="30"/>
          <w:szCs w:val="30"/>
        </w:rPr>
        <w:t>农药使用强度偏高，</w:t>
      </w:r>
      <w:r>
        <w:rPr>
          <w:rFonts w:eastAsia="仿宋_GB2312"/>
          <w:sz w:val="30"/>
          <w:szCs w:val="30"/>
        </w:rPr>
        <w:t>农药使用量为604吨，农药的使用强度为22.45千克/公顷，均高于浙江省农药使用强度（22.10千克/公顷）。根据2017年南浔区第二次全国污染源普查数据，种植业氨氮、总氮、总磷流失量分别为62.70吨、533.25吨、77.89吨，分别占农业源排放量的22.93%、50.73%和49.86%。</w:t>
      </w:r>
    </w:p>
    <w:p>
      <w:pPr>
        <w:jc w:val="center"/>
        <w:rPr>
          <w:rFonts w:eastAsia="黑体"/>
          <w:sz w:val="28"/>
          <w:szCs w:val="28"/>
        </w:rPr>
      </w:pPr>
    </w:p>
    <w:p>
      <w:pPr>
        <w:jc w:val="center"/>
        <w:rPr>
          <w:rFonts w:eastAsia="黑体"/>
          <w:sz w:val="28"/>
          <w:szCs w:val="28"/>
        </w:rPr>
      </w:pPr>
      <w:r>
        <w:rPr>
          <w:rFonts w:eastAsia="黑体"/>
          <w:sz w:val="28"/>
          <w:szCs w:val="28"/>
        </w:rPr>
        <w:t>表</w:t>
      </w:r>
      <w:r>
        <w:rPr>
          <w:rFonts w:hint="eastAsia" w:eastAsia="黑体"/>
          <w:sz w:val="28"/>
          <w:szCs w:val="28"/>
        </w:rPr>
        <w:t>1-</w:t>
      </w:r>
      <w:r>
        <w:rPr>
          <w:rFonts w:eastAsia="黑体"/>
          <w:sz w:val="28"/>
          <w:szCs w:val="28"/>
        </w:rPr>
        <w:t>1</w:t>
      </w:r>
      <w:r>
        <w:rPr>
          <w:rFonts w:hint="eastAsia" w:eastAsia="黑体"/>
          <w:sz w:val="28"/>
          <w:szCs w:val="28"/>
        </w:rPr>
        <w:t>3</w:t>
      </w:r>
      <w:r>
        <w:rPr>
          <w:rFonts w:eastAsia="黑体"/>
          <w:sz w:val="28"/>
          <w:szCs w:val="28"/>
        </w:rPr>
        <w:t xml:space="preserve">  2017年南浔区化肥农药使用情况统计表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widowControl/>
              <w:jc w:val="center"/>
              <w:rPr>
                <w:rFonts w:eastAsia="仿宋_GB2312"/>
                <w:b/>
                <w:color w:val="000000"/>
                <w:kern w:val="0"/>
                <w:szCs w:val="21"/>
              </w:rPr>
            </w:pPr>
            <w:r>
              <w:rPr>
                <w:rFonts w:eastAsia="仿宋_GB2312"/>
                <w:b/>
                <w:color w:val="000000"/>
                <w:kern w:val="0"/>
                <w:szCs w:val="21"/>
              </w:rPr>
              <w:t>年份</w:t>
            </w:r>
          </w:p>
        </w:tc>
        <w:tc>
          <w:tcPr>
            <w:tcW w:w="1659" w:type="dxa"/>
            <w:vAlign w:val="center"/>
          </w:tcPr>
          <w:p>
            <w:pPr>
              <w:widowControl/>
              <w:jc w:val="center"/>
              <w:rPr>
                <w:rFonts w:eastAsia="仿宋_GB2312"/>
                <w:b/>
                <w:color w:val="000000"/>
                <w:kern w:val="0"/>
                <w:szCs w:val="21"/>
              </w:rPr>
            </w:pPr>
            <w:r>
              <w:rPr>
                <w:rFonts w:eastAsia="仿宋_GB2312"/>
                <w:b/>
                <w:color w:val="000000"/>
                <w:kern w:val="0"/>
                <w:szCs w:val="21"/>
              </w:rPr>
              <w:t>化肥施用量（吨）</w:t>
            </w:r>
          </w:p>
        </w:tc>
        <w:tc>
          <w:tcPr>
            <w:tcW w:w="1659" w:type="dxa"/>
            <w:vAlign w:val="center"/>
          </w:tcPr>
          <w:p>
            <w:pPr>
              <w:widowControl/>
              <w:jc w:val="center"/>
              <w:rPr>
                <w:rFonts w:eastAsia="仿宋_GB2312"/>
                <w:b/>
                <w:color w:val="000000"/>
                <w:kern w:val="0"/>
                <w:szCs w:val="21"/>
              </w:rPr>
            </w:pPr>
            <w:r>
              <w:rPr>
                <w:rFonts w:eastAsia="仿宋_GB2312"/>
                <w:b/>
                <w:color w:val="000000"/>
                <w:kern w:val="0"/>
                <w:szCs w:val="21"/>
              </w:rPr>
              <w:t>化肥施用强度（千克/公顷）</w:t>
            </w:r>
          </w:p>
        </w:tc>
        <w:tc>
          <w:tcPr>
            <w:tcW w:w="1659" w:type="dxa"/>
            <w:vAlign w:val="center"/>
          </w:tcPr>
          <w:p>
            <w:pPr>
              <w:widowControl/>
              <w:jc w:val="center"/>
              <w:rPr>
                <w:rFonts w:eastAsia="仿宋_GB2312"/>
                <w:b/>
                <w:color w:val="000000"/>
                <w:kern w:val="0"/>
                <w:szCs w:val="21"/>
              </w:rPr>
            </w:pPr>
            <w:r>
              <w:rPr>
                <w:rFonts w:eastAsia="仿宋_GB2312"/>
                <w:b/>
                <w:color w:val="000000"/>
                <w:kern w:val="0"/>
                <w:szCs w:val="21"/>
              </w:rPr>
              <w:t>农药使用量（吨）</w:t>
            </w:r>
          </w:p>
        </w:tc>
        <w:tc>
          <w:tcPr>
            <w:tcW w:w="1660" w:type="dxa"/>
            <w:vAlign w:val="center"/>
          </w:tcPr>
          <w:p>
            <w:pPr>
              <w:widowControl/>
              <w:jc w:val="center"/>
              <w:rPr>
                <w:rFonts w:eastAsia="仿宋_GB2312"/>
                <w:b/>
                <w:color w:val="000000"/>
                <w:kern w:val="0"/>
                <w:szCs w:val="21"/>
              </w:rPr>
            </w:pPr>
            <w:r>
              <w:rPr>
                <w:rFonts w:eastAsia="仿宋_GB2312"/>
                <w:b/>
                <w:color w:val="000000"/>
                <w:kern w:val="0"/>
                <w:szCs w:val="21"/>
              </w:rPr>
              <w:t>农药使用强度（千克/公顷）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2015</w:t>
            </w:r>
          </w:p>
        </w:tc>
        <w:tc>
          <w:tcPr>
            <w:tcW w:w="1659" w:type="dxa"/>
            <w:vAlign w:val="center"/>
          </w:tcPr>
          <w:p>
            <w:pPr>
              <w:jc w:val="center"/>
              <w:rPr>
                <w:rFonts w:eastAsia="仿宋_GB2312"/>
                <w:szCs w:val="21"/>
              </w:rPr>
            </w:pPr>
            <w:r>
              <w:rPr>
                <w:rFonts w:eastAsia="仿宋_GB2312"/>
                <w:szCs w:val="21"/>
              </w:rPr>
              <w:t>6617</w:t>
            </w:r>
          </w:p>
        </w:tc>
        <w:tc>
          <w:tcPr>
            <w:tcW w:w="1659" w:type="dxa"/>
            <w:vAlign w:val="center"/>
          </w:tcPr>
          <w:p>
            <w:pPr>
              <w:jc w:val="center"/>
              <w:rPr>
                <w:rFonts w:eastAsia="仿宋_GB2312"/>
                <w:szCs w:val="21"/>
              </w:rPr>
            </w:pPr>
            <w:r>
              <w:rPr>
                <w:color w:val="000000"/>
                <w:szCs w:val="21"/>
              </w:rPr>
              <w:t xml:space="preserve">229.51 </w:t>
            </w:r>
          </w:p>
        </w:tc>
        <w:tc>
          <w:tcPr>
            <w:tcW w:w="1659" w:type="dxa"/>
            <w:vAlign w:val="center"/>
          </w:tcPr>
          <w:p>
            <w:pPr>
              <w:jc w:val="center"/>
              <w:rPr>
                <w:rFonts w:eastAsia="仿宋_GB2312"/>
                <w:szCs w:val="21"/>
              </w:rPr>
            </w:pPr>
            <w:r>
              <w:rPr>
                <w:color w:val="000000"/>
                <w:szCs w:val="21"/>
              </w:rPr>
              <w:t>1022</w:t>
            </w:r>
          </w:p>
        </w:tc>
        <w:tc>
          <w:tcPr>
            <w:tcW w:w="1660" w:type="dxa"/>
            <w:vAlign w:val="center"/>
          </w:tcPr>
          <w:p>
            <w:pPr>
              <w:jc w:val="center"/>
              <w:rPr>
                <w:rFonts w:eastAsia="仿宋_GB2312"/>
                <w:szCs w:val="21"/>
              </w:rPr>
            </w:pPr>
            <w:r>
              <w:rPr>
                <w:color w:val="000000"/>
                <w:szCs w:val="21"/>
              </w:rPr>
              <w:t xml:space="preserve">35.45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2016</w:t>
            </w:r>
          </w:p>
        </w:tc>
        <w:tc>
          <w:tcPr>
            <w:tcW w:w="1659" w:type="dxa"/>
            <w:vAlign w:val="center"/>
          </w:tcPr>
          <w:p>
            <w:pPr>
              <w:jc w:val="center"/>
              <w:rPr>
                <w:rFonts w:eastAsia="仿宋_GB2312"/>
                <w:szCs w:val="21"/>
              </w:rPr>
            </w:pPr>
            <w:r>
              <w:rPr>
                <w:rFonts w:eastAsia="仿宋_GB2312"/>
                <w:szCs w:val="21"/>
              </w:rPr>
              <w:t>6140</w:t>
            </w:r>
          </w:p>
        </w:tc>
        <w:tc>
          <w:tcPr>
            <w:tcW w:w="1659" w:type="dxa"/>
            <w:vAlign w:val="center"/>
          </w:tcPr>
          <w:p>
            <w:pPr>
              <w:jc w:val="center"/>
              <w:rPr>
                <w:rFonts w:eastAsia="仿宋_GB2312"/>
                <w:szCs w:val="21"/>
              </w:rPr>
            </w:pPr>
            <w:r>
              <w:rPr>
                <w:color w:val="000000"/>
                <w:szCs w:val="21"/>
              </w:rPr>
              <w:t xml:space="preserve">226.07 </w:t>
            </w:r>
          </w:p>
        </w:tc>
        <w:tc>
          <w:tcPr>
            <w:tcW w:w="1659" w:type="dxa"/>
            <w:vAlign w:val="center"/>
          </w:tcPr>
          <w:p>
            <w:pPr>
              <w:jc w:val="center"/>
              <w:rPr>
                <w:rFonts w:eastAsia="仿宋_GB2312"/>
                <w:szCs w:val="21"/>
              </w:rPr>
            </w:pPr>
            <w:r>
              <w:rPr>
                <w:color w:val="000000"/>
                <w:szCs w:val="21"/>
              </w:rPr>
              <w:t>755</w:t>
            </w:r>
          </w:p>
        </w:tc>
        <w:tc>
          <w:tcPr>
            <w:tcW w:w="1660" w:type="dxa"/>
            <w:vAlign w:val="center"/>
          </w:tcPr>
          <w:p>
            <w:pPr>
              <w:jc w:val="center"/>
              <w:rPr>
                <w:rFonts w:eastAsia="仿宋_GB2312"/>
                <w:szCs w:val="21"/>
              </w:rPr>
            </w:pPr>
            <w:r>
              <w:rPr>
                <w:color w:val="000000"/>
                <w:szCs w:val="21"/>
              </w:rPr>
              <w:t xml:space="preserve">27.80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2017</w:t>
            </w:r>
          </w:p>
        </w:tc>
        <w:tc>
          <w:tcPr>
            <w:tcW w:w="1659" w:type="dxa"/>
            <w:vAlign w:val="center"/>
          </w:tcPr>
          <w:p>
            <w:pPr>
              <w:jc w:val="center"/>
              <w:rPr>
                <w:rFonts w:eastAsia="仿宋_GB2312"/>
                <w:szCs w:val="21"/>
              </w:rPr>
            </w:pPr>
            <w:r>
              <w:rPr>
                <w:rFonts w:eastAsia="仿宋_GB2312"/>
                <w:szCs w:val="21"/>
              </w:rPr>
              <w:t>5816</w:t>
            </w:r>
          </w:p>
        </w:tc>
        <w:tc>
          <w:tcPr>
            <w:tcW w:w="1659" w:type="dxa"/>
            <w:vAlign w:val="center"/>
          </w:tcPr>
          <w:p>
            <w:pPr>
              <w:jc w:val="center"/>
              <w:rPr>
                <w:rFonts w:eastAsia="仿宋_GB2312"/>
                <w:szCs w:val="21"/>
              </w:rPr>
            </w:pPr>
            <w:r>
              <w:rPr>
                <w:color w:val="000000"/>
                <w:szCs w:val="21"/>
              </w:rPr>
              <w:t xml:space="preserve">219.37 </w:t>
            </w:r>
          </w:p>
        </w:tc>
        <w:tc>
          <w:tcPr>
            <w:tcW w:w="1659" w:type="dxa"/>
            <w:vAlign w:val="center"/>
          </w:tcPr>
          <w:p>
            <w:pPr>
              <w:jc w:val="center"/>
              <w:rPr>
                <w:rFonts w:eastAsia="仿宋_GB2312"/>
                <w:szCs w:val="21"/>
              </w:rPr>
            </w:pPr>
            <w:r>
              <w:rPr>
                <w:color w:val="000000"/>
                <w:szCs w:val="21"/>
              </w:rPr>
              <w:t>735</w:t>
            </w:r>
          </w:p>
        </w:tc>
        <w:tc>
          <w:tcPr>
            <w:tcW w:w="1660" w:type="dxa"/>
            <w:vAlign w:val="center"/>
          </w:tcPr>
          <w:p>
            <w:pPr>
              <w:jc w:val="center"/>
              <w:rPr>
                <w:rFonts w:eastAsia="仿宋_GB2312"/>
                <w:szCs w:val="21"/>
              </w:rPr>
            </w:pPr>
            <w:r>
              <w:rPr>
                <w:color w:val="000000"/>
                <w:szCs w:val="21"/>
              </w:rPr>
              <w:t xml:space="preserve">27.72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2018</w:t>
            </w:r>
          </w:p>
        </w:tc>
        <w:tc>
          <w:tcPr>
            <w:tcW w:w="1659" w:type="dxa"/>
            <w:vAlign w:val="center"/>
          </w:tcPr>
          <w:p>
            <w:pPr>
              <w:jc w:val="center"/>
              <w:rPr>
                <w:rFonts w:eastAsia="仿宋_GB2312"/>
                <w:szCs w:val="21"/>
              </w:rPr>
            </w:pPr>
            <w:r>
              <w:rPr>
                <w:rFonts w:eastAsia="仿宋_GB2312"/>
                <w:szCs w:val="21"/>
              </w:rPr>
              <w:t>5668</w:t>
            </w:r>
          </w:p>
        </w:tc>
        <w:tc>
          <w:tcPr>
            <w:tcW w:w="1659" w:type="dxa"/>
            <w:vAlign w:val="center"/>
          </w:tcPr>
          <w:p>
            <w:pPr>
              <w:jc w:val="center"/>
              <w:rPr>
                <w:rFonts w:eastAsia="仿宋_GB2312"/>
                <w:szCs w:val="21"/>
              </w:rPr>
            </w:pPr>
            <w:r>
              <w:rPr>
                <w:color w:val="000000"/>
                <w:szCs w:val="21"/>
              </w:rPr>
              <w:t xml:space="preserve">233.07 </w:t>
            </w:r>
          </w:p>
        </w:tc>
        <w:tc>
          <w:tcPr>
            <w:tcW w:w="1659" w:type="dxa"/>
            <w:vAlign w:val="center"/>
          </w:tcPr>
          <w:p>
            <w:pPr>
              <w:jc w:val="center"/>
              <w:rPr>
                <w:rFonts w:eastAsia="仿宋_GB2312"/>
                <w:szCs w:val="21"/>
              </w:rPr>
            </w:pPr>
            <w:r>
              <w:rPr>
                <w:color w:val="000000"/>
                <w:szCs w:val="21"/>
              </w:rPr>
              <w:t>718</w:t>
            </w:r>
          </w:p>
        </w:tc>
        <w:tc>
          <w:tcPr>
            <w:tcW w:w="1660" w:type="dxa"/>
            <w:vAlign w:val="center"/>
          </w:tcPr>
          <w:p>
            <w:pPr>
              <w:jc w:val="center"/>
              <w:rPr>
                <w:rFonts w:eastAsia="仿宋_GB2312"/>
                <w:szCs w:val="21"/>
              </w:rPr>
            </w:pPr>
            <w:r>
              <w:rPr>
                <w:color w:val="000000"/>
                <w:szCs w:val="21"/>
              </w:rPr>
              <w:t xml:space="preserve">29.52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2019</w:t>
            </w:r>
          </w:p>
        </w:tc>
        <w:tc>
          <w:tcPr>
            <w:tcW w:w="1659" w:type="dxa"/>
            <w:vAlign w:val="center"/>
          </w:tcPr>
          <w:p>
            <w:pPr>
              <w:jc w:val="center"/>
              <w:rPr>
                <w:rFonts w:eastAsia="仿宋_GB2312"/>
                <w:szCs w:val="21"/>
              </w:rPr>
            </w:pPr>
            <w:r>
              <w:rPr>
                <w:rFonts w:eastAsia="仿宋_GB2312"/>
                <w:szCs w:val="21"/>
              </w:rPr>
              <w:t>5010</w:t>
            </w:r>
          </w:p>
        </w:tc>
        <w:tc>
          <w:tcPr>
            <w:tcW w:w="1659" w:type="dxa"/>
            <w:vAlign w:val="center"/>
          </w:tcPr>
          <w:p>
            <w:pPr>
              <w:jc w:val="center"/>
              <w:rPr>
                <w:rFonts w:eastAsia="仿宋_GB2312"/>
                <w:szCs w:val="21"/>
              </w:rPr>
            </w:pPr>
            <w:r>
              <w:rPr>
                <w:color w:val="000000"/>
                <w:szCs w:val="21"/>
              </w:rPr>
              <w:t xml:space="preserve">186.20 </w:t>
            </w:r>
          </w:p>
        </w:tc>
        <w:tc>
          <w:tcPr>
            <w:tcW w:w="1659" w:type="dxa"/>
            <w:vAlign w:val="center"/>
          </w:tcPr>
          <w:p>
            <w:pPr>
              <w:jc w:val="center"/>
              <w:rPr>
                <w:rFonts w:eastAsia="仿宋_GB2312"/>
                <w:szCs w:val="21"/>
              </w:rPr>
            </w:pPr>
            <w:r>
              <w:rPr>
                <w:color w:val="000000"/>
                <w:szCs w:val="21"/>
              </w:rPr>
              <w:t>604</w:t>
            </w:r>
          </w:p>
        </w:tc>
        <w:tc>
          <w:tcPr>
            <w:tcW w:w="1660" w:type="dxa"/>
            <w:vAlign w:val="center"/>
          </w:tcPr>
          <w:p>
            <w:pPr>
              <w:jc w:val="center"/>
              <w:rPr>
                <w:rFonts w:eastAsia="仿宋_GB2312"/>
                <w:szCs w:val="21"/>
              </w:rPr>
            </w:pPr>
            <w:r>
              <w:rPr>
                <w:color w:val="000000"/>
                <w:szCs w:val="21"/>
              </w:rPr>
              <w:t xml:space="preserve">22.45 </w:t>
            </w:r>
          </w:p>
        </w:tc>
      </w:tr>
    </w:tbl>
    <w:p>
      <w:pPr>
        <w:spacing w:line="560" w:lineRule="exact"/>
        <w:ind w:firstLine="602" w:firstLineChars="200"/>
        <w:rPr>
          <w:rFonts w:eastAsia="仿宋_GB2312"/>
          <w:sz w:val="30"/>
          <w:szCs w:val="30"/>
          <w:highlight w:val="yellow"/>
        </w:rPr>
      </w:pPr>
      <w:r>
        <w:rPr>
          <w:rFonts w:eastAsia="楷体"/>
          <w:b/>
          <w:sz w:val="30"/>
          <w:szCs w:val="30"/>
        </w:rPr>
        <w:t>农村生活污染防治方面，</w:t>
      </w:r>
      <w:r>
        <w:rPr>
          <w:rFonts w:eastAsia="仿宋_GB2312"/>
          <w:bCs/>
          <w:sz w:val="30"/>
          <w:szCs w:val="30"/>
        </w:rPr>
        <w:t>农村生活污水设施普及率相对较高，设施设计、建设、运维水平及达标率有待提高。截至2020年全区农村生活污水处理终端为1811个，总日处理量15651吨，受益总户数70775户，其中终端接户数55502户，简易设施接户数15273户。由浙江爱迪曼环保科技股份有限公司、浙江问源环保科技股份有限公司、浙江双良商达环保有限公司3家专业化运维机构负责全区农村生活污水日常运维。目前农村生活污水处理设施实现行政村全覆盖。</w:t>
      </w:r>
      <w:r>
        <w:rPr>
          <w:rFonts w:eastAsia="仿宋_GB2312"/>
          <w:sz w:val="30"/>
          <w:szCs w:val="30"/>
        </w:rPr>
        <w:t>根据南浔区农村生活污水治理设施监测评价报告数据显示，2019年南浔区农村生活污水治理设施总体达标率为82.6%。乡镇（开发区）达标率为55.9%~97.7%，最高为菱湖镇，最低为旧馆</w:t>
      </w:r>
      <w:r>
        <w:rPr>
          <w:rFonts w:hint="eastAsia" w:eastAsia="仿宋_GB2312"/>
          <w:sz w:val="30"/>
          <w:szCs w:val="30"/>
        </w:rPr>
        <w:t>街道</w:t>
      </w:r>
      <w:r>
        <w:rPr>
          <w:rFonts w:eastAsia="仿宋_GB2312"/>
          <w:sz w:val="30"/>
          <w:szCs w:val="30"/>
        </w:rPr>
        <w:t>。20吨/日以下的治理设施达标率偏低，平均为80.5%。</w:t>
      </w:r>
    </w:p>
    <w:p>
      <w:pPr>
        <w:jc w:val="center"/>
        <w:rPr>
          <w:rFonts w:eastAsia="黑体"/>
          <w:sz w:val="28"/>
          <w:szCs w:val="28"/>
        </w:rPr>
      </w:pPr>
    </w:p>
    <w:p>
      <w:pPr>
        <w:jc w:val="center"/>
        <w:rPr>
          <w:rFonts w:eastAsia="黑体"/>
          <w:sz w:val="28"/>
          <w:szCs w:val="28"/>
        </w:rPr>
      </w:pPr>
      <w:r>
        <w:rPr>
          <w:rFonts w:eastAsia="黑体"/>
          <w:sz w:val="28"/>
          <w:szCs w:val="28"/>
        </w:rPr>
        <w:t>表</w:t>
      </w:r>
      <w:r>
        <w:rPr>
          <w:rFonts w:hint="eastAsia" w:eastAsia="黑体"/>
          <w:sz w:val="28"/>
          <w:szCs w:val="28"/>
        </w:rPr>
        <w:t>1-</w:t>
      </w:r>
      <w:r>
        <w:rPr>
          <w:rFonts w:eastAsia="黑体"/>
          <w:sz w:val="28"/>
          <w:szCs w:val="28"/>
        </w:rPr>
        <w:t>1</w:t>
      </w:r>
      <w:r>
        <w:rPr>
          <w:rFonts w:hint="eastAsia" w:eastAsia="黑体"/>
          <w:sz w:val="28"/>
          <w:szCs w:val="28"/>
        </w:rPr>
        <w:t>4</w:t>
      </w:r>
      <w:r>
        <w:rPr>
          <w:rFonts w:eastAsia="黑体"/>
          <w:sz w:val="28"/>
          <w:szCs w:val="28"/>
        </w:rPr>
        <w:t xml:space="preserve">  2019年全区农村生活污水治理设施达标情况汇总表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widowControl/>
              <w:jc w:val="center"/>
              <w:rPr>
                <w:rFonts w:eastAsia="仿宋_GB2312"/>
                <w:b/>
                <w:color w:val="000000"/>
                <w:kern w:val="0"/>
                <w:szCs w:val="21"/>
              </w:rPr>
            </w:pPr>
            <w:r>
              <w:rPr>
                <w:rFonts w:eastAsia="仿宋_GB2312"/>
                <w:b/>
                <w:color w:val="000000"/>
                <w:kern w:val="0"/>
                <w:szCs w:val="21"/>
              </w:rPr>
              <w:t>乡镇</w:t>
            </w:r>
          </w:p>
        </w:tc>
        <w:tc>
          <w:tcPr>
            <w:tcW w:w="1659" w:type="dxa"/>
            <w:vAlign w:val="center"/>
          </w:tcPr>
          <w:p>
            <w:pPr>
              <w:widowControl/>
              <w:jc w:val="center"/>
              <w:rPr>
                <w:rFonts w:eastAsia="仿宋_GB2312"/>
                <w:b/>
                <w:color w:val="000000"/>
                <w:kern w:val="0"/>
                <w:szCs w:val="21"/>
              </w:rPr>
            </w:pPr>
            <w:r>
              <w:rPr>
                <w:rFonts w:eastAsia="仿宋_GB2312"/>
                <w:b/>
                <w:color w:val="000000"/>
                <w:kern w:val="0"/>
                <w:szCs w:val="21"/>
              </w:rPr>
              <w:t>50吨/日以上（含）达标率（%）</w:t>
            </w:r>
          </w:p>
        </w:tc>
        <w:tc>
          <w:tcPr>
            <w:tcW w:w="1659" w:type="dxa"/>
            <w:vAlign w:val="center"/>
          </w:tcPr>
          <w:p>
            <w:pPr>
              <w:widowControl/>
              <w:jc w:val="center"/>
              <w:rPr>
                <w:rFonts w:eastAsia="仿宋_GB2312"/>
                <w:b/>
                <w:color w:val="000000"/>
                <w:kern w:val="0"/>
                <w:szCs w:val="21"/>
              </w:rPr>
            </w:pPr>
            <w:r>
              <w:rPr>
                <w:rFonts w:eastAsia="仿宋_GB2312"/>
                <w:b/>
                <w:color w:val="000000"/>
                <w:kern w:val="0"/>
                <w:szCs w:val="21"/>
              </w:rPr>
              <w:t>20吨/日（含）~50吨/日之间达标率（%）</w:t>
            </w:r>
          </w:p>
        </w:tc>
        <w:tc>
          <w:tcPr>
            <w:tcW w:w="1659" w:type="dxa"/>
            <w:vAlign w:val="center"/>
          </w:tcPr>
          <w:p>
            <w:pPr>
              <w:widowControl/>
              <w:jc w:val="center"/>
              <w:rPr>
                <w:rFonts w:eastAsia="仿宋_GB2312"/>
                <w:b/>
                <w:color w:val="000000"/>
                <w:kern w:val="0"/>
                <w:szCs w:val="21"/>
              </w:rPr>
            </w:pPr>
            <w:r>
              <w:rPr>
                <w:rFonts w:eastAsia="仿宋_GB2312"/>
                <w:b/>
                <w:color w:val="000000"/>
                <w:kern w:val="0"/>
                <w:szCs w:val="21"/>
              </w:rPr>
              <w:t>20吨/日以下达标率（%）</w:t>
            </w:r>
          </w:p>
        </w:tc>
        <w:tc>
          <w:tcPr>
            <w:tcW w:w="1660" w:type="dxa"/>
            <w:vAlign w:val="center"/>
          </w:tcPr>
          <w:p>
            <w:pPr>
              <w:widowControl/>
              <w:jc w:val="center"/>
              <w:rPr>
                <w:rFonts w:eastAsia="仿宋_GB2312"/>
                <w:b/>
                <w:color w:val="000000"/>
                <w:kern w:val="0"/>
                <w:szCs w:val="21"/>
              </w:rPr>
            </w:pPr>
            <w:r>
              <w:rPr>
                <w:rFonts w:eastAsia="仿宋_GB2312"/>
                <w:b/>
                <w:color w:val="000000"/>
                <w:kern w:val="0"/>
                <w:szCs w:val="21"/>
              </w:rPr>
              <w:t>总体达标率（%）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和孚镇</w:t>
            </w:r>
          </w:p>
        </w:tc>
        <w:tc>
          <w:tcPr>
            <w:tcW w:w="1659" w:type="dxa"/>
            <w:vAlign w:val="center"/>
          </w:tcPr>
          <w:p>
            <w:pPr>
              <w:jc w:val="center"/>
              <w:rPr>
                <w:rFonts w:eastAsia="仿宋_GB2312"/>
                <w:szCs w:val="21"/>
              </w:rPr>
            </w:pPr>
            <w:r>
              <w:rPr>
                <w:rFonts w:eastAsia="仿宋_GB2312"/>
                <w:szCs w:val="21"/>
              </w:rPr>
              <w:t>--</w:t>
            </w:r>
          </w:p>
        </w:tc>
        <w:tc>
          <w:tcPr>
            <w:tcW w:w="1659" w:type="dxa"/>
            <w:vAlign w:val="center"/>
          </w:tcPr>
          <w:p>
            <w:pPr>
              <w:jc w:val="center"/>
              <w:rPr>
                <w:rFonts w:eastAsia="仿宋_GB2312"/>
                <w:szCs w:val="21"/>
              </w:rPr>
            </w:pPr>
            <w:r>
              <w:rPr>
                <w:rFonts w:eastAsia="仿宋_GB2312"/>
                <w:szCs w:val="21"/>
              </w:rPr>
              <w:t>64.0</w:t>
            </w:r>
          </w:p>
        </w:tc>
        <w:tc>
          <w:tcPr>
            <w:tcW w:w="1659" w:type="dxa"/>
            <w:vAlign w:val="center"/>
          </w:tcPr>
          <w:p>
            <w:pPr>
              <w:jc w:val="center"/>
              <w:rPr>
                <w:rFonts w:eastAsia="仿宋_GB2312"/>
                <w:szCs w:val="21"/>
              </w:rPr>
            </w:pPr>
            <w:r>
              <w:rPr>
                <w:rFonts w:eastAsia="仿宋_GB2312"/>
                <w:szCs w:val="21"/>
              </w:rPr>
              <w:t>82.1</w:t>
            </w:r>
          </w:p>
        </w:tc>
        <w:tc>
          <w:tcPr>
            <w:tcW w:w="1660" w:type="dxa"/>
            <w:vAlign w:val="center"/>
          </w:tcPr>
          <w:p>
            <w:pPr>
              <w:jc w:val="center"/>
              <w:rPr>
                <w:rFonts w:eastAsia="仿宋_GB2312"/>
                <w:szCs w:val="21"/>
              </w:rPr>
            </w:pPr>
            <w:r>
              <w:rPr>
                <w:rFonts w:eastAsia="仿宋_GB2312"/>
                <w:szCs w:val="21"/>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旧馆</w:t>
            </w:r>
            <w:r>
              <w:rPr>
                <w:rFonts w:hint="eastAsia" w:eastAsia="仿宋_GB2312"/>
                <w:szCs w:val="21"/>
              </w:rPr>
              <w:t>街道</w:t>
            </w:r>
          </w:p>
        </w:tc>
        <w:tc>
          <w:tcPr>
            <w:tcW w:w="1659" w:type="dxa"/>
            <w:vAlign w:val="center"/>
          </w:tcPr>
          <w:p>
            <w:pPr>
              <w:jc w:val="center"/>
              <w:rPr>
                <w:rFonts w:eastAsia="仿宋_GB2312"/>
                <w:szCs w:val="21"/>
              </w:rPr>
            </w:pPr>
            <w:r>
              <w:rPr>
                <w:rFonts w:eastAsia="仿宋_GB2312"/>
                <w:szCs w:val="21"/>
              </w:rPr>
              <w:t>--</w:t>
            </w:r>
          </w:p>
        </w:tc>
        <w:tc>
          <w:tcPr>
            <w:tcW w:w="1659" w:type="dxa"/>
            <w:vAlign w:val="center"/>
          </w:tcPr>
          <w:p>
            <w:pPr>
              <w:jc w:val="center"/>
              <w:rPr>
                <w:rFonts w:eastAsia="仿宋_GB2312"/>
                <w:szCs w:val="21"/>
              </w:rPr>
            </w:pPr>
            <w:r>
              <w:rPr>
                <w:rFonts w:eastAsia="仿宋_GB2312"/>
                <w:szCs w:val="21"/>
              </w:rPr>
              <w:t>92.9</w:t>
            </w:r>
          </w:p>
        </w:tc>
        <w:tc>
          <w:tcPr>
            <w:tcW w:w="1659" w:type="dxa"/>
            <w:vAlign w:val="center"/>
          </w:tcPr>
          <w:p>
            <w:pPr>
              <w:jc w:val="center"/>
              <w:rPr>
                <w:rFonts w:eastAsia="仿宋_GB2312"/>
                <w:szCs w:val="21"/>
              </w:rPr>
            </w:pPr>
            <w:r>
              <w:rPr>
                <w:rFonts w:eastAsia="仿宋_GB2312"/>
                <w:szCs w:val="21"/>
              </w:rPr>
              <w:t>50.5</w:t>
            </w:r>
          </w:p>
        </w:tc>
        <w:tc>
          <w:tcPr>
            <w:tcW w:w="1660" w:type="dxa"/>
            <w:vAlign w:val="center"/>
          </w:tcPr>
          <w:p>
            <w:pPr>
              <w:jc w:val="center"/>
              <w:rPr>
                <w:rFonts w:eastAsia="仿宋_GB2312"/>
                <w:szCs w:val="21"/>
              </w:rPr>
            </w:pPr>
            <w:r>
              <w:rPr>
                <w:rFonts w:eastAsia="仿宋_GB2312"/>
                <w:szCs w:val="21"/>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石淙镇</w:t>
            </w:r>
          </w:p>
        </w:tc>
        <w:tc>
          <w:tcPr>
            <w:tcW w:w="1659" w:type="dxa"/>
            <w:vAlign w:val="center"/>
          </w:tcPr>
          <w:p>
            <w:pPr>
              <w:jc w:val="center"/>
              <w:rPr>
                <w:rFonts w:eastAsia="仿宋_GB2312"/>
                <w:szCs w:val="21"/>
              </w:rPr>
            </w:pPr>
            <w:r>
              <w:rPr>
                <w:rFonts w:eastAsia="仿宋_GB2312"/>
                <w:szCs w:val="21"/>
              </w:rPr>
              <w:t>50.0</w:t>
            </w:r>
          </w:p>
        </w:tc>
        <w:tc>
          <w:tcPr>
            <w:tcW w:w="1659" w:type="dxa"/>
            <w:vAlign w:val="center"/>
          </w:tcPr>
          <w:p>
            <w:pPr>
              <w:jc w:val="center"/>
              <w:rPr>
                <w:rFonts w:eastAsia="仿宋_GB2312"/>
                <w:szCs w:val="21"/>
              </w:rPr>
            </w:pPr>
            <w:r>
              <w:rPr>
                <w:rFonts w:eastAsia="仿宋_GB2312"/>
                <w:szCs w:val="21"/>
              </w:rPr>
              <w:t>85.7</w:t>
            </w:r>
          </w:p>
        </w:tc>
        <w:tc>
          <w:tcPr>
            <w:tcW w:w="1659" w:type="dxa"/>
            <w:vAlign w:val="center"/>
          </w:tcPr>
          <w:p>
            <w:pPr>
              <w:jc w:val="center"/>
              <w:rPr>
                <w:rFonts w:eastAsia="仿宋_GB2312"/>
                <w:szCs w:val="21"/>
              </w:rPr>
            </w:pPr>
            <w:r>
              <w:rPr>
                <w:rFonts w:eastAsia="仿宋_GB2312"/>
                <w:szCs w:val="21"/>
              </w:rPr>
              <w:t>84.6</w:t>
            </w:r>
          </w:p>
        </w:tc>
        <w:tc>
          <w:tcPr>
            <w:tcW w:w="1660" w:type="dxa"/>
            <w:vAlign w:val="center"/>
          </w:tcPr>
          <w:p>
            <w:pPr>
              <w:jc w:val="center"/>
              <w:rPr>
                <w:rFonts w:eastAsia="仿宋_GB2312"/>
                <w:szCs w:val="21"/>
              </w:rPr>
            </w:pPr>
            <w:r>
              <w:rPr>
                <w:rFonts w:eastAsia="仿宋_GB2312"/>
                <w:szCs w:val="21"/>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练市镇</w:t>
            </w:r>
          </w:p>
        </w:tc>
        <w:tc>
          <w:tcPr>
            <w:tcW w:w="1659" w:type="dxa"/>
            <w:vAlign w:val="center"/>
          </w:tcPr>
          <w:p>
            <w:pPr>
              <w:jc w:val="center"/>
              <w:rPr>
                <w:rFonts w:eastAsia="仿宋_GB2312"/>
                <w:szCs w:val="21"/>
              </w:rPr>
            </w:pPr>
            <w:r>
              <w:rPr>
                <w:rFonts w:eastAsia="仿宋_GB2312"/>
                <w:szCs w:val="21"/>
              </w:rPr>
              <w:t>--</w:t>
            </w:r>
          </w:p>
        </w:tc>
        <w:tc>
          <w:tcPr>
            <w:tcW w:w="1659" w:type="dxa"/>
            <w:vAlign w:val="center"/>
          </w:tcPr>
          <w:p>
            <w:pPr>
              <w:jc w:val="center"/>
              <w:rPr>
                <w:rFonts w:eastAsia="仿宋_GB2312"/>
                <w:szCs w:val="21"/>
              </w:rPr>
            </w:pPr>
            <w:r>
              <w:rPr>
                <w:rFonts w:eastAsia="仿宋_GB2312"/>
                <w:szCs w:val="21"/>
              </w:rPr>
              <w:t>81.3</w:t>
            </w:r>
          </w:p>
        </w:tc>
        <w:tc>
          <w:tcPr>
            <w:tcW w:w="1659" w:type="dxa"/>
            <w:vAlign w:val="center"/>
          </w:tcPr>
          <w:p>
            <w:pPr>
              <w:jc w:val="center"/>
              <w:rPr>
                <w:rFonts w:eastAsia="仿宋_GB2312"/>
                <w:szCs w:val="21"/>
              </w:rPr>
            </w:pPr>
            <w:r>
              <w:rPr>
                <w:rFonts w:eastAsia="仿宋_GB2312"/>
                <w:szCs w:val="21"/>
              </w:rPr>
              <w:t>70.3</w:t>
            </w:r>
          </w:p>
        </w:tc>
        <w:tc>
          <w:tcPr>
            <w:tcW w:w="1660" w:type="dxa"/>
            <w:vAlign w:val="center"/>
          </w:tcPr>
          <w:p>
            <w:pPr>
              <w:jc w:val="center"/>
              <w:rPr>
                <w:rFonts w:eastAsia="仿宋_GB2312"/>
                <w:szCs w:val="21"/>
              </w:rPr>
            </w:pPr>
            <w:r>
              <w:rPr>
                <w:rFonts w:eastAsia="仿宋_GB2312"/>
                <w:szCs w:val="21"/>
              </w:rPr>
              <w:t>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善琏镇</w:t>
            </w:r>
          </w:p>
        </w:tc>
        <w:tc>
          <w:tcPr>
            <w:tcW w:w="1659" w:type="dxa"/>
            <w:vAlign w:val="center"/>
          </w:tcPr>
          <w:p>
            <w:pPr>
              <w:jc w:val="center"/>
              <w:rPr>
                <w:rFonts w:eastAsia="仿宋_GB2312"/>
                <w:szCs w:val="21"/>
              </w:rPr>
            </w:pPr>
            <w:r>
              <w:rPr>
                <w:rFonts w:eastAsia="仿宋_GB2312"/>
                <w:szCs w:val="21"/>
              </w:rPr>
              <w:t>75.0</w:t>
            </w:r>
          </w:p>
        </w:tc>
        <w:tc>
          <w:tcPr>
            <w:tcW w:w="1659" w:type="dxa"/>
            <w:vAlign w:val="center"/>
          </w:tcPr>
          <w:p>
            <w:pPr>
              <w:jc w:val="center"/>
              <w:rPr>
                <w:rFonts w:eastAsia="仿宋_GB2312"/>
                <w:szCs w:val="21"/>
              </w:rPr>
            </w:pPr>
            <w:r>
              <w:rPr>
                <w:rFonts w:eastAsia="仿宋_GB2312"/>
                <w:szCs w:val="21"/>
              </w:rPr>
              <w:t>83.3</w:t>
            </w:r>
          </w:p>
        </w:tc>
        <w:tc>
          <w:tcPr>
            <w:tcW w:w="1659" w:type="dxa"/>
            <w:vAlign w:val="center"/>
          </w:tcPr>
          <w:p>
            <w:pPr>
              <w:jc w:val="center"/>
              <w:rPr>
                <w:rFonts w:eastAsia="仿宋_GB2312"/>
                <w:szCs w:val="21"/>
              </w:rPr>
            </w:pPr>
            <w:r>
              <w:rPr>
                <w:rFonts w:eastAsia="仿宋_GB2312"/>
                <w:szCs w:val="21"/>
              </w:rPr>
              <w:t>62.7</w:t>
            </w:r>
          </w:p>
        </w:tc>
        <w:tc>
          <w:tcPr>
            <w:tcW w:w="1660" w:type="dxa"/>
            <w:vAlign w:val="center"/>
          </w:tcPr>
          <w:p>
            <w:pPr>
              <w:jc w:val="center"/>
              <w:rPr>
                <w:rFonts w:eastAsia="仿宋_GB2312"/>
                <w:szCs w:val="21"/>
              </w:rPr>
            </w:pPr>
            <w:r>
              <w:rPr>
                <w:rFonts w:eastAsia="仿宋_GB2312"/>
                <w:szCs w:val="21"/>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菱湖镇</w:t>
            </w:r>
          </w:p>
        </w:tc>
        <w:tc>
          <w:tcPr>
            <w:tcW w:w="1659" w:type="dxa"/>
            <w:vAlign w:val="center"/>
          </w:tcPr>
          <w:p>
            <w:pPr>
              <w:jc w:val="center"/>
              <w:rPr>
                <w:rFonts w:eastAsia="仿宋_GB2312"/>
                <w:szCs w:val="21"/>
              </w:rPr>
            </w:pPr>
            <w:r>
              <w:rPr>
                <w:rFonts w:eastAsia="仿宋_GB2312"/>
                <w:szCs w:val="21"/>
              </w:rPr>
              <w:t>100</w:t>
            </w:r>
          </w:p>
        </w:tc>
        <w:tc>
          <w:tcPr>
            <w:tcW w:w="1659" w:type="dxa"/>
            <w:vAlign w:val="center"/>
          </w:tcPr>
          <w:p>
            <w:pPr>
              <w:jc w:val="center"/>
              <w:rPr>
                <w:rFonts w:eastAsia="仿宋_GB2312"/>
                <w:szCs w:val="21"/>
              </w:rPr>
            </w:pPr>
            <w:r>
              <w:rPr>
                <w:rFonts w:eastAsia="仿宋_GB2312"/>
                <w:szCs w:val="21"/>
              </w:rPr>
              <w:t>95.1</w:t>
            </w:r>
          </w:p>
        </w:tc>
        <w:tc>
          <w:tcPr>
            <w:tcW w:w="1659" w:type="dxa"/>
            <w:vAlign w:val="center"/>
          </w:tcPr>
          <w:p>
            <w:pPr>
              <w:jc w:val="center"/>
              <w:rPr>
                <w:rFonts w:eastAsia="仿宋_GB2312"/>
                <w:szCs w:val="21"/>
              </w:rPr>
            </w:pPr>
            <w:r>
              <w:rPr>
                <w:rFonts w:eastAsia="仿宋_GB2312"/>
                <w:szCs w:val="21"/>
              </w:rPr>
              <w:t>100</w:t>
            </w:r>
          </w:p>
        </w:tc>
        <w:tc>
          <w:tcPr>
            <w:tcW w:w="1660" w:type="dxa"/>
            <w:vAlign w:val="center"/>
          </w:tcPr>
          <w:p>
            <w:pPr>
              <w:jc w:val="center"/>
              <w:rPr>
                <w:rFonts w:eastAsia="仿宋_GB2312"/>
                <w:szCs w:val="21"/>
              </w:rPr>
            </w:pPr>
            <w:r>
              <w:rPr>
                <w:rFonts w:eastAsia="仿宋_GB2312"/>
                <w:szCs w:val="21"/>
              </w:rPr>
              <w:t>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南浔镇</w:t>
            </w:r>
          </w:p>
        </w:tc>
        <w:tc>
          <w:tcPr>
            <w:tcW w:w="1659" w:type="dxa"/>
            <w:vAlign w:val="center"/>
          </w:tcPr>
          <w:p>
            <w:pPr>
              <w:jc w:val="center"/>
              <w:rPr>
                <w:rFonts w:eastAsia="仿宋_GB2312"/>
                <w:szCs w:val="21"/>
              </w:rPr>
            </w:pPr>
            <w:r>
              <w:rPr>
                <w:rFonts w:eastAsia="仿宋_GB2312"/>
                <w:szCs w:val="21"/>
              </w:rPr>
              <w:t>100</w:t>
            </w:r>
          </w:p>
        </w:tc>
        <w:tc>
          <w:tcPr>
            <w:tcW w:w="1659" w:type="dxa"/>
            <w:vAlign w:val="center"/>
          </w:tcPr>
          <w:p>
            <w:pPr>
              <w:jc w:val="center"/>
              <w:rPr>
                <w:rFonts w:eastAsia="仿宋_GB2312"/>
                <w:szCs w:val="21"/>
              </w:rPr>
            </w:pPr>
            <w:r>
              <w:rPr>
                <w:rFonts w:eastAsia="仿宋_GB2312"/>
                <w:szCs w:val="21"/>
              </w:rPr>
              <w:t>92.1</w:t>
            </w:r>
          </w:p>
        </w:tc>
        <w:tc>
          <w:tcPr>
            <w:tcW w:w="1659" w:type="dxa"/>
            <w:vAlign w:val="center"/>
          </w:tcPr>
          <w:p>
            <w:pPr>
              <w:jc w:val="center"/>
              <w:rPr>
                <w:rFonts w:eastAsia="仿宋_GB2312"/>
                <w:szCs w:val="21"/>
              </w:rPr>
            </w:pPr>
            <w:r>
              <w:rPr>
                <w:rFonts w:eastAsia="仿宋_GB2312"/>
                <w:szCs w:val="21"/>
              </w:rPr>
              <w:t>91.2</w:t>
            </w:r>
          </w:p>
        </w:tc>
        <w:tc>
          <w:tcPr>
            <w:tcW w:w="1660" w:type="dxa"/>
            <w:vAlign w:val="center"/>
          </w:tcPr>
          <w:p>
            <w:pPr>
              <w:jc w:val="center"/>
              <w:rPr>
                <w:rFonts w:eastAsia="仿宋_GB2312"/>
                <w:szCs w:val="21"/>
              </w:rPr>
            </w:pPr>
            <w:r>
              <w:rPr>
                <w:rFonts w:eastAsia="仿宋_GB2312"/>
                <w:szCs w:val="21"/>
              </w:rPr>
              <w:t>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千金镇</w:t>
            </w:r>
          </w:p>
        </w:tc>
        <w:tc>
          <w:tcPr>
            <w:tcW w:w="1659" w:type="dxa"/>
            <w:vAlign w:val="center"/>
          </w:tcPr>
          <w:p>
            <w:pPr>
              <w:jc w:val="center"/>
              <w:rPr>
                <w:rFonts w:eastAsia="仿宋_GB2312"/>
                <w:szCs w:val="21"/>
              </w:rPr>
            </w:pPr>
            <w:r>
              <w:rPr>
                <w:rFonts w:eastAsia="仿宋_GB2312"/>
                <w:szCs w:val="21"/>
              </w:rPr>
              <w:t>--</w:t>
            </w:r>
          </w:p>
        </w:tc>
        <w:tc>
          <w:tcPr>
            <w:tcW w:w="1659" w:type="dxa"/>
            <w:vAlign w:val="center"/>
          </w:tcPr>
          <w:p>
            <w:pPr>
              <w:jc w:val="center"/>
              <w:rPr>
                <w:rFonts w:eastAsia="仿宋_GB2312"/>
                <w:szCs w:val="21"/>
              </w:rPr>
            </w:pPr>
            <w:r>
              <w:rPr>
                <w:rFonts w:eastAsia="仿宋_GB2312"/>
                <w:szCs w:val="21"/>
              </w:rPr>
              <w:t>100</w:t>
            </w:r>
          </w:p>
        </w:tc>
        <w:tc>
          <w:tcPr>
            <w:tcW w:w="1659" w:type="dxa"/>
            <w:vAlign w:val="center"/>
          </w:tcPr>
          <w:p>
            <w:pPr>
              <w:jc w:val="center"/>
              <w:rPr>
                <w:rFonts w:eastAsia="仿宋_GB2312"/>
                <w:szCs w:val="21"/>
              </w:rPr>
            </w:pPr>
            <w:r>
              <w:rPr>
                <w:rFonts w:eastAsia="仿宋_GB2312"/>
                <w:szCs w:val="21"/>
              </w:rPr>
              <w:t>88.6</w:t>
            </w:r>
          </w:p>
        </w:tc>
        <w:tc>
          <w:tcPr>
            <w:tcW w:w="1660" w:type="dxa"/>
            <w:vAlign w:val="center"/>
          </w:tcPr>
          <w:p>
            <w:pPr>
              <w:jc w:val="center"/>
              <w:rPr>
                <w:rFonts w:eastAsia="仿宋_GB2312"/>
                <w:szCs w:val="21"/>
              </w:rPr>
            </w:pPr>
            <w:r>
              <w:rPr>
                <w:rFonts w:eastAsia="仿宋_GB2312"/>
                <w:szCs w:val="21"/>
              </w:rPr>
              <w:t>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双林镇</w:t>
            </w:r>
          </w:p>
        </w:tc>
        <w:tc>
          <w:tcPr>
            <w:tcW w:w="1659" w:type="dxa"/>
            <w:vAlign w:val="center"/>
          </w:tcPr>
          <w:p>
            <w:pPr>
              <w:jc w:val="center"/>
              <w:rPr>
                <w:rFonts w:eastAsia="仿宋_GB2312"/>
                <w:szCs w:val="21"/>
              </w:rPr>
            </w:pPr>
            <w:r>
              <w:rPr>
                <w:rFonts w:eastAsia="仿宋_GB2312"/>
                <w:szCs w:val="21"/>
              </w:rPr>
              <w:t>100</w:t>
            </w:r>
          </w:p>
        </w:tc>
        <w:tc>
          <w:tcPr>
            <w:tcW w:w="1659" w:type="dxa"/>
            <w:vAlign w:val="center"/>
          </w:tcPr>
          <w:p>
            <w:pPr>
              <w:jc w:val="center"/>
              <w:rPr>
                <w:rFonts w:eastAsia="仿宋_GB2312"/>
                <w:szCs w:val="21"/>
              </w:rPr>
            </w:pPr>
            <w:r>
              <w:rPr>
                <w:rFonts w:eastAsia="仿宋_GB2312"/>
                <w:szCs w:val="21"/>
              </w:rPr>
              <w:t>95.2</w:t>
            </w:r>
          </w:p>
        </w:tc>
        <w:tc>
          <w:tcPr>
            <w:tcW w:w="1659" w:type="dxa"/>
            <w:vAlign w:val="center"/>
          </w:tcPr>
          <w:p>
            <w:pPr>
              <w:jc w:val="center"/>
              <w:rPr>
                <w:rFonts w:eastAsia="仿宋_GB2312"/>
                <w:szCs w:val="21"/>
              </w:rPr>
            </w:pPr>
            <w:r>
              <w:rPr>
                <w:rFonts w:eastAsia="仿宋_GB2312"/>
                <w:szCs w:val="21"/>
              </w:rPr>
              <w:t>94.3</w:t>
            </w:r>
          </w:p>
        </w:tc>
        <w:tc>
          <w:tcPr>
            <w:tcW w:w="1660" w:type="dxa"/>
            <w:vAlign w:val="center"/>
          </w:tcPr>
          <w:p>
            <w:pPr>
              <w:jc w:val="center"/>
              <w:rPr>
                <w:rFonts w:eastAsia="仿宋_GB2312"/>
                <w:szCs w:val="21"/>
              </w:rPr>
            </w:pPr>
            <w:r>
              <w:rPr>
                <w:rFonts w:eastAsia="仿宋_GB2312"/>
                <w:szCs w:val="21"/>
              </w:rPr>
              <w:t>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南浔开发区</w:t>
            </w:r>
          </w:p>
        </w:tc>
        <w:tc>
          <w:tcPr>
            <w:tcW w:w="1659" w:type="dxa"/>
            <w:vAlign w:val="center"/>
          </w:tcPr>
          <w:p>
            <w:pPr>
              <w:jc w:val="center"/>
              <w:rPr>
                <w:rFonts w:eastAsia="仿宋_GB2312"/>
                <w:szCs w:val="21"/>
              </w:rPr>
            </w:pPr>
            <w:r>
              <w:rPr>
                <w:rFonts w:eastAsia="仿宋_GB2312"/>
                <w:szCs w:val="21"/>
              </w:rPr>
              <w:t>--</w:t>
            </w:r>
          </w:p>
        </w:tc>
        <w:tc>
          <w:tcPr>
            <w:tcW w:w="1659" w:type="dxa"/>
            <w:vAlign w:val="center"/>
          </w:tcPr>
          <w:p>
            <w:pPr>
              <w:jc w:val="center"/>
              <w:rPr>
                <w:rFonts w:eastAsia="仿宋_GB2312"/>
                <w:szCs w:val="21"/>
              </w:rPr>
            </w:pPr>
            <w:r>
              <w:rPr>
                <w:rFonts w:eastAsia="仿宋_GB2312"/>
                <w:szCs w:val="21"/>
              </w:rPr>
              <w:t>100</w:t>
            </w:r>
          </w:p>
        </w:tc>
        <w:tc>
          <w:tcPr>
            <w:tcW w:w="1659" w:type="dxa"/>
            <w:vAlign w:val="center"/>
          </w:tcPr>
          <w:p>
            <w:pPr>
              <w:jc w:val="center"/>
              <w:rPr>
                <w:rFonts w:eastAsia="仿宋_GB2312"/>
                <w:szCs w:val="21"/>
              </w:rPr>
            </w:pPr>
            <w:r>
              <w:rPr>
                <w:rFonts w:eastAsia="仿宋_GB2312"/>
                <w:szCs w:val="21"/>
              </w:rPr>
              <w:t>93.9</w:t>
            </w:r>
          </w:p>
        </w:tc>
        <w:tc>
          <w:tcPr>
            <w:tcW w:w="1660" w:type="dxa"/>
            <w:vAlign w:val="center"/>
          </w:tcPr>
          <w:p>
            <w:pPr>
              <w:jc w:val="center"/>
              <w:rPr>
                <w:rFonts w:eastAsia="仿宋_GB2312"/>
                <w:szCs w:val="21"/>
              </w:rPr>
            </w:pPr>
            <w:r>
              <w:rPr>
                <w:rFonts w:eastAsia="仿宋_GB2312"/>
                <w:szCs w:val="21"/>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jc w:val="center"/>
              <w:rPr>
                <w:rFonts w:eastAsia="仿宋_GB2312"/>
                <w:szCs w:val="21"/>
              </w:rPr>
            </w:pPr>
            <w:r>
              <w:rPr>
                <w:rFonts w:eastAsia="仿宋_GB2312"/>
                <w:szCs w:val="21"/>
              </w:rPr>
              <w:t>合计</w:t>
            </w:r>
          </w:p>
        </w:tc>
        <w:tc>
          <w:tcPr>
            <w:tcW w:w="1659" w:type="dxa"/>
            <w:vAlign w:val="center"/>
          </w:tcPr>
          <w:p>
            <w:pPr>
              <w:jc w:val="center"/>
              <w:rPr>
                <w:rFonts w:eastAsia="仿宋_GB2312"/>
                <w:szCs w:val="21"/>
              </w:rPr>
            </w:pPr>
            <w:r>
              <w:rPr>
                <w:rFonts w:eastAsia="仿宋_GB2312"/>
                <w:szCs w:val="21"/>
              </w:rPr>
              <w:t>94.6</w:t>
            </w:r>
          </w:p>
        </w:tc>
        <w:tc>
          <w:tcPr>
            <w:tcW w:w="1659" w:type="dxa"/>
            <w:vAlign w:val="center"/>
          </w:tcPr>
          <w:p>
            <w:pPr>
              <w:jc w:val="center"/>
              <w:rPr>
                <w:rFonts w:eastAsia="仿宋_GB2312"/>
                <w:szCs w:val="21"/>
              </w:rPr>
            </w:pPr>
            <w:r>
              <w:rPr>
                <w:rFonts w:eastAsia="仿宋_GB2312"/>
                <w:szCs w:val="21"/>
              </w:rPr>
              <w:t>87.9</w:t>
            </w:r>
          </w:p>
        </w:tc>
        <w:tc>
          <w:tcPr>
            <w:tcW w:w="1659" w:type="dxa"/>
            <w:vAlign w:val="center"/>
          </w:tcPr>
          <w:p>
            <w:pPr>
              <w:jc w:val="center"/>
              <w:rPr>
                <w:rFonts w:eastAsia="仿宋_GB2312"/>
                <w:szCs w:val="21"/>
              </w:rPr>
            </w:pPr>
            <w:r>
              <w:rPr>
                <w:rFonts w:eastAsia="仿宋_GB2312"/>
                <w:szCs w:val="21"/>
              </w:rPr>
              <w:t>80.5</w:t>
            </w:r>
          </w:p>
        </w:tc>
        <w:tc>
          <w:tcPr>
            <w:tcW w:w="1660" w:type="dxa"/>
            <w:vAlign w:val="center"/>
          </w:tcPr>
          <w:p>
            <w:pPr>
              <w:jc w:val="center"/>
              <w:rPr>
                <w:rFonts w:eastAsia="仿宋_GB2312"/>
                <w:szCs w:val="21"/>
              </w:rPr>
            </w:pPr>
            <w:r>
              <w:rPr>
                <w:rFonts w:eastAsia="仿宋_GB2312"/>
                <w:szCs w:val="21"/>
              </w:rPr>
              <w:t>82.6</w:t>
            </w:r>
          </w:p>
        </w:tc>
      </w:tr>
    </w:tbl>
    <w:p>
      <w:pPr>
        <w:ind w:firstLine="602" w:firstLineChars="200"/>
        <w:rPr>
          <w:rFonts w:hint="eastAsia" w:ascii="宋体" w:hAnsi="宋体" w:cs="宋体"/>
          <w:b/>
          <w:sz w:val="30"/>
          <w:szCs w:val="30"/>
        </w:rPr>
      </w:pPr>
    </w:p>
    <w:p>
      <w:pPr>
        <w:ind w:firstLine="602" w:firstLineChars="200"/>
        <w:rPr>
          <w:rFonts w:eastAsia="仿宋_GB2312"/>
          <w:b/>
          <w:sz w:val="30"/>
          <w:szCs w:val="30"/>
        </w:rPr>
      </w:pPr>
      <w:r>
        <w:rPr>
          <w:rFonts w:hint="eastAsia" w:ascii="宋体" w:hAnsi="宋体" w:cs="宋体"/>
          <w:b/>
          <w:sz w:val="30"/>
          <w:szCs w:val="30"/>
        </w:rPr>
        <w:t>③</w:t>
      </w:r>
      <w:r>
        <w:rPr>
          <w:rFonts w:eastAsia="仿宋_GB2312"/>
          <w:b/>
          <w:sz w:val="30"/>
          <w:szCs w:val="30"/>
        </w:rPr>
        <w:t xml:space="preserve"> 工业</w:t>
      </w:r>
    </w:p>
    <w:p>
      <w:pPr>
        <w:spacing w:line="560" w:lineRule="exact"/>
        <w:ind w:firstLine="602" w:firstLineChars="200"/>
        <w:rPr>
          <w:rFonts w:eastAsia="仿宋_GB2312"/>
          <w:sz w:val="30"/>
          <w:szCs w:val="30"/>
        </w:rPr>
      </w:pPr>
      <w:r>
        <w:rPr>
          <w:rFonts w:eastAsia="楷体"/>
          <w:b/>
          <w:sz w:val="30"/>
          <w:szCs w:val="30"/>
        </w:rPr>
        <w:t>工业排放量方面，</w:t>
      </w:r>
      <w:r>
        <w:rPr>
          <w:rFonts w:eastAsia="仿宋_GB2312"/>
          <w:sz w:val="30"/>
          <w:szCs w:val="30"/>
        </w:rPr>
        <w:t>根据环境统计数据，2019年南浔区共有涉水企业206家，其中205家企业废水全部进入城市污水处理厂，纳管率达到99.88%。工业源化学需氧量、氨氮、总氮和总磷排放量分别为576.76吨、15.08吨、114.84吨和2.89吨，分别占全区总排放量的16.96%、2.62%、10.78%和4.80%。</w:t>
      </w:r>
    </w:p>
    <w:p>
      <w:pPr>
        <w:spacing w:line="560" w:lineRule="exact"/>
        <w:ind w:firstLine="602" w:firstLineChars="200"/>
        <w:rPr>
          <w:rFonts w:eastAsia="仿宋_GB2312"/>
          <w:sz w:val="30"/>
          <w:szCs w:val="30"/>
        </w:rPr>
      </w:pPr>
      <w:r>
        <w:rPr>
          <w:rFonts w:eastAsia="楷体"/>
          <w:b/>
          <w:sz w:val="30"/>
          <w:szCs w:val="30"/>
        </w:rPr>
        <w:t>污染排放行业方面，</w:t>
      </w:r>
      <w:r>
        <w:rPr>
          <w:rFonts w:eastAsia="仿宋_GB2312"/>
          <w:sz w:val="30"/>
          <w:szCs w:val="30"/>
        </w:rPr>
        <w:t>纺织业是全区最大废水排放行业，2019年全行业化学需氧量、氨氮、总氮、总磷排放量分别为391.74吨、6.81吨、89.43吨、2.31吨，分别占全区工业企业排放量的89.99%、91.90%、91.03%和93.90%。</w:t>
      </w:r>
    </w:p>
    <w:p>
      <w:pPr>
        <w:ind w:firstLine="602" w:firstLineChars="200"/>
        <w:rPr>
          <w:rFonts w:hint="eastAsia" w:ascii="宋体" w:hAnsi="宋体" w:cs="宋体"/>
          <w:b/>
          <w:sz w:val="30"/>
          <w:szCs w:val="30"/>
        </w:rPr>
      </w:pPr>
    </w:p>
    <w:p>
      <w:pPr>
        <w:ind w:firstLine="602" w:firstLineChars="200"/>
        <w:rPr>
          <w:rFonts w:eastAsia="仿宋_GB2312"/>
          <w:b/>
          <w:sz w:val="30"/>
          <w:szCs w:val="30"/>
        </w:rPr>
      </w:pPr>
      <w:r>
        <w:rPr>
          <w:rFonts w:hint="eastAsia" w:ascii="宋体" w:hAnsi="宋体" w:cs="宋体"/>
          <w:b/>
          <w:sz w:val="30"/>
          <w:szCs w:val="30"/>
        </w:rPr>
        <w:t>④</w:t>
      </w:r>
      <w:r>
        <w:rPr>
          <w:rFonts w:eastAsia="仿宋_GB2312"/>
          <w:b/>
          <w:sz w:val="30"/>
          <w:szCs w:val="30"/>
        </w:rPr>
        <w:t xml:space="preserve"> 航运码头</w:t>
      </w:r>
    </w:p>
    <w:p>
      <w:pPr>
        <w:ind w:firstLine="560" w:firstLineChars="200"/>
        <w:rPr>
          <w:rFonts w:eastAsia="仿宋_GB2312"/>
          <w:sz w:val="28"/>
          <w:szCs w:val="28"/>
        </w:rPr>
      </w:pPr>
      <w:r>
        <w:rPr>
          <w:rFonts w:eastAsia="仿宋_GB2312"/>
          <w:sz w:val="28"/>
          <w:szCs w:val="28"/>
        </w:rPr>
        <w:t>根据湖州市历年统计年鉴数据，湖州市区2019年内河航道里程总计643.68公里，其中三级航道94.07公里，四级航道111.30公里，五级航道36.90公里。内河货运量由2015年的1650万吨提升至2019年的1883万吨。船舶拥有数量总体减少，但净载重吨位增加。市区船舶平均载重量为516吨，平均超过四级航道500吨的限制吨位。湖州市船舶满载吃水普遍达2.4～3.2米甚至更高，由于湖州市航道深度平均在3～4米左右，船舶行进对底泥扰动情况严重，造成水体浑浊。</w:t>
      </w:r>
    </w:p>
    <w:p>
      <w:pPr>
        <w:jc w:val="center"/>
        <w:rPr>
          <w:rFonts w:eastAsia="黑体"/>
          <w:sz w:val="28"/>
          <w:szCs w:val="28"/>
        </w:rPr>
      </w:pPr>
    </w:p>
    <w:p>
      <w:pPr>
        <w:jc w:val="center"/>
        <w:rPr>
          <w:rFonts w:eastAsia="黑体"/>
          <w:sz w:val="28"/>
          <w:szCs w:val="28"/>
        </w:rPr>
      </w:pPr>
      <w:r>
        <w:rPr>
          <w:rFonts w:eastAsia="黑体"/>
          <w:sz w:val="28"/>
          <w:szCs w:val="28"/>
        </w:rPr>
        <w:t>表</w:t>
      </w:r>
      <w:r>
        <w:rPr>
          <w:rFonts w:hint="eastAsia" w:eastAsia="黑体"/>
          <w:sz w:val="28"/>
          <w:szCs w:val="28"/>
        </w:rPr>
        <w:t>1-</w:t>
      </w:r>
      <w:r>
        <w:rPr>
          <w:rFonts w:eastAsia="黑体"/>
          <w:sz w:val="28"/>
          <w:szCs w:val="28"/>
        </w:rPr>
        <w:t>1</w:t>
      </w:r>
      <w:r>
        <w:rPr>
          <w:rFonts w:hint="eastAsia" w:eastAsia="黑体"/>
          <w:sz w:val="28"/>
          <w:szCs w:val="28"/>
        </w:rPr>
        <w:t>5</w:t>
      </w:r>
      <w:r>
        <w:rPr>
          <w:rFonts w:eastAsia="黑体"/>
          <w:sz w:val="28"/>
          <w:szCs w:val="28"/>
        </w:rPr>
        <w:t xml:space="preserve"> 湖州市区2015-2019年船舶拥有量</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0" w:type="dxa"/>
          <w:right w:w="15" w:type="dxa"/>
        </w:tblCellMar>
      </w:tblPr>
      <w:tblGrid>
        <w:gridCol w:w="1417"/>
        <w:gridCol w:w="1422"/>
        <w:gridCol w:w="1422"/>
        <w:gridCol w:w="1294"/>
        <w:gridCol w:w="1390"/>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0" w:type="dxa"/>
            <w:right w:w="15" w:type="dxa"/>
          </w:tblCellMar>
        </w:tblPrEx>
        <w:trPr>
          <w:trHeight w:val="20" w:hRule="atLeast"/>
          <w:tblHeader/>
        </w:trPr>
        <w:tc>
          <w:tcPr>
            <w:tcW w:w="850" w:type="pct"/>
            <w:shd w:val="clear" w:color="auto" w:fill="FFFFFF"/>
            <w:vAlign w:val="center"/>
          </w:tcPr>
          <w:p>
            <w:pPr>
              <w:widowControl/>
              <w:jc w:val="center"/>
              <w:rPr>
                <w:rFonts w:eastAsia="仿宋_GB2312"/>
                <w:b/>
                <w:color w:val="000000"/>
                <w:kern w:val="0"/>
                <w:szCs w:val="21"/>
              </w:rPr>
            </w:pPr>
            <w:r>
              <w:rPr>
                <w:rFonts w:eastAsia="仿宋_GB2312"/>
                <w:b/>
                <w:color w:val="000000"/>
                <w:kern w:val="0"/>
                <w:szCs w:val="21"/>
              </w:rPr>
              <w:t>年份</w:t>
            </w:r>
          </w:p>
        </w:tc>
        <w:tc>
          <w:tcPr>
            <w:tcW w:w="853" w:type="pct"/>
            <w:shd w:val="clear" w:color="auto" w:fill="FFFFFF"/>
          </w:tcPr>
          <w:p>
            <w:pPr>
              <w:widowControl/>
              <w:jc w:val="center"/>
              <w:rPr>
                <w:rFonts w:eastAsia="仿宋_GB2312"/>
                <w:b/>
                <w:color w:val="000000"/>
                <w:kern w:val="0"/>
                <w:szCs w:val="21"/>
              </w:rPr>
            </w:pPr>
            <w:r>
              <w:rPr>
                <w:rFonts w:eastAsia="仿宋_GB2312"/>
                <w:b/>
                <w:color w:val="000000"/>
                <w:kern w:val="0"/>
                <w:szCs w:val="21"/>
              </w:rPr>
              <w:t>内河货运量</w:t>
            </w:r>
          </w:p>
          <w:p>
            <w:pPr>
              <w:widowControl/>
              <w:jc w:val="center"/>
              <w:rPr>
                <w:rFonts w:eastAsia="仿宋_GB2312"/>
                <w:b/>
                <w:color w:val="000000"/>
                <w:kern w:val="0"/>
                <w:szCs w:val="21"/>
              </w:rPr>
            </w:pPr>
            <w:r>
              <w:rPr>
                <w:rFonts w:eastAsia="仿宋_GB2312"/>
                <w:b/>
                <w:color w:val="000000"/>
                <w:kern w:val="0"/>
                <w:szCs w:val="21"/>
              </w:rPr>
              <w:t>（万吨）</w:t>
            </w:r>
          </w:p>
        </w:tc>
        <w:tc>
          <w:tcPr>
            <w:tcW w:w="853" w:type="pct"/>
            <w:shd w:val="clear" w:color="auto" w:fill="FFFFFF"/>
            <w:vAlign w:val="center"/>
          </w:tcPr>
          <w:p>
            <w:pPr>
              <w:widowControl/>
              <w:jc w:val="center"/>
              <w:rPr>
                <w:rFonts w:eastAsia="仿宋_GB2312"/>
                <w:b/>
                <w:color w:val="000000"/>
                <w:kern w:val="0"/>
                <w:szCs w:val="21"/>
              </w:rPr>
            </w:pPr>
            <w:r>
              <w:rPr>
                <w:rFonts w:eastAsia="仿宋_GB2312"/>
                <w:b/>
                <w:color w:val="000000"/>
                <w:kern w:val="0"/>
                <w:szCs w:val="21"/>
              </w:rPr>
              <w:t>机动船</w:t>
            </w:r>
          </w:p>
          <w:p>
            <w:pPr>
              <w:widowControl/>
              <w:jc w:val="center"/>
              <w:rPr>
                <w:rFonts w:eastAsia="仿宋_GB2312"/>
                <w:b/>
                <w:color w:val="000000"/>
                <w:kern w:val="0"/>
                <w:szCs w:val="21"/>
              </w:rPr>
            </w:pPr>
            <w:r>
              <w:rPr>
                <w:rFonts w:eastAsia="仿宋_GB2312"/>
                <w:b/>
                <w:color w:val="000000"/>
                <w:kern w:val="0"/>
                <w:szCs w:val="21"/>
              </w:rPr>
              <w:t>艘数（艘）</w:t>
            </w:r>
          </w:p>
        </w:tc>
        <w:tc>
          <w:tcPr>
            <w:tcW w:w="776" w:type="pct"/>
            <w:shd w:val="clear" w:color="auto" w:fill="FFFFFF"/>
            <w:vAlign w:val="center"/>
          </w:tcPr>
          <w:p>
            <w:pPr>
              <w:widowControl/>
              <w:jc w:val="center"/>
              <w:rPr>
                <w:rFonts w:eastAsia="仿宋_GB2312"/>
                <w:b/>
                <w:color w:val="000000"/>
                <w:kern w:val="0"/>
                <w:szCs w:val="21"/>
              </w:rPr>
            </w:pPr>
            <w:r>
              <w:rPr>
                <w:rFonts w:eastAsia="仿宋_GB2312"/>
                <w:b/>
                <w:color w:val="000000"/>
                <w:kern w:val="0"/>
                <w:szCs w:val="21"/>
              </w:rPr>
              <w:t>其中：货船艘数</w:t>
            </w:r>
          </w:p>
        </w:tc>
        <w:tc>
          <w:tcPr>
            <w:tcW w:w="834" w:type="pct"/>
            <w:shd w:val="clear" w:color="auto" w:fill="FFFFFF"/>
            <w:vAlign w:val="center"/>
          </w:tcPr>
          <w:p>
            <w:pPr>
              <w:widowControl/>
              <w:jc w:val="center"/>
              <w:rPr>
                <w:rFonts w:eastAsia="仿宋_GB2312"/>
                <w:b/>
                <w:color w:val="000000"/>
                <w:kern w:val="0"/>
                <w:szCs w:val="21"/>
              </w:rPr>
            </w:pPr>
            <w:r>
              <w:rPr>
                <w:rFonts w:eastAsia="仿宋_GB2312"/>
                <w:b/>
                <w:color w:val="000000"/>
                <w:kern w:val="0"/>
                <w:szCs w:val="21"/>
              </w:rPr>
              <w:t>净载重吨</w:t>
            </w:r>
          </w:p>
          <w:p>
            <w:pPr>
              <w:widowControl/>
              <w:jc w:val="center"/>
              <w:rPr>
                <w:rFonts w:eastAsia="仿宋_GB2312"/>
                <w:b/>
                <w:color w:val="000000"/>
                <w:kern w:val="0"/>
                <w:szCs w:val="21"/>
              </w:rPr>
            </w:pPr>
            <w:r>
              <w:rPr>
                <w:rFonts w:eastAsia="仿宋_GB2312"/>
                <w:b/>
                <w:color w:val="000000"/>
                <w:kern w:val="0"/>
                <w:szCs w:val="21"/>
              </w:rPr>
              <w:t>（吨位）</w:t>
            </w:r>
          </w:p>
        </w:tc>
        <w:tc>
          <w:tcPr>
            <w:tcW w:w="834" w:type="pct"/>
            <w:shd w:val="clear" w:color="auto" w:fill="FFFFFF"/>
          </w:tcPr>
          <w:p>
            <w:pPr>
              <w:widowControl/>
              <w:jc w:val="center"/>
              <w:rPr>
                <w:rFonts w:eastAsia="仿宋_GB2312"/>
                <w:b/>
                <w:color w:val="000000"/>
                <w:kern w:val="0"/>
                <w:szCs w:val="21"/>
              </w:rPr>
            </w:pPr>
            <w:r>
              <w:rPr>
                <w:rFonts w:eastAsia="仿宋_GB2312"/>
                <w:b/>
                <w:color w:val="000000"/>
                <w:kern w:val="0"/>
                <w:szCs w:val="21"/>
              </w:rPr>
              <w:t>平均净载重吨（吨位/艘）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0" w:type="dxa"/>
            <w:right w:w="15" w:type="dxa"/>
          </w:tblCellMar>
        </w:tblPrEx>
        <w:trPr>
          <w:trHeight w:val="20" w:hRule="atLeast"/>
        </w:trPr>
        <w:tc>
          <w:tcPr>
            <w:tcW w:w="850" w:type="pct"/>
            <w:shd w:val="clear" w:color="auto" w:fill="FFFFFF"/>
            <w:vAlign w:val="center"/>
          </w:tcPr>
          <w:p>
            <w:pPr>
              <w:jc w:val="center"/>
              <w:rPr>
                <w:rFonts w:eastAsia="仿宋_GB2312"/>
                <w:szCs w:val="21"/>
              </w:rPr>
            </w:pPr>
            <w:r>
              <w:rPr>
                <w:rFonts w:eastAsia="仿宋_GB2312"/>
                <w:szCs w:val="21"/>
              </w:rPr>
              <w:t>2015</w:t>
            </w:r>
          </w:p>
        </w:tc>
        <w:tc>
          <w:tcPr>
            <w:tcW w:w="853" w:type="pct"/>
            <w:shd w:val="clear" w:color="auto" w:fill="FFFFFF"/>
          </w:tcPr>
          <w:p>
            <w:pPr>
              <w:jc w:val="center"/>
              <w:rPr>
                <w:rFonts w:eastAsia="仿宋_GB2312"/>
                <w:szCs w:val="21"/>
              </w:rPr>
            </w:pPr>
            <w:r>
              <w:rPr>
                <w:rFonts w:eastAsia="仿宋_GB2312"/>
                <w:szCs w:val="21"/>
              </w:rPr>
              <w:t>1650</w:t>
            </w:r>
          </w:p>
        </w:tc>
        <w:tc>
          <w:tcPr>
            <w:tcW w:w="853" w:type="pct"/>
            <w:shd w:val="clear" w:color="auto" w:fill="FFFFFF"/>
            <w:vAlign w:val="center"/>
          </w:tcPr>
          <w:p>
            <w:pPr>
              <w:jc w:val="center"/>
              <w:rPr>
                <w:rFonts w:eastAsia="仿宋_GB2312"/>
                <w:szCs w:val="21"/>
              </w:rPr>
            </w:pPr>
            <w:r>
              <w:rPr>
                <w:rFonts w:eastAsia="仿宋_GB2312"/>
                <w:szCs w:val="21"/>
              </w:rPr>
              <w:t>1276</w:t>
            </w:r>
          </w:p>
        </w:tc>
        <w:tc>
          <w:tcPr>
            <w:tcW w:w="776" w:type="pct"/>
            <w:shd w:val="clear" w:color="auto" w:fill="FFFFFF"/>
            <w:vAlign w:val="center"/>
          </w:tcPr>
          <w:p>
            <w:pPr>
              <w:jc w:val="center"/>
              <w:rPr>
                <w:rFonts w:eastAsia="仿宋_GB2312"/>
                <w:szCs w:val="21"/>
              </w:rPr>
            </w:pPr>
            <w:r>
              <w:rPr>
                <w:rFonts w:eastAsia="仿宋_GB2312"/>
                <w:szCs w:val="21"/>
              </w:rPr>
              <w:t>1247</w:t>
            </w:r>
          </w:p>
        </w:tc>
        <w:tc>
          <w:tcPr>
            <w:tcW w:w="834" w:type="pct"/>
            <w:shd w:val="clear" w:color="auto" w:fill="FFFFFF"/>
            <w:vAlign w:val="center"/>
          </w:tcPr>
          <w:p>
            <w:pPr>
              <w:jc w:val="center"/>
              <w:rPr>
                <w:rFonts w:eastAsia="仿宋_GB2312"/>
                <w:szCs w:val="21"/>
              </w:rPr>
            </w:pPr>
            <w:r>
              <w:rPr>
                <w:rFonts w:eastAsia="仿宋_GB2312"/>
                <w:szCs w:val="21"/>
              </w:rPr>
              <w:t>433151</w:t>
            </w:r>
          </w:p>
        </w:tc>
        <w:tc>
          <w:tcPr>
            <w:tcW w:w="834" w:type="pct"/>
            <w:shd w:val="clear" w:color="auto" w:fill="FFFFFF"/>
            <w:vAlign w:val="center"/>
          </w:tcPr>
          <w:p>
            <w:pPr>
              <w:jc w:val="center"/>
              <w:rPr>
                <w:rFonts w:eastAsia="仿宋_GB2312"/>
                <w:szCs w:val="21"/>
              </w:rPr>
            </w:pPr>
            <w:r>
              <w:rPr>
                <w:rFonts w:eastAsia="仿宋_GB2312"/>
                <w:szCs w:val="21"/>
              </w:rPr>
              <w:t xml:space="preserve">347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0" w:type="dxa"/>
            <w:right w:w="15" w:type="dxa"/>
          </w:tblCellMar>
        </w:tblPrEx>
        <w:trPr>
          <w:trHeight w:val="20" w:hRule="atLeast"/>
        </w:trPr>
        <w:tc>
          <w:tcPr>
            <w:tcW w:w="850" w:type="pct"/>
            <w:shd w:val="clear" w:color="auto" w:fill="FFFFFF"/>
            <w:vAlign w:val="center"/>
          </w:tcPr>
          <w:p>
            <w:pPr>
              <w:jc w:val="center"/>
              <w:rPr>
                <w:rFonts w:eastAsia="仿宋_GB2312"/>
                <w:szCs w:val="21"/>
              </w:rPr>
            </w:pPr>
            <w:r>
              <w:rPr>
                <w:rFonts w:eastAsia="仿宋_GB2312"/>
                <w:szCs w:val="21"/>
              </w:rPr>
              <w:t>2016</w:t>
            </w:r>
          </w:p>
        </w:tc>
        <w:tc>
          <w:tcPr>
            <w:tcW w:w="853" w:type="pct"/>
            <w:shd w:val="clear" w:color="auto" w:fill="FFFFFF"/>
          </w:tcPr>
          <w:p>
            <w:pPr>
              <w:jc w:val="center"/>
              <w:rPr>
                <w:rFonts w:eastAsia="仿宋_GB2312"/>
                <w:szCs w:val="21"/>
              </w:rPr>
            </w:pPr>
            <w:r>
              <w:rPr>
                <w:rFonts w:eastAsia="仿宋_GB2312"/>
                <w:szCs w:val="21"/>
              </w:rPr>
              <w:t>1636</w:t>
            </w:r>
          </w:p>
        </w:tc>
        <w:tc>
          <w:tcPr>
            <w:tcW w:w="853" w:type="pct"/>
            <w:shd w:val="clear" w:color="auto" w:fill="FFFFFF"/>
            <w:vAlign w:val="center"/>
          </w:tcPr>
          <w:p>
            <w:pPr>
              <w:jc w:val="center"/>
              <w:rPr>
                <w:rFonts w:eastAsia="仿宋_GB2312"/>
                <w:szCs w:val="21"/>
              </w:rPr>
            </w:pPr>
            <w:r>
              <w:rPr>
                <w:rFonts w:eastAsia="仿宋_GB2312"/>
                <w:szCs w:val="21"/>
              </w:rPr>
              <w:t>1186</w:t>
            </w:r>
          </w:p>
        </w:tc>
        <w:tc>
          <w:tcPr>
            <w:tcW w:w="776" w:type="pct"/>
            <w:shd w:val="clear" w:color="auto" w:fill="FFFFFF"/>
            <w:vAlign w:val="center"/>
          </w:tcPr>
          <w:p>
            <w:pPr>
              <w:jc w:val="center"/>
              <w:rPr>
                <w:rFonts w:eastAsia="仿宋_GB2312"/>
                <w:szCs w:val="21"/>
              </w:rPr>
            </w:pPr>
            <w:r>
              <w:rPr>
                <w:rFonts w:eastAsia="仿宋_GB2312"/>
                <w:szCs w:val="21"/>
              </w:rPr>
              <w:t>1157</w:t>
            </w:r>
          </w:p>
        </w:tc>
        <w:tc>
          <w:tcPr>
            <w:tcW w:w="834" w:type="pct"/>
            <w:shd w:val="clear" w:color="auto" w:fill="FFFFFF"/>
            <w:vAlign w:val="center"/>
          </w:tcPr>
          <w:p>
            <w:pPr>
              <w:jc w:val="center"/>
              <w:rPr>
                <w:rFonts w:eastAsia="仿宋_GB2312"/>
                <w:szCs w:val="21"/>
              </w:rPr>
            </w:pPr>
            <w:r>
              <w:rPr>
                <w:rFonts w:eastAsia="仿宋_GB2312"/>
                <w:szCs w:val="21"/>
              </w:rPr>
              <w:t>512059</w:t>
            </w:r>
          </w:p>
        </w:tc>
        <w:tc>
          <w:tcPr>
            <w:tcW w:w="834" w:type="pct"/>
            <w:shd w:val="clear" w:color="auto" w:fill="FFFFFF"/>
            <w:vAlign w:val="center"/>
          </w:tcPr>
          <w:p>
            <w:pPr>
              <w:jc w:val="center"/>
              <w:rPr>
                <w:rFonts w:eastAsia="仿宋_GB2312"/>
                <w:szCs w:val="21"/>
              </w:rPr>
            </w:pPr>
            <w:r>
              <w:rPr>
                <w:rFonts w:eastAsia="仿宋_GB2312"/>
                <w:szCs w:val="21"/>
              </w:rPr>
              <w:t xml:space="preserve">443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0" w:type="dxa"/>
            <w:right w:w="15" w:type="dxa"/>
          </w:tblCellMar>
        </w:tblPrEx>
        <w:trPr>
          <w:trHeight w:val="20" w:hRule="atLeast"/>
        </w:trPr>
        <w:tc>
          <w:tcPr>
            <w:tcW w:w="850" w:type="pct"/>
            <w:shd w:val="clear" w:color="auto" w:fill="FFFFFF"/>
            <w:vAlign w:val="center"/>
          </w:tcPr>
          <w:p>
            <w:pPr>
              <w:jc w:val="center"/>
              <w:rPr>
                <w:rFonts w:eastAsia="仿宋_GB2312"/>
                <w:szCs w:val="21"/>
              </w:rPr>
            </w:pPr>
            <w:r>
              <w:rPr>
                <w:rFonts w:eastAsia="仿宋_GB2312"/>
                <w:szCs w:val="21"/>
              </w:rPr>
              <w:t>2017</w:t>
            </w:r>
          </w:p>
        </w:tc>
        <w:tc>
          <w:tcPr>
            <w:tcW w:w="853" w:type="pct"/>
            <w:shd w:val="clear" w:color="auto" w:fill="FFFFFF"/>
          </w:tcPr>
          <w:p>
            <w:pPr>
              <w:jc w:val="center"/>
              <w:rPr>
                <w:rFonts w:eastAsia="仿宋_GB2312"/>
                <w:szCs w:val="21"/>
              </w:rPr>
            </w:pPr>
            <w:r>
              <w:rPr>
                <w:rFonts w:eastAsia="仿宋_GB2312"/>
                <w:szCs w:val="21"/>
              </w:rPr>
              <w:t>1761</w:t>
            </w:r>
          </w:p>
        </w:tc>
        <w:tc>
          <w:tcPr>
            <w:tcW w:w="853" w:type="pct"/>
            <w:shd w:val="clear" w:color="auto" w:fill="FFFFFF"/>
            <w:vAlign w:val="center"/>
          </w:tcPr>
          <w:p>
            <w:pPr>
              <w:jc w:val="center"/>
              <w:rPr>
                <w:rFonts w:eastAsia="仿宋_GB2312"/>
                <w:szCs w:val="21"/>
              </w:rPr>
            </w:pPr>
            <w:r>
              <w:rPr>
                <w:rFonts w:eastAsia="仿宋_GB2312"/>
                <w:szCs w:val="21"/>
              </w:rPr>
              <w:t>1027</w:t>
            </w:r>
          </w:p>
        </w:tc>
        <w:tc>
          <w:tcPr>
            <w:tcW w:w="776" w:type="pct"/>
            <w:shd w:val="clear" w:color="auto" w:fill="FFFFFF"/>
            <w:vAlign w:val="center"/>
          </w:tcPr>
          <w:p>
            <w:pPr>
              <w:jc w:val="center"/>
              <w:rPr>
                <w:rFonts w:eastAsia="仿宋_GB2312"/>
                <w:szCs w:val="21"/>
              </w:rPr>
            </w:pPr>
            <w:r>
              <w:rPr>
                <w:rFonts w:eastAsia="仿宋_GB2312"/>
                <w:szCs w:val="21"/>
              </w:rPr>
              <w:t>955</w:t>
            </w:r>
          </w:p>
        </w:tc>
        <w:tc>
          <w:tcPr>
            <w:tcW w:w="834" w:type="pct"/>
            <w:shd w:val="clear" w:color="auto" w:fill="FFFFFF"/>
            <w:vAlign w:val="center"/>
          </w:tcPr>
          <w:p>
            <w:pPr>
              <w:jc w:val="center"/>
              <w:rPr>
                <w:rFonts w:eastAsia="仿宋_GB2312"/>
                <w:szCs w:val="21"/>
              </w:rPr>
            </w:pPr>
            <w:r>
              <w:rPr>
                <w:rFonts w:eastAsia="仿宋_GB2312"/>
                <w:szCs w:val="21"/>
              </w:rPr>
              <w:t>500829</w:t>
            </w:r>
          </w:p>
        </w:tc>
        <w:tc>
          <w:tcPr>
            <w:tcW w:w="834" w:type="pct"/>
            <w:shd w:val="clear" w:color="auto" w:fill="FFFFFF"/>
            <w:vAlign w:val="center"/>
          </w:tcPr>
          <w:p>
            <w:pPr>
              <w:jc w:val="center"/>
              <w:rPr>
                <w:rFonts w:eastAsia="仿宋_GB2312"/>
                <w:szCs w:val="21"/>
              </w:rPr>
            </w:pPr>
            <w:r>
              <w:rPr>
                <w:rFonts w:eastAsia="仿宋_GB2312"/>
                <w:szCs w:val="21"/>
              </w:rPr>
              <w:t xml:space="preserve">524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trHeight w:val="20" w:hRule="atLeast"/>
        </w:trPr>
        <w:tc>
          <w:tcPr>
            <w:tcW w:w="850" w:type="pct"/>
            <w:shd w:val="clear" w:color="auto" w:fill="FFFFFF"/>
            <w:vAlign w:val="center"/>
          </w:tcPr>
          <w:p>
            <w:pPr>
              <w:jc w:val="center"/>
              <w:rPr>
                <w:rFonts w:eastAsia="仿宋_GB2312"/>
                <w:szCs w:val="21"/>
              </w:rPr>
            </w:pPr>
            <w:r>
              <w:rPr>
                <w:rFonts w:eastAsia="仿宋_GB2312"/>
                <w:szCs w:val="21"/>
              </w:rPr>
              <w:t>2018</w:t>
            </w:r>
          </w:p>
        </w:tc>
        <w:tc>
          <w:tcPr>
            <w:tcW w:w="853" w:type="pct"/>
            <w:shd w:val="clear" w:color="auto" w:fill="FFFFFF"/>
          </w:tcPr>
          <w:p>
            <w:pPr>
              <w:jc w:val="center"/>
              <w:rPr>
                <w:rFonts w:eastAsia="仿宋_GB2312"/>
                <w:szCs w:val="21"/>
              </w:rPr>
            </w:pPr>
            <w:r>
              <w:rPr>
                <w:rFonts w:eastAsia="仿宋_GB2312"/>
                <w:szCs w:val="21"/>
              </w:rPr>
              <w:t>1819</w:t>
            </w:r>
          </w:p>
        </w:tc>
        <w:tc>
          <w:tcPr>
            <w:tcW w:w="853" w:type="pct"/>
            <w:shd w:val="clear" w:color="auto" w:fill="FFFFFF"/>
            <w:noWrap/>
            <w:vAlign w:val="center"/>
          </w:tcPr>
          <w:p>
            <w:pPr>
              <w:jc w:val="center"/>
              <w:rPr>
                <w:rFonts w:eastAsia="仿宋_GB2312"/>
                <w:szCs w:val="21"/>
              </w:rPr>
            </w:pPr>
            <w:r>
              <w:rPr>
                <w:rFonts w:eastAsia="仿宋_GB2312"/>
                <w:szCs w:val="21"/>
              </w:rPr>
              <w:t>1046</w:t>
            </w:r>
          </w:p>
        </w:tc>
        <w:tc>
          <w:tcPr>
            <w:tcW w:w="776" w:type="pct"/>
            <w:shd w:val="clear" w:color="auto" w:fill="FFFFFF"/>
            <w:noWrap/>
            <w:vAlign w:val="center"/>
          </w:tcPr>
          <w:p>
            <w:pPr>
              <w:jc w:val="center"/>
              <w:rPr>
                <w:rFonts w:eastAsia="仿宋_GB2312"/>
                <w:szCs w:val="21"/>
              </w:rPr>
            </w:pPr>
            <w:r>
              <w:rPr>
                <w:rFonts w:eastAsia="仿宋_GB2312"/>
                <w:szCs w:val="21"/>
              </w:rPr>
              <w:t>1014</w:t>
            </w:r>
          </w:p>
        </w:tc>
        <w:tc>
          <w:tcPr>
            <w:tcW w:w="834" w:type="pct"/>
            <w:shd w:val="clear" w:color="auto" w:fill="FFFFFF"/>
            <w:noWrap/>
            <w:vAlign w:val="center"/>
          </w:tcPr>
          <w:p>
            <w:pPr>
              <w:jc w:val="center"/>
              <w:rPr>
                <w:rFonts w:eastAsia="仿宋_GB2312"/>
                <w:szCs w:val="21"/>
              </w:rPr>
            </w:pPr>
            <w:r>
              <w:rPr>
                <w:rFonts w:eastAsia="仿宋_GB2312"/>
                <w:szCs w:val="21"/>
              </w:rPr>
              <w:t>512313</w:t>
            </w:r>
          </w:p>
        </w:tc>
        <w:tc>
          <w:tcPr>
            <w:tcW w:w="834" w:type="pct"/>
            <w:shd w:val="clear" w:color="auto" w:fill="FFFFFF"/>
            <w:vAlign w:val="center"/>
          </w:tcPr>
          <w:p>
            <w:pPr>
              <w:jc w:val="center"/>
              <w:rPr>
                <w:rFonts w:eastAsia="仿宋_GB2312"/>
                <w:szCs w:val="21"/>
              </w:rPr>
            </w:pPr>
            <w:r>
              <w:rPr>
                <w:rFonts w:eastAsia="仿宋_GB2312"/>
                <w:szCs w:val="21"/>
              </w:rPr>
              <w:t xml:space="preserve">505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trHeight w:val="20" w:hRule="atLeast"/>
        </w:trPr>
        <w:tc>
          <w:tcPr>
            <w:tcW w:w="850" w:type="pct"/>
            <w:shd w:val="clear" w:color="auto" w:fill="FFFFFF"/>
            <w:vAlign w:val="center"/>
          </w:tcPr>
          <w:p>
            <w:pPr>
              <w:jc w:val="center"/>
              <w:rPr>
                <w:rFonts w:eastAsia="仿宋_GB2312"/>
                <w:szCs w:val="21"/>
              </w:rPr>
            </w:pPr>
            <w:r>
              <w:rPr>
                <w:rFonts w:eastAsia="仿宋_GB2312"/>
                <w:szCs w:val="21"/>
              </w:rPr>
              <w:t>2019</w:t>
            </w:r>
          </w:p>
        </w:tc>
        <w:tc>
          <w:tcPr>
            <w:tcW w:w="853" w:type="pct"/>
            <w:shd w:val="clear" w:color="auto" w:fill="FFFFFF"/>
          </w:tcPr>
          <w:p>
            <w:pPr>
              <w:jc w:val="center"/>
              <w:rPr>
                <w:rFonts w:eastAsia="仿宋_GB2312"/>
                <w:szCs w:val="21"/>
              </w:rPr>
            </w:pPr>
            <w:r>
              <w:rPr>
                <w:rFonts w:eastAsia="仿宋_GB2312"/>
                <w:szCs w:val="21"/>
              </w:rPr>
              <w:t>1883</w:t>
            </w:r>
          </w:p>
        </w:tc>
        <w:tc>
          <w:tcPr>
            <w:tcW w:w="853" w:type="pct"/>
            <w:shd w:val="clear" w:color="auto" w:fill="FFFFFF"/>
            <w:noWrap/>
            <w:vAlign w:val="center"/>
          </w:tcPr>
          <w:p>
            <w:pPr>
              <w:jc w:val="center"/>
              <w:rPr>
                <w:rFonts w:eastAsia="仿宋_GB2312"/>
                <w:szCs w:val="21"/>
              </w:rPr>
            </w:pPr>
            <w:r>
              <w:rPr>
                <w:rFonts w:eastAsia="仿宋_GB2312"/>
                <w:szCs w:val="21"/>
              </w:rPr>
              <w:t>1029</w:t>
            </w:r>
          </w:p>
        </w:tc>
        <w:tc>
          <w:tcPr>
            <w:tcW w:w="776" w:type="pct"/>
            <w:shd w:val="clear" w:color="auto" w:fill="FFFFFF"/>
            <w:noWrap/>
            <w:vAlign w:val="center"/>
          </w:tcPr>
          <w:p>
            <w:pPr>
              <w:jc w:val="center"/>
              <w:rPr>
                <w:rFonts w:eastAsia="仿宋_GB2312"/>
                <w:szCs w:val="21"/>
              </w:rPr>
            </w:pPr>
            <w:r>
              <w:rPr>
                <w:rFonts w:eastAsia="仿宋_GB2312"/>
                <w:szCs w:val="21"/>
              </w:rPr>
              <w:t>1005</w:t>
            </w:r>
          </w:p>
        </w:tc>
        <w:tc>
          <w:tcPr>
            <w:tcW w:w="834" w:type="pct"/>
            <w:shd w:val="clear" w:color="auto" w:fill="FFFFFF"/>
            <w:noWrap/>
            <w:vAlign w:val="center"/>
          </w:tcPr>
          <w:p>
            <w:pPr>
              <w:jc w:val="center"/>
              <w:rPr>
                <w:rFonts w:eastAsia="仿宋_GB2312"/>
                <w:szCs w:val="21"/>
              </w:rPr>
            </w:pPr>
            <w:r>
              <w:rPr>
                <w:rFonts w:eastAsia="仿宋_GB2312"/>
                <w:szCs w:val="21"/>
              </w:rPr>
              <w:t>518459</w:t>
            </w:r>
          </w:p>
        </w:tc>
        <w:tc>
          <w:tcPr>
            <w:tcW w:w="834" w:type="pct"/>
            <w:shd w:val="clear" w:color="auto" w:fill="FFFFFF"/>
            <w:vAlign w:val="center"/>
          </w:tcPr>
          <w:p>
            <w:pPr>
              <w:jc w:val="center"/>
              <w:rPr>
                <w:rFonts w:eastAsia="仿宋_GB2312"/>
                <w:szCs w:val="21"/>
              </w:rPr>
            </w:pPr>
            <w:r>
              <w:rPr>
                <w:rFonts w:eastAsia="仿宋_GB2312"/>
                <w:szCs w:val="21"/>
              </w:rPr>
              <w:t xml:space="preserve">516 </w:t>
            </w:r>
          </w:p>
        </w:tc>
      </w:tr>
    </w:tbl>
    <w:p>
      <w:pPr>
        <w:ind w:firstLine="420" w:firstLineChars="200"/>
        <w:rPr>
          <w:rFonts w:eastAsia="仿宋_GB2312"/>
          <w:szCs w:val="21"/>
        </w:rPr>
      </w:pPr>
      <w:r>
        <w:rPr>
          <w:rFonts w:eastAsia="仿宋_GB2312"/>
          <w:szCs w:val="21"/>
        </w:rPr>
        <w:t>备注：本表格数据为2015-2019年湖州市统计年鉴中市区的数据。南浔区内河航运方面工作由湖州市港航管理中心统一管理，无南浔区单独的数据</w:t>
      </w:r>
    </w:p>
    <w:p>
      <w:pPr>
        <w:ind w:firstLine="602" w:firstLineChars="200"/>
        <w:rPr>
          <w:rFonts w:hint="eastAsia" w:ascii="宋体" w:hAnsi="宋体" w:cs="宋体"/>
          <w:b/>
          <w:sz w:val="30"/>
          <w:szCs w:val="30"/>
        </w:rPr>
      </w:pPr>
    </w:p>
    <w:p>
      <w:pPr>
        <w:ind w:firstLine="602" w:firstLineChars="200"/>
        <w:rPr>
          <w:rFonts w:eastAsia="仿宋_GB2312"/>
          <w:b/>
          <w:sz w:val="30"/>
          <w:szCs w:val="30"/>
        </w:rPr>
      </w:pPr>
      <w:r>
        <w:rPr>
          <w:rFonts w:hint="eastAsia" w:ascii="宋体" w:hAnsi="宋体" w:cs="宋体"/>
          <w:b/>
          <w:sz w:val="30"/>
          <w:szCs w:val="30"/>
        </w:rPr>
        <w:t>⑤</w:t>
      </w:r>
      <w:r>
        <w:rPr>
          <w:rFonts w:eastAsia="仿宋_GB2312"/>
          <w:b/>
          <w:sz w:val="30"/>
          <w:szCs w:val="30"/>
        </w:rPr>
        <w:t>入河排污口设置管理情况</w:t>
      </w:r>
    </w:p>
    <w:p>
      <w:pPr>
        <w:ind w:firstLine="560" w:firstLineChars="200"/>
        <w:rPr>
          <w:rFonts w:eastAsia="仿宋_GB2312"/>
          <w:bCs/>
          <w:sz w:val="28"/>
          <w:szCs w:val="28"/>
        </w:rPr>
      </w:pPr>
      <w:r>
        <w:rPr>
          <w:rFonts w:eastAsia="仿宋_GB2312"/>
          <w:bCs/>
          <w:sz w:val="28"/>
          <w:szCs w:val="28"/>
        </w:rPr>
        <w:t>根据2017年湖州市治水办针对《关于进一步深化提升入河排污（水）口标识工作的通知》（浙治水办发〔2017〕30号）占的入河排污（水）口自查工作数据，南浔区全部所有河道、小河、小溪及城市内河，包括农村池塘、沟渠、山塘水库、排渠等小微水体，共动态排查全域入河排污（水）口2771个，占湖州市总数的32.01%。</w:t>
      </w:r>
    </w:p>
    <w:p>
      <w:pPr>
        <w:jc w:val="center"/>
        <w:rPr>
          <w:rFonts w:eastAsia="黑体"/>
          <w:sz w:val="28"/>
          <w:szCs w:val="28"/>
        </w:rPr>
      </w:pPr>
      <w:r>
        <w:rPr>
          <w:rFonts w:eastAsia="黑体"/>
          <w:sz w:val="28"/>
          <w:szCs w:val="28"/>
        </w:rPr>
        <w:t>表</w:t>
      </w:r>
      <w:r>
        <w:rPr>
          <w:rFonts w:hint="eastAsia" w:eastAsia="黑体"/>
          <w:sz w:val="28"/>
          <w:szCs w:val="28"/>
        </w:rPr>
        <w:t>1-</w:t>
      </w:r>
      <w:r>
        <w:rPr>
          <w:rFonts w:eastAsia="黑体"/>
          <w:sz w:val="28"/>
          <w:szCs w:val="28"/>
        </w:rPr>
        <w:t>1</w:t>
      </w:r>
      <w:r>
        <w:rPr>
          <w:rFonts w:hint="eastAsia" w:eastAsia="黑体"/>
          <w:sz w:val="28"/>
          <w:szCs w:val="28"/>
        </w:rPr>
        <w:t>6</w:t>
      </w:r>
      <w:r>
        <w:rPr>
          <w:rFonts w:eastAsia="黑体"/>
          <w:sz w:val="28"/>
          <w:szCs w:val="28"/>
        </w:rPr>
        <w:t xml:space="preserve">  南浔区2018年入河排污（水）口统计</w:t>
      </w:r>
    </w:p>
    <w:tbl>
      <w:tblPr>
        <w:tblStyle w:val="29"/>
        <w:tblW w:w="33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500"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镇（开发区）</w:t>
            </w:r>
          </w:p>
        </w:tc>
        <w:tc>
          <w:tcPr>
            <w:tcW w:w="2500"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数量（个）及占比（%）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hint="eastAsia" w:eastAsia="仿宋_GB2312"/>
                <w:color w:val="000000"/>
                <w:kern w:val="0"/>
                <w:szCs w:val="21"/>
              </w:rPr>
              <w:t>度假区</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72（2.60%）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和孚镇</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382（13.79%）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旧馆街道</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73（2.63%）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开发区</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206（7.43%）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练市镇</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734（26.49%）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菱湖镇</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171（6.17%）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南浔镇</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318（11.48%）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千金镇</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善琏镇</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288（10.39%）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石淙镇</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142（5.12%）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双林镇</w:t>
            </w:r>
          </w:p>
        </w:tc>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353（12.74%）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shd w:val="clear" w:color="auto" w:fill="auto"/>
            <w:noWrap/>
            <w:vAlign w:val="center"/>
          </w:tcPr>
          <w:p>
            <w:pPr>
              <w:widowControl/>
              <w:jc w:val="center"/>
              <w:rPr>
                <w:rFonts w:eastAsia="仿宋_GB2312"/>
                <w:color w:val="000000"/>
                <w:kern w:val="0"/>
                <w:szCs w:val="21"/>
              </w:rPr>
            </w:pPr>
            <w:r>
              <w:rPr>
                <w:rFonts w:eastAsia="仿宋_GB2312"/>
                <w:color w:val="000000"/>
                <w:kern w:val="0"/>
                <w:szCs w:val="21"/>
              </w:rPr>
              <w:t>合计</w:t>
            </w:r>
          </w:p>
        </w:tc>
        <w:tc>
          <w:tcPr>
            <w:tcW w:w="2498" w:type="pct"/>
            <w:shd w:val="clear" w:color="auto" w:fill="auto"/>
          </w:tcPr>
          <w:p>
            <w:pPr>
              <w:widowControl/>
              <w:jc w:val="center"/>
            </w:pPr>
            <w:r>
              <w:t>2771</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eastAsia="仿宋_GB2312"/>
          <w:bCs/>
          <w:sz w:val="28"/>
          <w:szCs w:val="28"/>
        </w:rPr>
      </w:pPr>
      <w:r>
        <w:rPr>
          <w:rFonts w:eastAsia="仿宋_GB2312"/>
          <w:bCs/>
          <w:sz w:val="28"/>
          <w:szCs w:val="28"/>
        </w:rPr>
        <w:t>在排查的入河排污（水）口中，雨污混接口49个；雨水和养殖尾水混合排放的排口数量共计20个；农田排水和养殖排水混合排放的排口数量共计30个。</w:t>
      </w:r>
    </w:p>
    <w:p>
      <w:pPr>
        <w:jc w:val="center"/>
        <w:rPr>
          <w:rFonts w:eastAsia="黑体"/>
          <w:sz w:val="28"/>
          <w:szCs w:val="28"/>
        </w:rPr>
      </w:pPr>
      <w:r>
        <w:rPr>
          <w:rFonts w:eastAsia="黑体"/>
          <w:sz w:val="28"/>
          <w:szCs w:val="28"/>
        </w:rPr>
        <w:t>表</w:t>
      </w:r>
      <w:r>
        <w:rPr>
          <w:rFonts w:hint="eastAsia" w:eastAsia="黑体"/>
          <w:sz w:val="28"/>
          <w:szCs w:val="28"/>
        </w:rPr>
        <w:t>1-</w:t>
      </w:r>
      <w:r>
        <w:rPr>
          <w:rFonts w:eastAsia="黑体"/>
          <w:sz w:val="28"/>
          <w:szCs w:val="28"/>
        </w:rPr>
        <w:t>1</w:t>
      </w:r>
      <w:r>
        <w:rPr>
          <w:rFonts w:hint="eastAsia" w:eastAsia="黑体"/>
          <w:sz w:val="28"/>
          <w:szCs w:val="28"/>
        </w:rPr>
        <w:t>7</w:t>
      </w:r>
      <w:r>
        <w:rPr>
          <w:rFonts w:eastAsia="黑体"/>
          <w:sz w:val="28"/>
          <w:szCs w:val="28"/>
        </w:rPr>
        <w:t xml:space="preserve">  南浔区入河排污（水）口混排情况统计</w:t>
      </w:r>
    </w:p>
    <w:tbl>
      <w:tblPr>
        <w:tblStyle w:val="29"/>
        <w:tblW w:w="37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1456"/>
        <w:gridCol w:w="1669"/>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607"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镇（开发区）</w:t>
            </w:r>
          </w:p>
        </w:tc>
        <w:tc>
          <w:tcPr>
            <w:tcW w:w="1149"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农田排水、养殖尾水混排口数量（个）</w:t>
            </w:r>
          </w:p>
        </w:tc>
        <w:tc>
          <w:tcPr>
            <w:tcW w:w="1317"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雨水、养殖尾水混排口数量（个）</w:t>
            </w:r>
          </w:p>
        </w:tc>
        <w:tc>
          <w:tcPr>
            <w:tcW w:w="926" w:type="pct"/>
            <w:shd w:val="clear" w:color="auto" w:fill="auto"/>
            <w:vAlign w:val="center"/>
          </w:tcPr>
          <w:p>
            <w:pPr>
              <w:widowControl/>
              <w:jc w:val="center"/>
              <w:rPr>
                <w:rFonts w:eastAsia="仿宋_GB2312"/>
                <w:b/>
                <w:color w:val="000000"/>
                <w:kern w:val="0"/>
                <w:szCs w:val="21"/>
              </w:rPr>
            </w:pPr>
            <w:r>
              <w:rPr>
                <w:rFonts w:eastAsia="仿宋_GB2312"/>
                <w:b/>
                <w:color w:val="000000"/>
                <w:kern w:val="0"/>
                <w:szCs w:val="21"/>
              </w:rPr>
              <w:t>雨污混接排口数量（个）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07"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和孚镇</w:t>
            </w:r>
          </w:p>
        </w:tc>
        <w:tc>
          <w:tcPr>
            <w:tcW w:w="114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28</w:t>
            </w:r>
          </w:p>
        </w:tc>
        <w:tc>
          <w:tcPr>
            <w:tcW w:w="1317" w:type="pct"/>
            <w:shd w:val="clear" w:color="auto" w:fill="auto"/>
          </w:tcPr>
          <w:p>
            <w:pPr>
              <w:widowControl/>
              <w:jc w:val="center"/>
              <w:rPr>
                <w:rFonts w:eastAsia="仿宋_GB2312"/>
                <w:color w:val="000000"/>
                <w:kern w:val="0"/>
                <w:szCs w:val="21"/>
              </w:rPr>
            </w:pPr>
            <w:r>
              <w:rPr>
                <w:rFonts w:eastAsia="仿宋_GB2312"/>
                <w:color w:val="000000"/>
                <w:kern w:val="0"/>
                <w:szCs w:val="21"/>
              </w:rPr>
              <w:t>/</w:t>
            </w:r>
          </w:p>
        </w:tc>
        <w:tc>
          <w:tcPr>
            <w:tcW w:w="926" w:type="pct"/>
            <w:shd w:val="clear" w:color="auto" w:fill="auto"/>
          </w:tcPr>
          <w:p>
            <w:pPr>
              <w:widowControl/>
              <w:jc w:val="center"/>
              <w:rPr>
                <w:rFonts w:eastAsia="仿宋_GB2312"/>
                <w:kern w:val="0"/>
                <w:szCs w:val="21"/>
              </w:rPr>
            </w:pPr>
            <w:r>
              <w:rPr>
                <w:rFonts w:eastAsia="仿宋_GB2312"/>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07"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开发区</w:t>
            </w:r>
          </w:p>
        </w:tc>
        <w:tc>
          <w:tcPr>
            <w:tcW w:w="1149" w:type="pct"/>
            <w:shd w:val="clear" w:color="auto" w:fill="auto"/>
          </w:tcPr>
          <w:p>
            <w:pPr>
              <w:widowControl/>
              <w:jc w:val="center"/>
              <w:rPr>
                <w:rFonts w:eastAsia="仿宋_GB2312"/>
                <w:color w:val="000000"/>
                <w:kern w:val="0"/>
                <w:szCs w:val="21"/>
              </w:rPr>
            </w:pPr>
            <w:r>
              <w:rPr>
                <w:rFonts w:eastAsia="仿宋_GB2312"/>
                <w:color w:val="000000"/>
                <w:kern w:val="0"/>
                <w:szCs w:val="21"/>
              </w:rPr>
              <w:t>/</w:t>
            </w:r>
          </w:p>
        </w:tc>
        <w:tc>
          <w:tcPr>
            <w:tcW w:w="1317" w:type="pct"/>
            <w:shd w:val="clear" w:color="auto" w:fill="auto"/>
          </w:tcPr>
          <w:p>
            <w:pPr>
              <w:widowControl/>
              <w:jc w:val="center"/>
              <w:rPr>
                <w:rFonts w:eastAsia="仿宋_GB2312"/>
                <w:kern w:val="0"/>
                <w:szCs w:val="21"/>
              </w:rPr>
            </w:pPr>
            <w:r>
              <w:rPr>
                <w:rFonts w:eastAsia="仿宋_GB2312"/>
                <w:color w:val="000000"/>
                <w:kern w:val="0"/>
                <w:szCs w:val="21"/>
              </w:rPr>
              <w:t>/</w:t>
            </w:r>
          </w:p>
        </w:tc>
        <w:tc>
          <w:tcPr>
            <w:tcW w:w="926"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07"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菱湖镇</w:t>
            </w:r>
          </w:p>
        </w:tc>
        <w:tc>
          <w:tcPr>
            <w:tcW w:w="1149" w:type="pct"/>
            <w:shd w:val="clear" w:color="auto" w:fill="auto"/>
          </w:tcPr>
          <w:p>
            <w:pPr>
              <w:widowControl/>
              <w:jc w:val="center"/>
              <w:rPr>
                <w:rFonts w:eastAsia="仿宋_GB2312"/>
                <w:color w:val="000000"/>
                <w:kern w:val="0"/>
                <w:szCs w:val="21"/>
              </w:rPr>
            </w:pPr>
            <w:r>
              <w:rPr>
                <w:rFonts w:eastAsia="仿宋_GB2312"/>
                <w:color w:val="000000"/>
                <w:kern w:val="0"/>
                <w:szCs w:val="21"/>
              </w:rPr>
              <w:t>/</w:t>
            </w:r>
          </w:p>
        </w:tc>
        <w:tc>
          <w:tcPr>
            <w:tcW w:w="1317" w:type="pct"/>
            <w:shd w:val="clear" w:color="auto" w:fill="auto"/>
          </w:tcPr>
          <w:p>
            <w:pPr>
              <w:widowControl/>
              <w:jc w:val="center"/>
              <w:rPr>
                <w:rFonts w:eastAsia="仿宋_GB2312"/>
                <w:kern w:val="0"/>
                <w:szCs w:val="21"/>
              </w:rPr>
            </w:pPr>
            <w:r>
              <w:rPr>
                <w:rFonts w:eastAsia="仿宋_GB2312"/>
                <w:color w:val="000000"/>
                <w:kern w:val="0"/>
                <w:szCs w:val="21"/>
              </w:rPr>
              <w:t>/</w:t>
            </w:r>
          </w:p>
        </w:tc>
        <w:tc>
          <w:tcPr>
            <w:tcW w:w="926"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07"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善琏镇</w:t>
            </w:r>
          </w:p>
        </w:tc>
        <w:tc>
          <w:tcPr>
            <w:tcW w:w="114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w:t>
            </w:r>
          </w:p>
        </w:tc>
        <w:tc>
          <w:tcPr>
            <w:tcW w:w="1317"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w:t>
            </w:r>
          </w:p>
        </w:tc>
        <w:tc>
          <w:tcPr>
            <w:tcW w:w="926"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07"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双林镇</w:t>
            </w:r>
          </w:p>
        </w:tc>
        <w:tc>
          <w:tcPr>
            <w:tcW w:w="1149" w:type="pct"/>
            <w:shd w:val="clear" w:color="auto" w:fill="auto"/>
          </w:tcPr>
          <w:p>
            <w:pPr>
              <w:widowControl/>
              <w:jc w:val="center"/>
              <w:rPr>
                <w:rFonts w:eastAsia="仿宋_GB2312"/>
                <w:color w:val="000000"/>
                <w:kern w:val="0"/>
                <w:szCs w:val="21"/>
              </w:rPr>
            </w:pPr>
            <w:r>
              <w:rPr>
                <w:rFonts w:eastAsia="仿宋_GB2312"/>
                <w:color w:val="000000"/>
                <w:kern w:val="0"/>
                <w:szCs w:val="21"/>
              </w:rPr>
              <w:t>/</w:t>
            </w:r>
          </w:p>
        </w:tc>
        <w:tc>
          <w:tcPr>
            <w:tcW w:w="1317" w:type="pct"/>
            <w:shd w:val="clear" w:color="auto" w:fill="auto"/>
          </w:tcPr>
          <w:p>
            <w:pPr>
              <w:widowControl/>
              <w:jc w:val="center"/>
              <w:rPr>
                <w:rFonts w:eastAsia="仿宋_GB2312"/>
                <w:kern w:val="0"/>
                <w:szCs w:val="21"/>
              </w:rPr>
            </w:pPr>
            <w:r>
              <w:rPr>
                <w:rFonts w:eastAsia="仿宋_GB2312"/>
                <w:color w:val="000000"/>
                <w:kern w:val="0"/>
                <w:szCs w:val="21"/>
              </w:rPr>
              <w:t>/</w:t>
            </w:r>
          </w:p>
        </w:tc>
        <w:tc>
          <w:tcPr>
            <w:tcW w:w="926"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07"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合计</w:t>
            </w:r>
          </w:p>
        </w:tc>
        <w:tc>
          <w:tcPr>
            <w:tcW w:w="1149"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30</w:t>
            </w:r>
          </w:p>
        </w:tc>
        <w:tc>
          <w:tcPr>
            <w:tcW w:w="1317"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20</w:t>
            </w:r>
          </w:p>
        </w:tc>
        <w:tc>
          <w:tcPr>
            <w:tcW w:w="926" w:type="pct"/>
            <w:shd w:val="clear" w:color="auto" w:fill="auto"/>
            <w:vAlign w:val="center"/>
          </w:tcPr>
          <w:p>
            <w:pPr>
              <w:widowControl/>
              <w:jc w:val="center"/>
              <w:rPr>
                <w:rFonts w:eastAsia="仿宋_GB2312"/>
                <w:color w:val="000000"/>
                <w:kern w:val="0"/>
                <w:szCs w:val="21"/>
              </w:rPr>
            </w:pPr>
            <w:r>
              <w:rPr>
                <w:rFonts w:eastAsia="仿宋_GB2312"/>
                <w:color w:val="000000"/>
                <w:kern w:val="0"/>
                <w:szCs w:val="21"/>
              </w:rPr>
              <w:t>49</w:t>
            </w:r>
          </w:p>
        </w:tc>
      </w:tr>
    </w:tbl>
    <w:p>
      <w:pPr>
        <w:ind w:firstLine="420" w:firstLineChars="200"/>
        <w:rPr>
          <w:highlight w:val="yellow"/>
          <w:u w:val="single"/>
        </w:rPr>
      </w:pPr>
    </w:p>
    <w:p>
      <w:pPr>
        <w:pStyle w:val="4"/>
        <w:numPr>
          <w:ilvl w:val="0"/>
          <w:numId w:val="7"/>
        </w:numPr>
        <w:rPr>
          <w:rFonts w:ascii="Times New Roman" w:eastAsia="仿宋_GB2312"/>
        </w:rPr>
      </w:pPr>
      <w:bookmarkStart w:id="28" w:name="_Toc43324240"/>
      <w:bookmarkStart w:id="29" w:name="_Toc43368852"/>
      <w:bookmarkStart w:id="30" w:name="_Toc43378105"/>
      <w:bookmarkStart w:id="31" w:name="_Toc71899935"/>
      <w:r>
        <w:rPr>
          <w:rFonts w:ascii="Times New Roman" w:eastAsia="仿宋_GB2312"/>
        </w:rPr>
        <w:t>水生态状况</w:t>
      </w:r>
      <w:bookmarkEnd w:id="28"/>
      <w:bookmarkEnd w:id="29"/>
      <w:bookmarkEnd w:id="30"/>
      <w:bookmarkEnd w:id="31"/>
    </w:p>
    <w:p>
      <w:pPr>
        <w:pStyle w:val="77"/>
        <w:numPr>
          <w:ilvl w:val="0"/>
          <w:numId w:val="9"/>
        </w:numPr>
        <w:ind w:firstLineChars="0"/>
        <w:rPr>
          <w:b/>
          <w:bCs/>
        </w:rPr>
      </w:pPr>
      <w:r>
        <w:rPr>
          <w:b/>
          <w:bCs/>
        </w:rPr>
        <w:t>湿地保护</w:t>
      </w:r>
    </w:p>
    <w:p>
      <w:pPr>
        <w:spacing w:line="560" w:lineRule="exact"/>
        <w:ind w:firstLine="600" w:firstLineChars="200"/>
        <w:rPr>
          <w:rFonts w:eastAsia="仿宋_GB2312"/>
          <w:sz w:val="30"/>
          <w:szCs w:val="30"/>
        </w:rPr>
      </w:pPr>
      <w:r>
        <w:rPr>
          <w:rFonts w:eastAsia="仿宋_GB2312"/>
          <w:sz w:val="30"/>
          <w:szCs w:val="30"/>
        </w:rPr>
        <w:t>南浔区湿地面积12783.72平方公顷，其中湖泊湿地733.17公顷、河流湿地5269.51公顷、人工湿地6781.04公顷。南浔现有省级湿地公园2个，分别为浙江南浔千金省级湿地公园和浙江湖州菱湖省级湿地公园。浙江南浔千金省级湿地公园土地面积52.86公顷，其中各类湿地面积共37.10公顷，湿地率为70.19%。本湿地公园共有维管束植物77科155属182种，其中国家二级重点保护野生植物1种，为野菱；共有脊椎动物23目43科81种，其中国家二级重点保护野生动物1种，即鸟类的黑翅鸢。浙江湖州菱湖省级湿地公园总面积</w:t>
      </w:r>
      <w:r>
        <w:rPr>
          <w:rFonts w:hint="eastAsia" w:eastAsia="仿宋_GB2312"/>
          <w:sz w:val="30"/>
          <w:szCs w:val="30"/>
        </w:rPr>
        <w:t>460.86</w:t>
      </w:r>
      <w:r>
        <w:rPr>
          <w:rFonts w:eastAsia="仿宋_GB2312"/>
          <w:sz w:val="30"/>
          <w:szCs w:val="30"/>
        </w:rPr>
        <w:t>公顷，其中湿地总面积513.1 公顷，湿地率92.04%。湿地公园范围内共发现高等植物85科，265种（含人工种植植物61种），浮游植物6门60种属，共记录到鸟类80种，分属15目34科。兽类15种，隶属于5目8科。未发现本水域中有濒危保护动物，主要洄游性水生生物有刀鲚、中华绒螯蟹等。</w:t>
      </w:r>
    </w:p>
    <w:p>
      <w:pPr>
        <w:jc w:val="center"/>
        <w:rPr>
          <w:rFonts w:eastAsia="黑体"/>
          <w:sz w:val="28"/>
          <w:szCs w:val="28"/>
        </w:rPr>
      </w:pPr>
      <w:r>
        <w:rPr>
          <w:rFonts w:eastAsia="黑体"/>
          <w:sz w:val="28"/>
          <w:szCs w:val="28"/>
        </w:rPr>
        <w:t>表</w:t>
      </w:r>
      <w:r>
        <w:rPr>
          <w:rFonts w:hint="eastAsia" w:eastAsia="黑体"/>
          <w:sz w:val="28"/>
          <w:szCs w:val="28"/>
        </w:rPr>
        <w:t>1-</w:t>
      </w:r>
      <w:r>
        <w:rPr>
          <w:rFonts w:eastAsia="黑体"/>
          <w:sz w:val="28"/>
          <w:szCs w:val="28"/>
        </w:rPr>
        <w:t>1</w:t>
      </w:r>
      <w:r>
        <w:rPr>
          <w:rFonts w:hint="eastAsia" w:eastAsia="黑体"/>
          <w:sz w:val="28"/>
          <w:szCs w:val="28"/>
        </w:rPr>
        <w:t>8</w:t>
      </w:r>
      <w:r>
        <w:rPr>
          <w:rFonts w:eastAsia="黑体"/>
          <w:sz w:val="28"/>
          <w:szCs w:val="28"/>
        </w:rPr>
        <w:t xml:space="preserve">  南浔区湿地资源统计表（单位：公顷）</w:t>
      </w:r>
    </w:p>
    <w:tbl>
      <w:tblPr>
        <w:tblStyle w:val="29"/>
        <w:tblW w:w="5114"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55"/>
        <w:gridCol w:w="1019"/>
        <w:gridCol w:w="1452"/>
        <w:gridCol w:w="1344"/>
        <w:gridCol w:w="920"/>
        <w:gridCol w:w="690"/>
        <w:gridCol w:w="774"/>
        <w:gridCol w:w="820"/>
        <w:gridCol w:w="54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549" w:hRule="exact"/>
          <w:jc w:val="center"/>
        </w:trPr>
        <w:tc>
          <w:tcPr>
            <w:tcW w:w="561" w:type="pct"/>
            <w:vMerge w:val="restar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行政单位</w:t>
            </w:r>
          </w:p>
        </w:tc>
        <w:tc>
          <w:tcPr>
            <w:tcW w:w="598" w:type="pct"/>
            <w:vMerge w:val="restar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湿地</w:t>
            </w:r>
          </w:p>
          <w:p>
            <w:pPr>
              <w:widowControl/>
              <w:jc w:val="center"/>
              <w:rPr>
                <w:rFonts w:eastAsia="仿宋_GB2312"/>
                <w:b/>
                <w:color w:val="000000"/>
                <w:kern w:val="0"/>
                <w:szCs w:val="21"/>
              </w:rPr>
            </w:pPr>
            <w:r>
              <w:rPr>
                <w:rFonts w:eastAsia="仿宋_GB2312"/>
                <w:b/>
                <w:color w:val="000000"/>
                <w:kern w:val="0"/>
                <w:szCs w:val="21"/>
              </w:rPr>
              <w:t>总面积</w:t>
            </w:r>
          </w:p>
        </w:tc>
        <w:tc>
          <w:tcPr>
            <w:tcW w:w="852"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湖泊湿地</w:t>
            </w:r>
          </w:p>
        </w:tc>
        <w:tc>
          <w:tcPr>
            <w:tcW w:w="789"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河流湿地</w:t>
            </w:r>
          </w:p>
        </w:tc>
        <w:tc>
          <w:tcPr>
            <w:tcW w:w="2198" w:type="pct"/>
            <w:gridSpan w:val="5"/>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人工湿地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49" w:hRule="exact"/>
          <w:jc w:val="center"/>
        </w:trPr>
        <w:tc>
          <w:tcPr>
            <w:tcW w:w="561" w:type="pct"/>
            <w:vMerge w:val="continue"/>
            <w:tcMar>
              <w:left w:w="0" w:type="dxa"/>
              <w:right w:w="0" w:type="dxa"/>
            </w:tcMar>
            <w:vAlign w:val="center"/>
          </w:tcPr>
          <w:p>
            <w:pPr>
              <w:widowControl/>
              <w:jc w:val="center"/>
              <w:rPr>
                <w:rFonts w:eastAsia="仿宋_GB2312"/>
                <w:b/>
                <w:color w:val="000000"/>
                <w:kern w:val="0"/>
                <w:szCs w:val="21"/>
              </w:rPr>
            </w:pPr>
          </w:p>
        </w:tc>
        <w:tc>
          <w:tcPr>
            <w:tcW w:w="598" w:type="pct"/>
            <w:vMerge w:val="continue"/>
            <w:tcMar>
              <w:left w:w="0" w:type="dxa"/>
              <w:right w:w="0" w:type="dxa"/>
            </w:tcMar>
            <w:vAlign w:val="center"/>
          </w:tcPr>
          <w:p>
            <w:pPr>
              <w:widowControl/>
              <w:jc w:val="center"/>
              <w:rPr>
                <w:rFonts w:eastAsia="仿宋_GB2312"/>
                <w:b/>
                <w:color w:val="000000"/>
                <w:kern w:val="0"/>
                <w:szCs w:val="21"/>
              </w:rPr>
            </w:pPr>
          </w:p>
        </w:tc>
        <w:tc>
          <w:tcPr>
            <w:tcW w:w="852"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湖泊</w:t>
            </w:r>
          </w:p>
        </w:tc>
        <w:tc>
          <w:tcPr>
            <w:tcW w:w="789"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永久性河流</w:t>
            </w:r>
          </w:p>
        </w:tc>
        <w:tc>
          <w:tcPr>
            <w:tcW w:w="540"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小计</w:t>
            </w:r>
          </w:p>
        </w:tc>
        <w:tc>
          <w:tcPr>
            <w:tcW w:w="405"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库塘</w:t>
            </w:r>
          </w:p>
        </w:tc>
        <w:tc>
          <w:tcPr>
            <w:tcW w:w="454"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运河</w:t>
            </w:r>
          </w:p>
          <w:p>
            <w:pPr>
              <w:widowControl/>
              <w:jc w:val="center"/>
              <w:rPr>
                <w:rFonts w:eastAsia="仿宋_GB2312"/>
                <w:b/>
                <w:color w:val="000000"/>
                <w:kern w:val="0"/>
                <w:szCs w:val="21"/>
              </w:rPr>
            </w:pPr>
            <w:r>
              <w:rPr>
                <w:rFonts w:eastAsia="仿宋_GB2312"/>
                <w:b/>
                <w:color w:val="000000"/>
                <w:kern w:val="0"/>
                <w:szCs w:val="21"/>
              </w:rPr>
              <w:t>输水河</w:t>
            </w:r>
          </w:p>
        </w:tc>
        <w:tc>
          <w:tcPr>
            <w:tcW w:w="481"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水产</w:t>
            </w:r>
          </w:p>
          <w:p>
            <w:pPr>
              <w:widowControl/>
              <w:jc w:val="center"/>
              <w:rPr>
                <w:rFonts w:eastAsia="仿宋_GB2312"/>
                <w:b/>
                <w:color w:val="000000"/>
                <w:kern w:val="0"/>
                <w:szCs w:val="21"/>
              </w:rPr>
            </w:pPr>
            <w:r>
              <w:rPr>
                <w:rFonts w:eastAsia="仿宋_GB2312"/>
                <w:b/>
                <w:color w:val="000000"/>
                <w:kern w:val="0"/>
                <w:szCs w:val="21"/>
              </w:rPr>
              <w:t>养殖场</w:t>
            </w:r>
          </w:p>
        </w:tc>
        <w:tc>
          <w:tcPr>
            <w:tcW w:w="316" w:type="pct"/>
            <w:tcMar>
              <w:left w:w="0" w:type="dxa"/>
              <w:right w:w="0" w:type="dxa"/>
            </w:tcMar>
            <w:vAlign w:val="center"/>
          </w:tcPr>
          <w:p>
            <w:pPr>
              <w:widowControl/>
              <w:jc w:val="center"/>
              <w:rPr>
                <w:rFonts w:eastAsia="仿宋_GB2312"/>
                <w:b/>
                <w:color w:val="000000"/>
                <w:kern w:val="0"/>
                <w:szCs w:val="21"/>
              </w:rPr>
            </w:pPr>
            <w:r>
              <w:rPr>
                <w:rFonts w:eastAsia="仿宋_GB2312"/>
                <w:b/>
                <w:color w:val="000000"/>
                <w:kern w:val="0"/>
                <w:szCs w:val="21"/>
              </w:rPr>
              <w:t>盐田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9"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合计</w:t>
            </w:r>
          </w:p>
        </w:tc>
        <w:tc>
          <w:tcPr>
            <w:tcW w:w="598" w:type="pct"/>
            <w:tcMar>
              <w:left w:w="0" w:type="dxa"/>
              <w:right w:w="0" w:type="dxa"/>
            </w:tcMar>
            <w:vAlign w:val="center"/>
          </w:tcPr>
          <w:p>
            <w:pPr>
              <w:jc w:val="center"/>
              <w:rPr>
                <w:rFonts w:eastAsia="仿宋_GB2312"/>
                <w:szCs w:val="21"/>
              </w:rPr>
            </w:pPr>
            <w:r>
              <w:rPr>
                <w:rFonts w:eastAsia="仿宋_GB2312"/>
                <w:szCs w:val="21"/>
              </w:rPr>
              <w:t>12783.72</w:t>
            </w:r>
          </w:p>
        </w:tc>
        <w:tc>
          <w:tcPr>
            <w:tcW w:w="852" w:type="pct"/>
            <w:tcMar>
              <w:left w:w="0" w:type="dxa"/>
              <w:right w:w="0" w:type="dxa"/>
            </w:tcMar>
            <w:vAlign w:val="center"/>
          </w:tcPr>
          <w:p>
            <w:pPr>
              <w:jc w:val="center"/>
              <w:rPr>
                <w:rFonts w:eastAsia="仿宋_GB2312"/>
                <w:szCs w:val="21"/>
              </w:rPr>
            </w:pPr>
            <w:r>
              <w:rPr>
                <w:rFonts w:eastAsia="仿宋_GB2312"/>
                <w:szCs w:val="21"/>
              </w:rPr>
              <w:t>733.17</w:t>
            </w:r>
          </w:p>
        </w:tc>
        <w:tc>
          <w:tcPr>
            <w:tcW w:w="789" w:type="pct"/>
            <w:tcMar>
              <w:left w:w="0" w:type="dxa"/>
              <w:right w:w="0" w:type="dxa"/>
            </w:tcMar>
            <w:vAlign w:val="center"/>
          </w:tcPr>
          <w:p>
            <w:pPr>
              <w:jc w:val="center"/>
              <w:rPr>
                <w:rFonts w:eastAsia="仿宋_GB2312"/>
                <w:szCs w:val="21"/>
              </w:rPr>
            </w:pPr>
            <w:r>
              <w:rPr>
                <w:rFonts w:eastAsia="仿宋_GB2312"/>
                <w:szCs w:val="21"/>
              </w:rPr>
              <w:t>5269.51</w:t>
            </w:r>
          </w:p>
        </w:tc>
        <w:tc>
          <w:tcPr>
            <w:tcW w:w="540" w:type="pct"/>
            <w:tcMar>
              <w:left w:w="0" w:type="dxa"/>
              <w:right w:w="0" w:type="dxa"/>
            </w:tcMar>
            <w:vAlign w:val="center"/>
          </w:tcPr>
          <w:p>
            <w:pPr>
              <w:jc w:val="center"/>
              <w:rPr>
                <w:rFonts w:eastAsia="仿宋_GB2312"/>
                <w:szCs w:val="21"/>
              </w:rPr>
            </w:pPr>
            <w:r>
              <w:rPr>
                <w:rFonts w:eastAsia="仿宋_GB2312"/>
                <w:szCs w:val="21"/>
              </w:rPr>
              <w:t>6781.04</w:t>
            </w:r>
          </w:p>
        </w:tc>
        <w:tc>
          <w:tcPr>
            <w:tcW w:w="405" w:type="pct"/>
            <w:tcMar>
              <w:left w:w="0" w:type="dxa"/>
              <w:right w:w="0" w:type="dxa"/>
            </w:tcMar>
            <w:vAlign w:val="center"/>
          </w:tcPr>
          <w:p>
            <w:pPr>
              <w:jc w:val="center"/>
              <w:rPr>
                <w:rFonts w:eastAsia="仿宋_GB2312"/>
                <w:szCs w:val="21"/>
              </w:rPr>
            </w:pPr>
            <w:r>
              <w:rPr>
                <w:rFonts w:eastAsia="仿宋_GB2312"/>
                <w:szCs w:val="21"/>
              </w:rPr>
              <w:t>12.29</w:t>
            </w:r>
          </w:p>
        </w:tc>
        <w:tc>
          <w:tcPr>
            <w:tcW w:w="454" w:type="pct"/>
            <w:tcMar>
              <w:left w:w="0" w:type="dxa"/>
              <w:right w:w="0" w:type="dxa"/>
            </w:tcMar>
            <w:vAlign w:val="center"/>
          </w:tcPr>
          <w:p>
            <w:pPr>
              <w:jc w:val="center"/>
              <w:rPr>
                <w:rFonts w:eastAsia="仿宋_GB2312"/>
                <w:szCs w:val="21"/>
              </w:rPr>
            </w:pPr>
            <w:r>
              <w:rPr>
                <w:rFonts w:eastAsia="仿宋_GB2312"/>
                <w:szCs w:val="21"/>
              </w:rPr>
              <w:t>442.52</w:t>
            </w:r>
          </w:p>
        </w:tc>
        <w:tc>
          <w:tcPr>
            <w:tcW w:w="481" w:type="pct"/>
            <w:tcMar>
              <w:left w:w="0" w:type="dxa"/>
              <w:right w:w="0" w:type="dxa"/>
            </w:tcMar>
            <w:vAlign w:val="center"/>
          </w:tcPr>
          <w:p>
            <w:pPr>
              <w:jc w:val="center"/>
              <w:rPr>
                <w:rFonts w:eastAsia="仿宋_GB2312"/>
                <w:szCs w:val="21"/>
              </w:rPr>
            </w:pPr>
            <w:r>
              <w:rPr>
                <w:rFonts w:eastAsia="仿宋_GB2312"/>
                <w:szCs w:val="21"/>
              </w:rPr>
              <w:t>6326.23</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和孚镇</w:t>
            </w:r>
          </w:p>
        </w:tc>
        <w:tc>
          <w:tcPr>
            <w:tcW w:w="598" w:type="pct"/>
            <w:tcMar>
              <w:left w:w="0" w:type="dxa"/>
              <w:right w:w="0" w:type="dxa"/>
            </w:tcMar>
            <w:vAlign w:val="center"/>
          </w:tcPr>
          <w:p>
            <w:pPr>
              <w:jc w:val="center"/>
              <w:rPr>
                <w:rFonts w:eastAsia="仿宋_GB2312"/>
                <w:szCs w:val="21"/>
              </w:rPr>
            </w:pPr>
            <w:r>
              <w:rPr>
                <w:rFonts w:eastAsia="仿宋_GB2312"/>
                <w:szCs w:val="21"/>
              </w:rPr>
              <w:t>2653.17</w:t>
            </w:r>
          </w:p>
        </w:tc>
        <w:tc>
          <w:tcPr>
            <w:tcW w:w="852" w:type="pct"/>
            <w:tcMar>
              <w:left w:w="0" w:type="dxa"/>
              <w:right w:w="0" w:type="dxa"/>
            </w:tcMar>
            <w:vAlign w:val="center"/>
          </w:tcPr>
          <w:p>
            <w:pPr>
              <w:jc w:val="center"/>
              <w:rPr>
                <w:rFonts w:eastAsia="仿宋_GB2312"/>
                <w:szCs w:val="21"/>
              </w:rPr>
            </w:pPr>
            <w:r>
              <w:rPr>
                <w:rFonts w:eastAsia="仿宋_GB2312"/>
                <w:szCs w:val="21"/>
              </w:rPr>
              <w:t>324.09</w:t>
            </w:r>
          </w:p>
        </w:tc>
        <w:tc>
          <w:tcPr>
            <w:tcW w:w="789" w:type="pct"/>
            <w:tcMar>
              <w:left w:w="0" w:type="dxa"/>
              <w:right w:w="0" w:type="dxa"/>
            </w:tcMar>
            <w:vAlign w:val="center"/>
          </w:tcPr>
          <w:p>
            <w:pPr>
              <w:jc w:val="center"/>
              <w:rPr>
                <w:rFonts w:eastAsia="仿宋_GB2312"/>
                <w:szCs w:val="21"/>
              </w:rPr>
            </w:pPr>
            <w:r>
              <w:rPr>
                <w:rFonts w:eastAsia="仿宋_GB2312"/>
                <w:szCs w:val="21"/>
              </w:rPr>
              <w:t>559.77</w:t>
            </w:r>
          </w:p>
        </w:tc>
        <w:tc>
          <w:tcPr>
            <w:tcW w:w="540" w:type="pct"/>
            <w:tcMar>
              <w:left w:w="0" w:type="dxa"/>
              <w:right w:w="0" w:type="dxa"/>
            </w:tcMar>
            <w:vAlign w:val="center"/>
          </w:tcPr>
          <w:p>
            <w:pPr>
              <w:jc w:val="center"/>
              <w:rPr>
                <w:rFonts w:eastAsia="仿宋_GB2312"/>
                <w:szCs w:val="21"/>
              </w:rPr>
            </w:pPr>
            <w:r>
              <w:rPr>
                <w:rFonts w:eastAsia="仿宋_GB2312"/>
                <w:szCs w:val="21"/>
              </w:rPr>
              <w:t>1769.31</w:t>
            </w:r>
          </w:p>
        </w:tc>
        <w:tc>
          <w:tcPr>
            <w:tcW w:w="405" w:type="pct"/>
            <w:tcMar>
              <w:left w:w="0" w:type="dxa"/>
              <w:right w:w="0" w:type="dxa"/>
            </w:tcMar>
            <w:vAlign w:val="center"/>
          </w:tcPr>
          <w:p>
            <w:pPr>
              <w:jc w:val="center"/>
              <w:rPr>
                <w:rFonts w:eastAsia="仿宋_GB2312"/>
                <w:szCs w:val="21"/>
              </w:rPr>
            </w:pPr>
          </w:p>
        </w:tc>
        <w:tc>
          <w:tcPr>
            <w:tcW w:w="454" w:type="pct"/>
            <w:tcMar>
              <w:left w:w="0" w:type="dxa"/>
              <w:right w:w="0" w:type="dxa"/>
            </w:tcMar>
            <w:vAlign w:val="center"/>
          </w:tcPr>
          <w:p>
            <w:pPr>
              <w:jc w:val="center"/>
              <w:rPr>
                <w:rFonts w:eastAsia="仿宋_GB2312"/>
                <w:szCs w:val="21"/>
              </w:rPr>
            </w:pPr>
            <w:r>
              <w:rPr>
                <w:rFonts w:eastAsia="仿宋_GB2312"/>
                <w:szCs w:val="21"/>
              </w:rPr>
              <w:t>10.92</w:t>
            </w:r>
          </w:p>
        </w:tc>
        <w:tc>
          <w:tcPr>
            <w:tcW w:w="481" w:type="pct"/>
            <w:tcMar>
              <w:left w:w="0" w:type="dxa"/>
              <w:right w:w="0" w:type="dxa"/>
            </w:tcMar>
            <w:vAlign w:val="center"/>
          </w:tcPr>
          <w:p>
            <w:pPr>
              <w:jc w:val="center"/>
              <w:rPr>
                <w:rFonts w:eastAsia="仿宋_GB2312"/>
                <w:szCs w:val="21"/>
              </w:rPr>
            </w:pPr>
            <w:r>
              <w:rPr>
                <w:rFonts w:eastAsia="仿宋_GB2312"/>
                <w:szCs w:val="21"/>
              </w:rPr>
              <w:t>1758.39</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8"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旧馆街道</w:t>
            </w:r>
          </w:p>
        </w:tc>
        <w:tc>
          <w:tcPr>
            <w:tcW w:w="598" w:type="pct"/>
            <w:tcMar>
              <w:left w:w="0" w:type="dxa"/>
              <w:right w:w="0" w:type="dxa"/>
            </w:tcMar>
            <w:vAlign w:val="center"/>
          </w:tcPr>
          <w:p>
            <w:pPr>
              <w:jc w:val="center"/>
              <w:rPr>
                <w:rFonts w:eastAsia="仿宋_GB2312"/>
                <w:szCs w:val="21"/>
              </w:rPr>
            </w:pPr>
            <w:r>
              <w:rPr>
                <w:rFonts w:eastAsia="仿宋_GB2312"/>
                <w:szCs w:val="21"/>
              </w:rPr>
              <w:t>477.63</w:t>
            </w:r>
          </w:p>
        </w:tc>
        <w:tc>
          <w:tcPr>
            <w:tcW w:w="852" w:type="pct"/>
            <w:tcMar>
              <w:left w:w="0" w:type="dxa"/>
              <w:right w:w="0" w:type="dxa"/>
            </w:tcMar>
            <w:vAlign w:val="center"/>
          </w:tcPr>
          <w:p>
            <w:pPr>
              <w:jc w:val="center"/>
              <w:rPr>
                <w:rFonts w:eastAsia="仿宋_GB2312"/>
                <w:szCs w:val="21"/>
              </w:rPr>
            </w:pPr>
            <w:r>
              <w:rPr>
                <w:rFonts w:eastAsia="仿宋_GB2312"/>
                <w:szCs w:val="21"/>
              </w:rPr>
              <w:t>154.24</w:t>
            </w:r>
          </w:p>
        </w:tc>
        <w:tc>
          <w:tcPr>
            <w:tcW w:w="789" w:type="pct"/>
            <w:tcMar>
              <w:left w:w="0" w:type="dxa"/>
              <w:right w:w="0" w:type="dxa"/>
            </w:tcMar>
            <w:vAlign w:val="center"/>
          </w:tcPr>
          <w:p>
            <w:pPr>
              <w:jc w:val="center"/>
              <w:rPr>
                <w:rFonts w:eastAsia="仿宋_GB2312"/>
                <w:szCs w:val="21"/>
              </w:rPr>
            </w:pPr>
            <w:r>
              <w:rPr>
                <w:rFonts w:eastAsia="仿宋_GB2312"/>
                <w:szCs w:val="21"/>
              </w:rPr>
              <w:t>249.91</w:t>
            </w:r>
          </w:p>
        </w:tc>
        <w:tc>
          <w:tcPr>
            <w:tcW w:w="540" w:type="pct"/>
            <w:tcMar>
              <w:left w:w="0" w:type="dxa"/>
              <w:right w:w="0" w:type="dxa"/>
            </w:tcMar>
            <w:vAlign w:val="center"/>
          </w:tcPr>
          <w:p>
            <w:pPr>
              <w:jc w:val="center"/>
              <w:rPr>
                <w:rFonts w:eastAsia="仿宋_GB2312"/>
                <w:szCs w:val="21"/>
              </w:rPr>
            </w:pPr>
            <w:r>
              <w:rPr>
                <w:rFonts w:eastAsia="仿宋_GB2312"/>
                <w:szCs w:val="21"/>
              </w:rPr>
              <w:t>73.48</w:t>
            </w:r>
          </w:p>
        </w:tc>
        <w:tc>
          <w:tcPr>
            <w:tcW w:w="405" w:type="pct"/>
            <w:tcMar>
              <w:left w:w="0" w:type="dxa"/>
              <w:right w:w="0" w:type="dxa"/>
            </w:tcMar>
            <w:vAlign w:val="center"/>
          </w:tcPr>
          <w:p>
            <w:pPr>
              <w:jc w:val="center"/>
              <w:rPr>
                <w:rFonts w:eastAsia="仿宋_GB2312"/>
                <w:szCs w:val="21"/>
              </w:rPr>
            </w:pPr>
          </w:p>
        </w:tc>
        <w:tc>
          <w:tcPr>
            <w:tcW w:w="454" w:type="pct"/>
            <w:tcMar>
              <w:left w:w="0" w:type="dxa"/>
              <w:right w:w="0" w:type="dxa"/>
            </w:tcMar>
            <w:vAlign w:val="center"/>
          </w:tcPr>
          <w:p>
            <w:pPr>
              <w:jc w:val="center"/>
              <w:rPr>
                <w:rFonts w:eastAsia="仿宋_GB2312"/>
                <w:szCs w:val="21"/>
              </w:rPr>
            </w:pPr>
          </w:p>
        </w:tc>
        <w:tc>
          <w:tcPr>
            <w:tcW w:w="481" w:type="pct"/>
            <w:tcMar>
              <w:left w:w="0" w:type="dxa"/>
              <w:right w:w="0" w:type="dxa"/>
            </w:tcMar>
            <w:vAlign w:val="center"/>
          </w:tcPr>
          <w:p>
            <w:pPr>
              <w:jc w:val="center"/>
              <w:rPr>
                <w:rFonts w:eastAsia="仿宋_GB2312"/>
                <w:szCs w:val="21"/>
              </w:rPr>
            </w:pPr>
            <w:r>
              <w:rPr>
                <w:rFonts w:eastAsia="仿宋_GB2312"/>
                <w:szCs w:val="21"/>
              </w:rPr>
              <w:t>73.48</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4"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练市镇</w:t>
            </w:r>
          </w:p>
        </w:tc>
        <w:tc>
          <w:tcPr>
            <w:tcW w:w="598" w:type="pct"/>
            <w:tcMar>
              <w:left w:w="0" w:type="dxa"/>
              <w:right w:w="0" w:type="dxa"/>
            </w:tcMar>
            <w:vAlign w:val="center"/>
          </w:tcPr>
          <w:p>
            <w:pPr>
              <w:jc w:val="center"/>
              <w:rPr>
                <w:rFonts w:eastAsia="仿宋_GB2312"/>
                <w:szCs w:val="21"/>
              </w:rPr>
            </w:pPr>
            <w:r>
              <w:rPr>
                <w:rFonts w:eastAsia="仿宋_GB2312"/>
                <w:szCs w:val="21"/>
              </w:rPr>
              <w:t>838.11</w:t>
            </w:r>
          </w:p>
        </w:tc>
        <w:tc>
          <w:tcPr>
            <w:tcW w:w="852" w:type="pct"/>
            <w:tcMar>
              <w:left w:w="0" w:type="dxa"/>
              <w:right w:w="0" w:type="dxa"/>
            </w:tcMar>
            <w:vAlign w:val="center"/>
          </w:tcPr>
          <w:p>
            <w:pPr>
              <w:jc w:val="center"/>
              <w:rPr>
                <w:rFonts w:eastAsia="仿宋_GB2312"/>
                <w:szCs w:val="21"/>
              </w:rPr>
            </w:pPr>
          </w:p>
        </w:tc>
        <w:tc>
          <w:tcPr>
            <w:tcW w:w="789" w:type="pct"/>
            <w:tcMar>
              <w:left w:w="0" w:type="dxa"/>
              <w:right w:w="0" w:type="dxa"/>
            </w:tcMar>
            <w:vAlign w:val="center"/>
          </w:tcPr>
          <w:p>
            <w:pPr>
              <w:jc w:val="center"/>
              <w:rPr>
                <w:rFonts w:eastAsia="仿宋_GB2312"/>
                <w:szCs w:val="21"/>
              </w:rPr>
            </w:pPr>
            <w:r>
              <w:rPr>
                <w:rFonts w:eastAsia="仿宋_GB2312"/>
                <w:szCs w:val="21"/>
              </w:rPr>
              <w:t>642.88</w:t>
            </w:r>
          </w:p>
        </w:tc>
        <w:tc>
          <w:tcPr>
            <w:tcW w:w="540" w:type="pct"/>
            <w:tcMar>
              <w:left w:w="0" w:type="dxa"/>
              <w:right w:w="0" w:type="dxa"/>
            </w:tcMar>
            <w:vAlign w:val="center"/>
          </w:tcPr>
          <w:p>
            <w:pPr>
              <w:jc w:val="center"/>
              <w:rPr>
                <w:rFonts w:eastAsia="仿宋_GB2312"/>
                <w:szCs w:val="21"/>
              </w:rPr>
            </w:pPr>
            <w:r>
              <w:rPr>
                <w:rFonts w:eastAsia="仿宋_GB2312"/>
                <w:szCs w:val="21"/>
              </w:rPr>
              <w:t>195.23</w:t>
            </w:r>
          </w:p>
        </w:tc>
        <w:tc>
          <w:tcPr>
            <w:tcW w:w="405" w:type="pct"/>
            <w:tcMar>
              <w:left w:w="0" w:type="dxa"/>
              <w:right w:w="0" w:type="dxa"/>
            </w:tcMar>
            <w:vAlign w:val="center"/>
          </w:tcPr>
          <w:p>
            <w:pPr>
              <w:jc w:val="center"/>
              <w:rPr>
                <w:rFonts w:eastAsia="仿宋_GB2312"/>
                <w:szCs w:val="21"/>
              </w:rPr>
            </w:pPr>
          </w:p>
        </w:tc>
        <w:tc>
          <w:tcPr>
            <w:tcW w:w="454" w:type="pct"/>
            <w:tcMar>
              <w:left w:w="0" w:type="dxa"/>
              <w:right w:w="0" w:type="dxa"/>
            </w:tcMar>
            <w:vAlign w:val="center"/>
          </w:tcPr>
          <w:p>
            <w:pPr>
              <w:jc w:val="center"/>
              <w:rPr>
                <w:rFonts w:eastAsia="仿宋_GB2312"/>
                <w:szCs w:val="21"/>
              </w:rPr>
            </w:pPr>
            <w:r>
              <w:rPr>
                <w:rFonts w:eastAsia="仿宋_GB2312"/>
                <w:szCs w:val="21"/>
              </w:rPr>
              <w:t>174.30</w:t>
            </w:r>
          </w:p>
        </w:tc>
        <w:tc>
          <w:tcPr>
            <w:tcW w:w="481" w:type="pct"/>
            <w:tcMar>
              <w:left w:w="0" w:type="dxa"/>
              <w:right w:w="0" w:type="dxa"/>
            </w:tcMar>
            <w:vAlign w:val="center"/>
          </w:tcPr>
          <w:p>
            <w:pPr>
              <w:jc w:val="center"/>
              <w:rPr>
                <w:rFonts w:eastAsia="仿宋_GB2312"/>
                <w:szCs w:val="21"/>
              </w:rPr>
            </w:pPr>
            <w:r>
              <w:rPr>
                <w:rFonts w:eastAsia="仿宋_GB2312"/>
                <w:szCs w:val="21"/>
              </w:rPr>
              <w:t>20.93</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菱湖镇</w:t>
            </w:r>
          </w:p>
        </w:tc>
        <w:tc>
          <w:tcPr>
            <w:tcW w:w="598" w:type="pct"/>
            <w:tcMar>
              <w:left w:w="0" w:type="dxa"/>
              <w:right w:w="0" w:type="dxa"/>
            </w:tcMar>
            <w:vAlign w:val="center"/>
          </w:tcPr>
          <w:p>
            <w:pPr>
              <w:jc w:val="center"/>
              <w:rPr>
                <w:rFonts w:eastAsia="仿宋_GB2312"/>
                <w:szCs w:val="21"/>
              </w:rPr>
            </w:pPr>
            <w:r>
              <w:rPr>
                <w:rFonts w:eastAsia="仿宋_GB2312"/>
                <w:szCs w:val="21"/>
              </w:rPr>
              <w:t>4660.19</w:t>
            </w:r>
          </w:p>
        </w:tc>
        <w:tc>
          <w:tcPr>
            <w:tcW w:w="852" w:type="pct"/>
            <w:tcMar>
              <w:left w:w="0" w:type="dxa"/>
              <w:right w:w="0" w:type="dxa"/>
            </w:tcMar>
            <w:vAlign w:val="center"/>
          </w:tcPr>
          <w:p>
            <w:pPr>
              <w:jc w:val="center"/>
              <w:rPr>
                <w:rFonts w:eastAsia="仿宋_GB2312"/>
                <w:szCs w:val="21"/>
              </w:rPr>
            </w:pPr>
            <w:r>
              <w:rPr>
                <w:rFonts w:eastAsia="仿宋_GB2312"/>
                <w:szCs w:val="21"/>
              </w:rPr>
              <w:t>179.6</w:t>
            </w:r>
          </w:p>
        </w:tc>
        <w:tc>
          <w:tcPr>
            <w:tcW w:w="789" w:type="pct"/>
            <w:tcMar>
              <w:left w:w="0" w:type="dxa"/>
              <w:right w:w="0" w:type="dxa"/>
            </w:tcMar>
            <w:vAlign w:val="center"/>
          </w:tcPr>
          <w:p>
            <w:pPr>
              <w:jc w:val="center"/>
              <w:rPr>
                <w:rFonts w:eastAsia="仿宋_GB2312"/>
                <w:szCs w:val="21"/>
              </w:rPr>
            </w:pPr>
            <w:r>
              <w:rPr>
                <w:rFonts w:eastAsia="仿宋_GB2312"/>
                <w:szCs w:val="21"/>
              </w:rPr>
              <w:t>970.5</w:t>
            </w:r>
          </w:p>
        </w:tc>
        <w:tc>
          <w:tcPr>
            <w:tcW w:w="540" w:type="pct"/>
            <w:tcMar>
              <w:left w:w="0" w:type="dxa"/>
              <w:right w:w="0" w:type="dxa"/>
            </w:tcMar>
            <w:vAlign w:val="center"/>
          </w:tcPr>
          <w:p>
            <w:pPr>
              <w:jc w:val="center"/>
              <w:rPr>
                <w:rFonts w:eastAsia="仿宋_GB2312"/>
                <w:szCs w:val="21"/>
              </w:rPr>
            </w:pPr>
            <w:r>
              <w:rPr>
                <w:rFonts w:eastAsia="仿宋_GB2312"/>
                <w:szCs w:val="21"/>
              </w:rPr>
              <w:t>3510.09</w:t>
            </w:r>
          </w:p>
        </w:tc>
        <w:tc>
          <w:tcPr>
            <w:tcW w:w="405" w:type="pct"/>
            <w:tcMar>
              <w:left w:w="0" w:type="dxa"/>
              <w:right w:w="0" w:type="dxa"/>
            </w:tcMar>
            <w:vAlign w:val="center"/>
          </w:tcPr>
          <w:p>
            <w:pPr>
              <w:jc w:val="center"/>
              <w:rPr>
                <w:rFonts w:eastAsia="仿宋_GB2312"/>
                <w:szCs w:val="21"/>
              </w:rPr>
            </w:pPr>
          </w:p>
        </w:tc>
        <w:tc>
          <w:tcPr>
            <w:tcW w:w="454" w:type="pct"/>
            <w:tcMar>
              <w:left w:w="0" w:type="dxa"/>
              <w:right w:w="0" w:type="dxa"/>
            </w:tcMar>
            <w:vAlign w:val="center"/>
          </w:tcPr>
          <w:p>
            <w:pPr>
              <w:jc w:val="center"/>
              <w:rPr>
                <w:rFonts w:eastAsia="仿宋_GB2312"/>
                <w:szCs w:val="21"/>
              </w:rPr>
            </w:pPr>
            <w:r>
              <w:rPr>
                <w:rFonts w:eastAsia="仿宋_GB2312"/>
                <w:szCs w:val="21"/>
              </w:rPr>
              <w:t>67.32</w:t>
            </w:r>
          </w:p>
        </w:tc>
        <w:tc>
          <w:tcPr>
            <w:tcW w:w="481" w:type="pct"/>
            <w:tcMar>
              <w:left w:w="0" w:type="dxa"/>
              <w:right w:w="0" w:type="dxa"/>
            </w:tcMar>
            <w:vAlign w:val="center"/>
          </w:tcPr>
          <w:p>
            <w:pPr>
              <w:jc w:val="center"/>
              <w:rPr>
                <w:rFonts w:eastAsia="仿宋_GB2312"/>
                <w:szCs w:val="21"/>
              </w:rPr>
            </w:pPr>
            <w:r>
              <w:rPr>
                <w:rFonts w:eastAsia="仿宋_GB2312"/>
                <w:szCs w:val="21"/>
              </w:rPr>
              <w:t>3442.77</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3"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南浔镇</w:t>
            </w:r>
          </w:p>
        </w:tc>
        <w:tc>
          <w:tcPr>
            <w:tcW w:w="598" w:type="pct"/>
            <w:tcMar>
              <w:left w:w="0" w:type="dxa"/>
              <w:right w:w="0" w:type="dxa"/>
            </w:tcMar>
            <w:vAlign w:val="center"/>
          </w:tcPr>
          <w:p>
            <w:pPr>
              <w:jc w:val="center"/>
              <w:rPr>
                <w:rFonts w:eastAsia="仿宋_GB2312"/>
                <w:szCs w:val="21"/>
              </w:rPr>
            </w:pPr>
            <w:r>
              <w:rPr>
                <w:rFonts w:eastAsia="仿宋_GB2312"/>
                <w:szCs w:val="21"/>
              </w:rPr>
              <w:t>1829.84</w:t>
            </w:r>
          </w:p>
        </w:tc>
        <w:tc>
          <w:tcPr>
            <w:tcW w:w="852" w:type="pct"/>
            <w:tcMar>
              <w:left w:w="0" w:type="dxa"/>
              <w:right w:w="0" w:type="dxa"/>
            </w:tcMar>
            <w:vAlign w:val="center"/>
          </w:tcPr>
          <w:p>
            <w:pPr>
              <w:jc w:val="center"/>
              <w:rPr>
                <w:rFonts w:eastAsia="仿宋_GB2312"/>
                <w:szCs w:val="21"/>
              </w:rPr>
            </w:pPr>
            <w:r>
              <w:rPr>
                <w:rFonts w:eastAsia="仿宋_GB2312"/>
                <w:szCs w:val="21"/>
              </w:rPr>
              <w:t>38.89</w:t>
            </w:r>
          </w:p>
        </w:tc>
        <w:tc>
          <w:tcPr>
            <w:tcW w:w="789" w:type="pct"/>
            <w:tcMar>
              <w:left w:w="0" w:type="dxa"/>
              <w:right w:w="0" w:type="dxa"/>
            </w:tcMar>
            <w:vAlign w:val="center"/>
          </w:tcPr>
          <w:p>
            <w:pPr>
              <w:jc w:val="center"/>
              <w:rPr>
                <w:rFonts w:eastAsia="仿宋_GB2312"/>
                <w:szCs w:val="21"/>
              </w:rPr>
            </w:pPr>
            <w:r>
              <w:rPr>
                <w:rFonts w:eastAsia="仿宋_GB2312"/>
                <w:szCs w:val="21"/>
              </w:rPr>
              <w:t>1069.22</w:t>
            </w:r>
          </w:p>
        </w:tc>
        <w:tc>
          <w:tcPr>
            <w:tcW w:w="540" w:type="pct"/>
            <w:tcMar>
              <w:left w:w="0" w:type="dxa"/>
              <w:right w:w="0" w:type="dxa"/>
            </w:tcMar>
            <w:vAlign w:val="center"/>
          </w:tcPr>
          <w:p>
            <w:pPr>
              <w:jc w:val="center"/>
              <w:rPr>
                <w:rFonts w:eastAsia="仿宋_GB2312"/>
                <w:szCs w:val="21"/>
              </w:rPr>
            </w:pPr>
            <w:r>
              <w:rPr>
                <w:rFonts w:eastAsia="仿宋_GB2312"/>
                <w:szCs w:val="21"/>
              </w:rPr>
              <w:t>721.73</w:t>
            </w:r>
          </w:p>
        </w:tc>
        <w:tc>
          <w:tcPr>
            <w:tcW w:w="405" w:type="pct"/>
            <w:tcMar>
              <w:left w:w="0" w:type="dxa"/>
              <w:right w:w="0" w:type="dxa"/>
            </w:tcMar>
            <w:vAlign w:val="center"/>
          </w:tcPr>
          <w:p>
            <w:pPr>
              <w:jc w:val="center"/>
              <w:rPr>
                <w:rFonts w:eastAsia="仿宋_GB2312"/>
                <w:szCs w:val="21"/>
              </w:rPr>
            </w:pPr>
          </w:p>
        </w:tc>
        <w:tc>
          <w:tcPr>
            <w:tcW w:w="454" w:type="pct"/>
            <w:tcMar>
              <w:left w:w="0" w:type="dxa"/>
              <w:right w:w="0" w:type="dxa"/>
            </w:tcMar>
            <w:vAlign w:val="center"/>
          </w:tcPr>
          <w:p>
            <w:pPr>
              <w:jc w:val="center"/>
              <w:rPr>
                <w:rFonts w:eastAsia="仿宋_GB2312"/>
                <w:szCs w:val="21"/>
              </w:rPr>
            </w:pPr>
            <w:r>
              <w:rPr>
                <w:rFonts w:eastAsia="仿宋_GB2312"/>
                <w:szCs w:val="21"/>
              </w:rPr>
              <w:t>158.49</w:t>
            </w:r>
          </w:p>
        </w:tc>
        <w:tc>
          <w:tcPr>
            <w:tcW w:w="481" w:type="pct"/>
            <w:tcMar>
              <w:left w:w="0" w:type="dxa"/>
              <w:right w:w="0" w:type="dxa"/>
            </w:tcMar>
            <w:vAlign w:val="center"/>
          </w:tcPr>
          <w:p>
            <w:pPr>
              <w:jc w:val="center"/>
              <w:rPr>
                <w:rFonts w:eastAsia="仿宋_GB2312"/>
                <w:szCs w:val="21"/>
              </w:rPr>
            </w:pPr>
            <w:r>
              <w:rPr>
                <w:rFonts w:eastAsia="仿宋_GB2312"/>
                <w:szCs w:val="21"/>
              </w:rPr>
              <w:t>563.24</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9"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千金镇</w:t>
            </w:r>
          </w:p>
        </w:tc>
        <w:tc>
          <w:tcPr>
            <w:tcW w:w="598" w:type="pct"/>
            <w:tcMar>
              <w:left w:w="0" w:type="dxa"/>
              <w:right w:w="0" w:type="dxa"/>
            </w:tcMar>
            <w:vAlign w:val="center"/>
          </w:tcPr>
          <w:p>
            <w:pPr>
              <w:jc w:val="center"/>
              <w:rPr>
                <w:rFonts w:eastAsia="仿宋_GB2312"/>
                <w:szCs w:val="21"/>
              </w:rPr>
            </w:pPr>
            <w:r>
              <w:rPr>
                <w:rFonts w:eastAsia="仿宋_GB2312"/>
                <w:szCs w:val="21"/>
              </w:rPr>
              <w:t>580.86</w:t>
            </w:r>
          </w:p>
        </w:tc>
        <w:tc>
          <w:tcPr>
            <w:tcW w:w="852" w:type="pct"/>
            <w:tcMar>
              <w:left w:w="0" w:type="dxa"/>
              <w:right w:w="0" w:type="dxa"/>
            </w:tcMar>
            <w:vAlign w:val="center"/>
          </w:tcPr>
          <w:p>
            <w:pPr>
              <w:jc w:val="center"/>
              <w:rPr>
                <w:rFonts w:eastAsia="仿宋_GB2312"/>
                <w:szCs w:val="21"/>
              </w:rPr>
            </w:pPr>
          </w:p>
        </w:tc>
        <w:tc>
          <w:tcPr>
            <w:tcW w:w="789" w:type="pct"/>
            <w:tcMar>
              <w:left w:w="0" w:type="dxa"/>
              <w:right w:w="0" w:type="dxa"/>
            </w:tcMar>
            <w:vAlign w:val="center"/>
          </w:tcPr>
          <w:p>
            <w:pPr>
              <w:jc w:val="center"/>
              <w:rPr>
                <w:rFonts w:eastAsia="仿宋_GB2312"/>
                <w:szCs w:val="21"/>
              </w:rPr>
            </w:pPr>
            <w:r>
              <w:rPr>
                <w:rFonts w:eastAsia="仿宋_GB2312"/>
                <w:szCs w:val="21"/>
              </w:rPr>
              <w:t>363.34</w:t>
            </w:r>
          </w:p>
        </w:tc>
        <w:tc>
          <w:tcPr>
            <w:tcW w:w="540" w:type="pct"/>
            <w:tcMar>
              <w:left w:w="0" w:type="dxa"/>
              <w:right w:w="0" w:type="dxa"/>
            </w:tcMar>
            <w:vAlign w:val="center"/>
          </w:tcPr>
          <w:p>
            <w:pPr>
              <w:jc w:val="center"/>
              <w:rPr>
                <w:rFonts w:eastAsia="仿宋_GB2312"/>
                <w:szCs w:val="21"/>
              </w:rPr>
            </w:pPr>
            <w:r>
              <w:rPr>
                <w:rFonts w:eastAsia="仿宋_GB2312"/>
                <w:szCs w:val="21"/>
              </w:rPr>
              <w:t>217.52</w:t>
            </w:r>
          </w:p>
        </w:tc>
        <w:tc>
          <w:tcPr>
            <w:tcW w:w="405" w:type="pct"/>
            <w:tcMar>
              <w:left w:w="0" w:type="dxa"/>
              <w:right w:w="0" w:type="dxa"/>
            </w:tcMar>
            <w:vAlign w:val="center"/>
          </w:tcPr>
          <w:p>
            <w:pPr>
              <w:jc w:val="center"/>
              <w:rPr>
                <w:rFonts w:eastAsia="仿宋_GB2312"/>
                <w:szCs w:val="21"/>
              </w:rPr>
            </w:pPr>
          </w:p>
        </w:tc>
        <w:tc>
          <w:tcPr>
            <w:tcW w:w="454" w:type="pct"/>
            <w:tcMar>
              <w:left w:w="0" w:type="dxa"/>
              <w:right w:w="0" w:type="dxa"/>
            </w:tcMar>
            <w:vAlign w:val="center"/>
          </w:tcPr>
          <w:p>
            <w:pPr>
              <w:jc w:val="center"/>
              <w:rPr>
                <w:rFonts w:eastAsia="仿宋_GB2312"/>
                <w:szCs w:val="21"/>
              </w:rPr>
            </w:pPr>
          </w:p>
        </w:tc>
        <w:tc>
          <w:tcPr>
            <w:tcW w:w="481" w:type="pct"/>
            <w:tcMar>
              <w:left w:w="0" w:type="dxa"/>
              <w:right w:w="0" w:type="dxa"/>
            </w:tcMar>
            <w:vAlign w:val="center"/>
          </w:tcPr>
          <w:p>
            <w:pPr>
              <w:jc w:val="center"/>
              <w:rPr>
                <w:rFonts w:eastAsia="仿宋_GB2312"/>
                <w:szCs w:val="21"/>
              </w:rPr>
            </w:pPr>
            <w:r>
              <w:rPr>
                <w:rFonts w:eastAsia="仿宋_GB2312"/>
                <w:szCs w:val="21"/>
              </w:rPr>
              <w:t>217.52</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9"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善琏镇</w:t>
            </w:r>
          </w:p>
        </w:tc>
        <w:tc>
          <w:tcPr>
            <w:tcW w:w="598" w:type="pct"/>
            <w:tcMar>
              <w:left w:w="0" w:type="dxa"/>
              <w:right w:w="0" w:type="dxa"/>
            </w:tcMar>
            <w:vAlign w:val="center"/>
          </w:tcPr>
          <w:p>
            <w:pPr>
              <w:jc w:val="center"/>
              <w:rPr>
                <w:rFonts w:eastAsia="仿宋_GB2312"/>
                <w:szCs w:val="21"/>
              </w:rPr>
            </w:pPr>
            <w:r>
              <w:rPr>
                <w:rFonts w:eastAsia="仿宋_GB2312"/>
                <w:szCs w:val="21"/>
              </w:rPr>
              <w:t>366.33</w:t>
            </w:r>
          </w:p>
        </w:tc>
        <w:tc>
          <w:tcPr>
            <w:tcW w:w="852" w:type="pct"/>
            <w:tcMar>
              <w:left w:w="0" w:type="dxa"/>
              <w:right w:w="0" w:type="dxa"/>
            </w:tcMar>
            <w:vAlign w:val="center"/>
          </w:tcPr>
          <w:p>
            <w:pPr>
              <w:jc w:val="center"/>
              <w:rPr>
                <w:rFonts w:eastAsia="仿宋_GB2312"/>
                <w:szCs w:val="21"/>
              </w:rPr>
            </w:pPr>
          </w:p>
        </w:tc>
        <w:tc>
          <w:tcPr>
            <w:tcW w:w="789" w:type="pct"/>
            <w:tcMar>
              <w:left w:w="0" w:type="dxa"/>
              <w:right w:w="0" w:type="dxa"/>
            </w:tcMar>
            <w:vAlign w:val="center"/>
          </w:tcPr>
          <w:p>
            <w:pPr>
              <w:jc w:val="center"/>
              <w:rPr>
                <w:rFonts w:eastAsia="仿宋_GB2312"/>
                <w:szCs w:val="21"/>
              </w:rPr>
            </w:pPr>
            <w:r>
              <w:rPr>
                <w:rFonts w:eastAsia="仿宋_GB2312"/>
                <w:szCs w:val="21"/>
              </w:rPr>
              <w:t>334.76</w:t>
            </w:r>
          </w:p>
        </w:tc>
        <w:tc>
          <w:tcPr>
            <w:tcW w:w="540" w:type="pct"/>
            <w:tcMar>
              <w:left w:w="0" w:type="dxa"/>
              <w:right w:w="0" w:type="dxa"/>
            </w:tcMar>
            <w:vAlign w:val="center"/>
          </w:tcPr>
          <w:p>
            <w:pPr>
              <w:jc w:val="center"/>
              <w:rPr>
                <w:rFonts w:eastAsia="仿宋_GB2312"/>
                <w:szCs w:val="21"/>
              </w:rPr>
            </w:pPr>
            <w:r>
              <w:rPr>
                <w:rFonts w:eastAsia="仿宋_GB2312"/>
                <w:szCs w:val="21"/>
              </w:rPr>
              <w:t>31.57</w:t>
            </w:r>
          </w:p>
        </w:tc>
        <w:tc>
          <w:tcPr>
            <w:tcW w:w="405" w:type="pct"/>
            <w:tcMar>
              <w:left w:w="0" w:type="dxa"/>
              <w:right w:w="0" w:type="dxa"/>
            </w:tcMar>
            <w:vAlign w:val="center"/>
          </w:tcPr>
          <w:p>
            <w:pPr>
              <w:jc w:val="center"/>
              <w:rPr>
                <w:rFonts w:eastAsia="仿宋_GB2312"/>
                <w:szCs w:val="21"/>
              </w:rPr>
            </w:pPr>
          </w:p>
        </w:tc>
        <w:tc>
          <w:tcPr>
            <w:tcW w:w="454" w:type="pct"/>
            <w:tcMar>
              <w:left w:w="0" w:type="dxa"/>
              <w:right w:w="0" w:type="dxa"/>
            </w:tcMar>
            <w:vAlign w:val="center"/>
          </w:tcPr>
          <w:p>
            <w:pPr>
              <w:jc w:val="center"/>
              <w:rPr>
                <w:rFonts w:eastAsia="仿宋_GB2312"/>
                <w:szCs w:val="21"/>
              </w:rPr>
            </w:pPr>
            <w:r>
              <w:rPr>
                <w:rFonts w:eastAsia="仿宋_GB2312"/>
                <w:szCs w:val="21"/>
              </w:rPr>
              <w:t>31.49</w:t>
            </w:r>
          </w:p>
        </w:tc>
        <w:tc>
          <w:tcPr>
            <w:tcW w:w="481" w:type="pct"/>
            <w:tcMar>
              <w:left w:w="0" w:type="dxa"/>
              <w:right w:w="0" w:type="dxa"/>
            </w:tcMar>
            <w:vAlign w:val="center"/>
          </w:tcPr>
          <w:p>
            <w:pPr>
              <w:jc w:val="center"/>
              <w:rPr>
                <w:rFonts w:eastAsia="仿宋_GB2312"/>
                <w:szCs w:val="21"/>
              </w:rPr>
            </w:pPr>
            <w:r>
              <w:rPr>
                <w:rFonts w:eastAsia="仿宋_GB2312"/>
                <w:szCs w:val="21"/>
              </w:rPr>
              <w:t>0.08</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4"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石淙镇</w:t>
            </w:r>
          </w:p>
        </w:tc>
        <w:tc>
          <w:tcPr>
            <w:tcW w:w="598" w:type="pct"/>
            <w:tcMar>
              <w:left w:w="0" w:type="dxa"/>
              <w:right w:w="0" w:type="dxa"/>
            </w:tcMar>
            <w:vAlign w:val="center"/>
          </w:tcPr>
          <w:p>
            <w:pPr>
              <w:jc w:val="center"/>
              <w:rPr>
                <w:rFonts w:eastAsia="仿宋_GB2312"/>
                <w:szCs w:val="21"/>
              </w:rPr>
            </w:pPr>
            <w:r>
              <w:rPr>
                <w:rFonts w:eastAsia="仿宋_GB2312"/>
                <w:szCs w:val="21"/>
              </w:rPr>
              <w:t>258.32</w:t>
            </w:r>
          </w:p>
        </w:tc>
        <w:tc>
          <w:tcPr>
            <w:tcW w:w="852" w:type="pct"/>
            <w:tcMar>
              <w:left w:w="0" w:type="dxa"/>
              <w:right w:w="0" w:type="dxa"/>
            </w:tcMar>
            <w:vAlign w:val="center"/>
          </w:tcPr>
          <w:p>
            <w:pPr>
              <w:jc w:val="center"/>
              <w:rPr>
                <w:rFonts w:eastAsia="仿宋_GB2312"/>
                <w:szCs w:val="21"/>
              </w:rPr>
            </w:pPr>
          </w:p>
        </w:tc>
        <w:tc>
          <w:tcPr>
            <w:tcW w:w="789" w:type="pct"/>
            <w:tcMar>
              <w:left w:w="0" w:type="dxa"/>
              <w:right w:w="0" w:type="dxa"/>
            </w:tcMar>
            <w:vAlign w:val="center"/>
          </w:tcPr>
          <w:p>
            <w:pPr>
              <w:jc w:val="center"/>
              <w:rPr>
                <w:rFonts w:eastAsia="仿宋_GB2312"/>
                <w:szCs w:val="21"/>
              </w:rPr>
            </w:pPr>
            <w:r>
              <w:rPr>
                <w:rFonts w:eastAsia="仿宋_GB2312"/>
                <w:szCs w:val="21"/>
              </w:rPr>
              <w:t>198.27</w:t>
            </w:r>
          </w:p>
        </w:tc>
        <w:tc>
          <w:tcPr>
            <w:tcW w:w="540" w:type="pct"/>
            <w:tcMar>
              <w:left w:w="0" w:type="dxa"/>
              <w:right w:w="0" w:type="dxa"/>
            </w:tcMar>
            <w:vAlign w:val="center"/>
          </w:tcPr>
          <w:p>
            <w:pPr>
              <w:jc w:val="center"/>
              <w:rPr>
                <w:rFonts w:eastAsia="仿宋_GB2312"/>
                <w:szCs w:val="21"/>
              </w:rPr>
            </w:pPr>
            <w:r>
              <w:rPr>
                <w:rFonts w:eastAsia="仿宋_GB2312"/>
                <w:szCs w:val="21"/>
              </w:rPr>
              <w:t>60.05</w:t>
            </w:r>
          </w:p>
        </w:tc>
        <w:tc>
          <w:tcPr>
            <w:tcW w:w="405" w:type="pct"/>
            <w:tcMar>
              <w:left w:w="0" w:type="dxa"/>
              <w:right w:w="0" w:type="dxa"/>
            </w:tcMar>
            <w:vAlign w:val="center"/>
          </w:tcPr>
          <w:p>
            <w:pPr>
              <w:jc w:val="center"/>
              <w:rPr>
                <w:rFonts w:eastAsia="仿宋_GB2312"/>
                <w:szCs w:val="21"/>
              </w:rPr>
            </w:pPr>
            <w:r>
              <w:rPr>
                <w:rFonts w:eastAsia="仿宋_GB2312"/>
                <w:szCs w:val="21"/>
              </w:rPr>
              <w:t>12.29</w:t>
            </w:r>
          </w:p>
        </w:tc>
        <w:tc>
          <w:tcPr>
            <w:tcW w:w="454" w:type="pct"/>
            <w:tcMar>
              <w:left w:w="0" w:type="dxa"/>
              <w:right w:w="0" w:type="dxa"/>
            </w:tcMar>
            <w:vAlign w:val="center"/>
          </w:tcPr>
          <w:p>
            <w:pPr>
              <w:jc w:val="center"/>
              <w:rPr>
                <w:rFonts w:eastAsia="仿宋_GB2312"/>
                <w:szCs w:val="21"/>
              </w:rPr>
            </w:pPr>
          </w:p>
        </w:tc>
        <w:tc>
          <w:tcPr>
            <w:tcW w:w="481" w:type="pct"/>
            <w:tcMar>
              <w:left w:w="0" w:type="dxa"/>
              <w:right w:w="0" w:type="dxa"/>
            </w:tcMar>
            <w:vAlign w:val="center"/>
          </w:tcPr>
          <w:p>
            <w:pPr>
              <w:jc w:val="center"/>
              <w:rPr>
                <w:rFonts w:eastAsia="仿宋_GB2312"/>
                <w:szCs w:val="21"/>
              </w:rPr>
            </w:pPr>
            <w:r>
              <w:rPr>
                <w:rFonts w:eastAsia="仿宋_GB2312"/>
                <w:szCs w:val="21"/>
              </w:rPr>
              <w:t>47.76</w:t>
            </w:r>
          </w:p>
        </w:tc>
        <w:tc>
          <w:tcPr>
            <w:tcW w:w="316" w:type="pct"/>
            <w:tcMar>
              <w:left w:w="0" w:type="dxa"/>
              <w:right w:w="0" w:type="dxa"/>
            </w:tcMar>
            <w:vAlign w:val="center"/>
          </w:tcPr>
          <w:p>
            <w:pPr>
              <w:jc w:val="center"/>
              <w:rPr>
                <w:rFonts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exact"/>
          <w:jc w:val="center"/>
        </w:trPr>
        <w:tc>
          <w:tcPr>
            <w:tcW w:w="561" w:type="pct"/>
            <w:tcMar>
              <w:left w:w="0" w:type="dxa"/>
              <w:right w:w="0" w:type="dxa"/>
            </w:tcMar>
            <w:vAlign w:val="center"/>
          </w:tcPr>
          <w:p>
            <w:pPr>
              <w:jc w:val="center"/>
              <w:rPr>
                <w:rFonts w:eastAsia="仿宋_GB2312"/>
                <w:szCs w:val="21"/>
              </w:rPr>
            </w:pPr>
            <w:r>
              <w:rPr>
                <w:rFonts w:eastAsia="仿宋_GB2312"/>
                <w:szCs w:val="21"/>
              </w:rPr>
              <w:t>双林镇</w:t>
            </w:r>
          </w:p>
        </w:tc>
        <w:tc>
          <w:tcPr>
            <w:tcW w:w="598" w:type="pct"/>
            <w:tcMar>
              <w:left w:w="0" w:type="dxa"/>
              <w:right w:w="0" w:type="dxa"/>
            </w:tcMar>
            <w:vAlign w:val="center"/>
          </w:tcPr>
          <w:p>
            <w:pPr>
              <w:jc w:val="center"/>
              <w:rPr>
                <w:rFonts w:eastAsia="仿宋_GB2312"/>
                <w:szCs w:val="21"/>
              </w:rPr>
            </w:pPr>
            <w:r>
              <w:rPr>
                <w:rFonts w:eastAsia="仿宋_GB2312"/>
                <w:szCs w:val="21"/>
              </w:rPr>
              <w:t>1119.27</w:t>
            </w:r>
          </w:p>
        </w:tc>
        <w:tc>
          <w:tcPr>
            <w:tcW w:w="852" w:type="pct"/>
            <w:tcMar>
              <w:left w:w="0" w:type="dxa"/>
              <w:right w:w="0" w:type="dxa"/>
            </w:tcMar>
            <w:vAlign w:val="center"/>
          </w:tcPr>
          <w:p>
            <w:pPr>
              <w:jc w:val="center"/>
              <w:rPr>
                <w:rFonts w:eastAsia="仿宋_GB2312"/>
                <w:szCs w:val="21"/>
              </w:rPr>
            </w:pPr>
            <w:r>
              <w:rPr>
                <w:rFonts w:eastAsia="仿宋_GB2312"/>
                <w:szCs w:val="21"/>
              </w:rPr>
              <w:t>36.35</w:t>
            </w:r>
          </w:p>
        </w:tc>
        <w:tc>
          <w:tcPr>
            <w:tcW w:w="789" w:type="pct"/>
            <w:tcMar>
              <w:left w:w="0" w:type="dxa"/>
              <w:right w:w="0" w:type="dxa"/>
            </w:tcMar>
            <w:vAlign w:val="center"/>
          </w:tcPr>
          <w:p>
            <w:pPr>
              <w:jc w:val="center"/>
              <w:rPr>
                <w:rFonts w:eastAsia="仿宋_GB2312"/>
                <w:szCs w:val="21"/>
              </w:rPr>
            </w:pPr>
            <w:r>
              <w:rPr>
                <w:rFonts w:eastAsia="仿宋_GB2312"/>
                <w:szCs w:val="21"/>
              </w:rPr>
              <w:t>880.86</w:t>
            </w:r>
          </w:p>
        </w:tc>
        <w:tc>
          <w:tcPr>
            <w:tcW w:w="540" w:type="pct"/>
            <w:tcMar>
              <w:left w:w="0" w:type="dxa"/>
              <w:right w:w="0" w:type="dxa"/>
            </w:tcMar>
            <w:vAlign w:val="center"/>
          </w:tcPr>
          <w:p>
            <w:pPr>
              <w:jc w:val="center"/>
              <w:rPr>
                <w:rFonts w:eastAsia="仿宋_GB2312"/>
                <w:szCs w:val="21"/>
              </w:rPr>
            </w:pPr>
            <w:r>
              <w:rPr>
                <w:rFonts w:eastAsia="仿宋_GB2312"/>
                <w:szCs w:val="21"/>
              </w:rPr>
              <w:t>202.06</w:t>
            </w:r>
          </w:p>
        </w:tc>
        <w:tc>
          <w:tcPr>
            <w:tcW w:w="405" w:type="pct"/>
            <w:tcMar>
              <w:left w:w="0" w:type="dxa"/>
              <w:right w:w="0" w:type="dxa"/>
            </w:tcMar>
            <w:vAlign w:val="center"/>
          </w:tcPr>
          <w:p>
            <w:pPr>
              <w:jc w:val="center"/>
              <w:rPr>
                <w:rFonts w:eastAsia="仿宋_GB2312"/>
                <w:szCs w:val="21"/>
              </w:rPr>
            </w:pPr>
          </w:p>
        </w:tc>
        <w:tc>
          <w:tcPr>
            <w:tcW w:w="454" w:type="pct"/>
            <w:tcMar>
              <w:left w:w="0" w:type="dxa"/>
              <w:right w:w="0" w:type="dxa"/>
            </w:tcMar>
            <w:vAlign w:val="center"/>
          </w:tcPr>
          <w:p>
            <w:pPr>
              <w:jc w:val="center"/>
              <w:rPr>
                <w:rFonts w:eastAsia="仿宋_GB2312"/>
                <w:szCs w:val="21"/>
              </w:rPr>
            </w:pPr>
          </w:p>
        </w:tc>
        <w:tc>
          <w:tcPr>
            <w:tcW w:w="481" w:type="pct"/>
            <w:tcMar>
              <w:left w:w="0" w:type="dxa"/>
              <w:right w:w="0" w:type="dxa"/>
            </w:tcMar>
            <w:vAlign w:val="center"/>
          </w:tcPr>
          <w:p>
            <w:pPr>
              <w:jc w:val="center"/>
              <w:rPr>
                <w:rFonts w:eastAsia="仿宋_GB2312"/>
                <w:szCs w:val="21"/>
              </w:rPr>
            </w:pPr>
            <w:r>
              <w:rPr>
                <w:rFonts w:eastAsia="仿宋_GB2312"/>
                <w:szCs w:val="21"/>
              </w:rPr>
              <w:t>202.06</w:t>
            </w:r>
          </w:p>
        </w:tc>
        <w:tc>
          <w:tcPr>
            <w:tcW w:w="316" w:type="pct"/>
            <w:tcMar>
              <w:left w:w="0" w:type="dxa"/>
              <w:right w:w="0" w:type="dxa"/>
            </w:tcMar>
            <w:vAlign w:val="center"/>
          </w:tcPr>
          <w:p>
            <w:pPr>
              <w:jc w:val="center"/>
              <w:rPr>
                <w:rFonts w:eastAsia="仿宋_GB2312"/>
                <w:szCs w:val="21"/>
              </w:rPr>
            </w:pPr>
          </w:p>
        </w:tc>
      </w:tr>
    </w:tbl>
    <w:p>
      <w:pPr>
        <w:jc w:val="center"/>
        <w:rPr>
          <w:rFonts w:eastAsia="黑体"/>
          <w:sz w:val="28"/>
          <w:szCs w:val="28"/>
          <w:highlight w:val="yellow"/>
        </w:rPr>
      </w:pPr>
    </w:p>
    <w:p>
      <w:pPr>
        <w:pStyle w:val="77"/>
        <w:numPr>
          <w:ilvl w:val="0"/>
          <w:numId w:val="9"/>
        </w:numPr>
        <w:ind w:firstLineChars="0"/>
        <w:rPr>
          <w:b/>
          <w:bCs/>
        </w:rPr>
      </w:pPr>
      <w:r>
        <w:rPr>
          <w:b/>
          <w:bCs/>
        </w:rPr>
        <w:t>生态保护红线划定</w:t>
      </w:r>
    </w:p>
    <w:p>
      <w:pPr>
        <w:spacing w:line="560" w:lineRule="exact"/>
        <w:ind w:firstLine="600" w:firstLineChars="200"/>
        <w:rPr>
          <w:rFonts w:eastAsia="仿宋_GB2312"/>
          <w:sz w:val="30"/>
          <w:szCs w:val="30"/>
        </w:rPr>
      </w:pPr>
      <w:r>
        <w:rPr>
          <w:rFonts w:eastAsia="仿宋_GB2312"/>
          <w:sz w:val="30"/>
          <w:szCs w:val="30"/>
        </w:rPr>
        <w:t>南浔区共涉及5个生态保护红线区，面积共6.86km</w:t>
      </w:r>
      <w:r>
        <w:rPr>
          <w:rFonts w:eastAsia="仿宋_GB2312"/>
          <w:sz w:val="30"/>
          <w:szCs w:val="30"/>
          <w:vertAlign w:val="superscript"/>
        </w:rPr>
        <w:t>2</w:t>
      </w:r>
      <w:r>
        <w:rPr>
          <w:rFonts w:eastAsia="仿宋_GB2312"/>
          <w:sz w:val="30"/>
          <w:szCs w:val="30"/>
        </w:rPr>
        <w:t>，分别为和孚漾湿地保护区、横山漾生态保护区、桑基鱼塘生态保护区、菱湖省级湿地公园保护区和千金省级湿地公园保护区。</w:t>
      </w:r>
    </w:p>
    <w:p>
      <w:pPr>
        <w:pStyle w:val="77"/>
        <w:numPr>
          <w:ilvl w:val="0"/>
          <w:numId w:val="9"/>
        </w:numPr>
        <w:ind w:firstLineChars="0"/>
        <w:rPr>
          <w:b/>
          <w:bCs/>
        </w:rPr>
      </w:pPr>
      <w:r>
        <w:rPr>
          <w:b/>
          <w:bCs/>
        </w:rPr>
        <w:t>河湖缓冲带利用</w:t>
      </w:r>
    </w:p>
    <w:p>
      <w:pPr>
        <w:spacing w:line="560" w:lineRule="exact"/>
        <w:ind w:firstLine="600" w:firstLineChars="200"/>
        <w:rPr>
          <w:rFonts w:eastAsia="仿宋_GB2312"/>
          <w:sz w:val="30"/>
          <w:szCs w:val="30"/>
        </w:rPr>
      </w:pPr>
      <w:r>
        <w:rPr>
          <w:rFonts w:eastAsia="仿宋_GB2312"/>
          <w:sz w:val="30"/>
          <w:szCs w:val="30"/>
        </w:rPr>
        <w:t>通过卫星遥感解译，对双林塘33千米的河道进行分析，河湖缓冲带均不同程度受到农业、建筑用地侵占，其中农业用地占比49.1%，建设用地占比28.9%。</w:t>
      </w:r>
    </w:p>
    <w:p>
      <w:pPr>
        <w:spacing w:line="560" w:lineRule="exact"/>
        <w:ind w:firstLine="600" w:firstLineChars="200"/>
        <w:rPr>
          <w:rFonts w:eastAsia="仿宋_GB2312"/>
          <w:sz w:val="30"/>
          <w:szCs w:val="30"/>
        </w:rPr>
      </w:pPr>
      <w:r>
        <w:rPr>
          <w:rFonts w:eastAsia="仿宋_GB2312"/>
          <w:sz w:val="30"/>
          <w:szCs w:val="30"/>
        </w:rPr>
        <w:t>南浔区东部平原水系以京杭运河为代表，生态缓冲带数量较少，被大量农业用地、建设用地侵蚀，且因属于主要航道，基本建设成为硬质驳岸，水生植物物种单一，多为芦苇、鸢尾等挺水植物，河滨带植被缩窄或消失，自然土壤、植被系统被人造道路、码头、步道等取代，生物多样性降低，水体自净能力降低。</w:t>
      </w:r>
    </w:p>
    <w:p>
      <w:pPr>
        <w:pStyle w:val="4"/>
        <w:numPr>
          <w:ilvl w:val="0"/>
          <w:numId w:val="7"/>
        </w:numPr>
        <w:rPr>
          <w:rFonts w:ascii="Times New Roman" w:eastAsia="仿宋_GB2312"/>
        </w:rPr>
      </w:pPr>
      <w:bookmarkStart w:id="32" w:name="_Toc43324241"/>
      <w:bookmarkStart w:id="33" w:name="_Toc43368853"/>
      <w:bookmarkStart w:id="34" w:name="_Toc43378106"/>
      <w:bookmarkStart w:id="35" w:name="_Toc71899936"/>
      <w:r>
        <w:rPr>
          <w:rFonts w:ascii="Times New Roman" w:eastAsia="仿宋_GB2312"/>
        </w:rPr>
        <w:t>水资源状况</w:t>
      </w:r>
      <w:bookmarkEnd w:id="32"/>
      <w:bookmarkEnd w:id="33"/>
      <w:bookmarkEnd w:id="34"/>
      <w:bookmarkEnd w:id="35"/>
    </w:p>
    <w:p>
      <w:pPr>
        <w:pStyle w:val="77"/>
        <w:numPr>
          <w:ilvl w:val="0"/>
          <w:numId w:val="10"/>
        </w:numPr>
        <w:ind w:firstLineChars="0"/>
        <w:rPr>
          <w:b/>
          <w:bCs/>
        </w:rPr>
      </w:pPr>
      <w:r>
        <w:rPr>
          <w:b/>
          <w:bCs/>
        </w:rPr>
        <w:t>水资源量分布</w:t>
      </w:r>
    </w:p>
    <w:p>
      <w:pPr>
        <w:spacing w:line="560" w:lineRule="exact"/>
        <w:ind w:firstLine="600" w:firstLineChars="200"/>
        <w:rPr>
          <w:rFonts w:eastAsia="仿宋_GB2312"/>
          <w:sz w:val="30"/>
          <w:szCs w:val="30"/>
        </w:rPr>
      </w:pPr>
      <w:r>
        <w:rPr>
          <w:rFonts w:eastAsia="仿宋_GB2312"/>
          <w:sz w:val="30"/>
          <w:szCs w:val="30"/>
        </w:rPr>
        <w:t>2010～2019年，南浔区水资源总量呈波动态势，与降水量变化趋势基本相同；地表水和地下水资源量年际变化趋势与水资源总量基本一致。2019年，南浔区水资源总量为5.11亿立方米，人均水资源占有量为920.7立方米；其中地表水资源量为4.48亿立方米，地下水资源量为1.30亿立方米，水资源总量高于多年平均水资源总量。</w:t>
      </w:r>
    </w:p>
    <w:p>
      <w:pPr>
        <w:jc w:val="center"/>
        <w:rPr>
          <w:rFonts w:eastAsia="仿宋_GB2312"/>
          <w:sz w:val="28"/>
        </w:rPr>
      </w:pPr>
      <w:r>
        <w:drawing>
          <wp:inline distT="0" distB="0" distL="0" distR="0">
            <wp:extent cx="4572000" cy="202755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jc w:val="center"/>
        <w:rPr>
          <w:rFonts w:eastAsia="黑体"/>
          <w:sz w:val="28"/>
          <w:szCs w:val="28"/>
        </w:rPr>
      </w:pPr>
      <w:r>
        <w:rPr>
          <w:rFonts w:eastAsia="黑体"/>
          <w:sz w:val="28"/>
          <w:szCs w:val="28"/>
        </w:rPr>
        <w:t>图</w:t>
      </w:r>
      <w:r>
        <w:rPr>
          <w:rFonts w:hint="eastAsia" w:eastAsia="黑体"/>
          <w:sz w:val="28"/>
          <w:szCs w:val="28"/>
        </w:rPr>
        <w:t>1-9</w:t>
      </w:r>
      <w:r>
        <w:rPr>
          <w:rFonts w:eastAsia="黑体"/>
          <w:sz w:val="28"/>
          <w:szCs w:val="28"/>
        </w:rPr>
        <w:t xml:space="preserve">  2010～2019年南浔区水资源总量变化</w:t>
      </w:r>
    </w:p>
    <w:p>
      <w:pPr>
        <w:jc w:val="center"/>
        <w:rPr>
          <w:rFonts w:eastAsia="仿宋_GB2312"/>
          <w:sz w:val="28"/>
        </w:rPr>
      </w:pPr>
      <w:r>
        <w:drawing>
          <wp:inline distT="0" distB="0" distL="0" distR="0">
            <wp:extent cx="4572000" cy="2071370"/>
            <wp:effectExtent l="0" t="0" r="0" b="508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jc w:val="center"/>
        <w:rPr>
          <w:rFonts w:eastAsia="黑体"/>
          <w:sz w:val="28"/>
          <w:szCs w:val="28"/>
        </w:rPr>
      </w:pPr>
      <w:r>
        <w:rPr>
          <w:rFonts w:eastAsia="黑体"/>
          <w:sz w:val="28"/>
          <w:szCs w:val="28"/>
        </w:rPr>
        <w:t>图</w:t>
      </w:r>
      <w:r>
        <w:rPr>
          <w:rFonts w:hint="eastAsia" w:eastAsia="黑体"/>
          <w:sz w:val="28"/>
          <w:szCs w:val="28"/>
        </w:rPr>
        <w:t>1-10</w:t>
      </w:r>
      <w:r>
        <w:rPr>
          <w:rFonts w:eastAsia="黑体"/>
          <w:sz w:val="28"/>
          <w:szCs w:val="28"/>
        </w:rPr>
        <w:t xml:space="preserve">  2010～2019年南浔区年均降雨量变化</w:t>
      </w:r>
    </w:p>
    <w:p>
      <w:pPr>
        <w:pStyle w:val="77"/>
        <w:numPr>
          <w:ilvl w:val="0"/>
          <w:numId w:val="10"/>
        </w:numPr>
        <w:ind w:firstLineChars="0"/>
        <w:rPr>
          <w:b/>
          <w:bCs/>
        </w:rPr>
      </w:pPr>
      <w:r>
        <w:rPr>
          <w:b/>
          <w:bCs/>
        </w:rPr>
        <w:t>水资源开发利用</w:t>
      </w:r>
    </w:p>
    <w:p>
      <w:pPr>
        <w:spacing w:line="560" w:lineRule="exact"/>
        <w:ind w:firstLine="602" w:firstLineChars="200"/>
        <w:rPr>
          <w:rFonts w:eastAsia="仿宋_GB2312"/>
          <w:sz w:val="30"/>
          <w:szCs w:val="30"/>
        </w:rPr>
      </w:pPr>
      <w:r>
        <w:rPr>
          <w:rFonts w:eastAsia="楷体"/>
          <w:b/>
          <w:sz w:val="30"/>
          <w:szCs w:val="30"/>
        </w:rPr>
        <w:t>用水总量方面，</w:t>
      </w:r>
      <w:r>
        <w:rPr>
          <w:rFonts w:eastAsia="仿宋_GB2312"/>
          <w:sz w:val="30"/>
          <w:szCs w:val="30"/>
        </w:rPr>
        <w:t>2010~2020年，南浔区用水总量持续下降，2020年南浔区总用水量2.5429亿立方米；农业用水量占比保持最高，为63～72%，且高于浙江省和全国农业用水比重；生活用水量及比重逐年上升，2020年占比16.96%；工业用水量占比为14.36%。2020年生态环境用水量为0.0907亿立方米，占比3.57%，高于湖州市生态环境用水量比重。</w:t>
      </w:r>
    </w:p>
    <w:p>
      <w:pPr>
        <w:rPr>
          <w:rFonts w:eastAsia="仿宋_GB2312"/>
          <w:sz w:val="28"/>
          <w:highlight w:val="yellow"/>
        </w:rPr>
      </w:pPr>
      <w:r>
        <w:drawing>
          <wp:inline distT="0" distB="0" distL="0" distR="0">
            <wp:extent cx="5422265" cy="2425065"/>
            <wp:effectExtent l="0" t="0" r="6985"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jc w:val="center"/>
        <w:rPr>
          <w:rFonts w:eastAsia="黑体"/>
          <w:sz w:val="28"/>
          <w:szCs w:val="28"/>
        </w:rPr>
      </w:pPr>
      <w:r>
        <w:rPr>
          <w:rFonts w:eastAsia="黑体"/>
          <w:sz w:val="28"/>
          <w:szCs w:val="28"/>
        </w:rPr>
        <w:t>图</w:t>
      </w:r>
      <w:r>
        <w:rPr>
          <w:rFonts w:hint="eastAsia" w:eastAsia="黑体"/>
          <w:sz w:val="28"/>
          <w:szCs w:val="28"/>
        </w:rPr>
        <w:t>1-11</w:t>
      </w:r>
      <w:r>
        <w:rPr>
          <w:rFonts w:eastAsia="黑体"/>
          <w:sz w:val="28"/>
          <w:szCs w:val="28"/>
        </w:rPr>
        <w:t xml:space="preserve">  2010～2020年南浔区各类型用水量变化</w:t>
      </w:r>
    </w:p>
    <w:p>
      <w:pPr>
        <w:spacing w:line="560" w:lineRule="exact"/>
        <w:ind w:firstLine="602" w:firstLineChars="200"/>
        <w:rPr>
          <w:rFonts w:eastAsia="仿宋_GB2312"/>
          <w:sz w:val="30"/>
          <w:szCs w:val="30"/>
        </w:rPr>
      </w:pPr>
      <w:r>
        <w:rPr>
          <w:rFonts w:eastAsia="楷体"/>
          <w:b/>
          <w:sz w:val="30"/>
          <w:szCs w:val="30"/>
        </w:rPr>
        <w:t>用水效率方面，</w:t>
      </w:r>
      <w:r>
        <w:rPr>
          <w:rFonts w:eastAsia="仿宋_GB2312"/>
          <w:sz w:val="30"/>
          <w:szCs w:val="30"/>
        </w:rPr>
        <w:t>2020年，南浔区城乡人均生活用水量53.2立方米、农田灌溉亩均用水量309立方米，均高于湖州市和浙江省平均水平；万元GDP用水量为54立方米，低于湖州市和浙江省平均水平。</w:t>
      </w:r>
    </w:p>
    <w:p>
      <w:pPr>
        <w:jc w:val="center"/>
        <w:rPr>
          <w:rFonts w:eastAsia="黑体"/>
          <w:sz w:val="28"/>
          <w:szCs w:val="28"/>
        </w:rPr>
      </w:pPr>
      <w:r>
        <w:rPr>
          <w:rFonts w:eastAsia="黑体"/>
          <w:sz w:val="28"/>
          <w:szCs w:val="28"/>
        </w:rPr>
        <w:t>表</w:t>
      </w:r>
      <w:r>
        <w:rPr>
          <w:rFonts w:hint="eastAsia" w:eastAsia="黑体"/>
          <w:sz w:val="28"/>
          <w:szCs w:val="28"/>
        </w:rPr>
        <w:t>1-</w:t>
      </w:r>
      <w:r>
        <w:rPr>
          <w:rFonts w:eastAsia="黑体"/>
          <w:sz w:val="28"/>
          <w:szCs w:val="28"/>
        </w:rPr>
        <w:t>1</w:t>
      </w:r>
      <w:r>
        <w:rPr>
          <w:rFonts w:hint="eastAsia" w:eastAsia="黑体"/>
          <w:sz w:val="28"/>
          <w:szCs w:val="28"/>
        </w:rPr>
        <w:t>9</w:t>
      </w:r>
      <w:r>
        <w:rPr>
          <w:rFonts w:eastAsia="黑体"/>
          <w:sz w:val="28"/>
          <w:szCs w:val="28"/>
        </w:rPr>
        <w:t xml:space="preserve">  2010-2020年南浔区用水指标</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855"/>
        <w:gridCol w:w="1857"/>
        <w:gridCol w:w="1854"/>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widowControl/>
              <w:jc w:val="center"/>
              <w:rPr>
                <w:rFonts w:eastAsia="仿宋_GB2312"/>
                <w:b/>
                <w:color w:val="000000"/>
                <w:kern w:val="0"/>
                <w:szCs w:val="21"/>
              </w:rPr>
            </w:pPr>
            <w:r>
              <w:rPr>
                <w:rFonts w:eastAsia="仿宋_GB2312"/>
                <w:b/>
                <w:color w:val="000000"/>
                <w:kern w:val="0"/>
                <w:szCs w:val="21"/>
              </w:rPr>
              <w:t>年份</w:t>
            </w:r>
          </w:p>
        </w:tc>
        <w:tc>
          <w:tcPr>
            <w:tcW w:w="1088"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城乡人均生活用水量（立方米）</w:t>
            </w:r>
          </w:p>
        </w:tc>
        <w:tc>
          <w:tcPr>
            <w:tcW w:w="1089"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农田灌溉亩均用水量（立方米）</w:t>
            </w:r>
          </w:p>
        </w:tc>
        <w:tc>
          <w:tcPr>
            <w:tcW w:w="1088"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万元GDP用水量（立方米）</w:t>
            </w:r>
          </w:p>
        </w:tc>
        <w:tc>
          <w:tcPr>
            <w:tcW w:w="1089"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万元工业增加值用水量（立方米）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2010</w:t>
            </w:r>
          </w:p>
        </w:tc>
        <w:tc>
          <w:tcPr>
            <w:tcW w:w="1088" w:type="pct"/>
            <w:shd w:val="clear" w:color="auto" w:fill="auto"/>
            <w:noWrap/>
            <w:vAlign w:val="center"/>
          </w:tcPr>
          <w:p>
            <w:pPr>
              <w:jc w:val="center"/>
              <w:rPr>
                <w:rFonts w:eastAsia="仿宋_GB2312"/>
                <w:szCs w:val="21"/>
              </w:rPr>
            </w:pPr>
            <w:r>
              <w:rPr>
                <w:rFonts w:eastAsia="仿宋_GB2312"/>
                <w:szCs w:val="21"/>
              </w:rPr>
              <w:t>47.20</w:t>
            </w:r>
          </w:p>
        </w:tc>
        <w:tc>
          <w:tcPr>
            <w:tcW w:w="1089" w:type="pct"/>
            <w:shd w:val="clear" w:color="auto" w:fill="auto"/>
            <w:noWrap/>
            <w:vAlign w:val="center"/>
          </w:tcPr>
          <w:p>
            <w:pPr>
              <w:jc w:val="center"/>
              <w:rPr>
                <w:rFonts w:eastAsia="仿宋_GB2312"/>
                <w:szCs w:val="21"/>
              </w:rPr>
            </w:pPr>
            <w:r>
              <w:rPr>
                <w:rFonts w:eastAsia="仿宋_GB2312"/>
                <w:szCs w:val="21"/>
              </w:rPr>
              <w:t>432</w:t>
            </w:r>
          </w:p>
        </w:tc>
        <w:tc>
          <w:tcPr>
            <w:tcW w:w="1088" w:type="pct"/>
            <w:shd w:val="clear" w:color="auto" w:fill="auto"/>
            <w:noWrap/>
            <w:vAlign w:val="center"/>
          </w:tcPr>
          <w:p>
            <w:pPr>
              <w:jc w:val="center"/>
              <w:rPr>
                <w:rFonts w:eastAsia="仿宋_GB2312"/>
                <w:szCs w:val="21"/>
              </w:rPr>
            </w:pPr>
            <w:r>
              <w:rPr>
                <w:rFonts w:eastAsia="仿宋_GB2312"/>
                <w:szCs w:val="21"/>
              </w:rPr>
              <w:t>165.64</w:t>
            </w:r>
          </w:p>
        </w:tc>
        <w:tc>
          <w:tcPr>
            <w:tcW w:w="1089" w:type="pct"/>
            <w:shd w:val="clear" w:color="auto" w:fill="auto"/>
            <w:noWrap/>
            <w:vAlign w:val="center"/>
          </w:tcPr>
          <w:p>
            <w:pPr>
              <w:jc w:val="center"/>
              <w:rPr>
                <w:rFonts w:eastAsia="仿宋_GB2312"/>
                <w:szCs w:val="21"/>
              </w:rPr>
            </w:pPr>
            <w:r>
              <w:rPr>
                <w:rFonts w:eastAsia="仿宋_GB2312"/>
                <w:szCs w:val="21"/>
              </w:rPr>
              <w:t>45.93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2011</w:t>
            </w:r>
          </w:p>
        </w:tc>
        <w:tc>
          <w:tcPr>
            <w:tcW w:w="1088" w:type="pct"/>
            <w:shd w:val="clear" w:color="auto" w:fill="auto"/>
            <w:noWrap/>
            <w:vAlign w:val="center"/>
          </w:tcPr>
          <w:p>
            <w:pPr>
              <w:jc w:val="center"/>
              <w:rPr>
                <w:rFonts w:eastAsia="仿宋_GB2312"/>
                <w:szCs w:val="21"/>
              </w:rPr>
            </w:pPr>
            <w:r>
              <w:rPr>
                <w:rFonts w:eastAsia="仿宋_GB2312"/>
                <w:szCs w:val="21"/>
              </w:rPr>
              <w:t>54.8</w:t>
            </w:r>
          </w:p>
        </w:tc>
        <w:tc>
          <w:tcPr>
            <w:tcW w:w="1089" w:type="pct"/>
            <w:shd w:val="clear" w:color="auto" w:fill="auto"/>
            <w:noWrap/>
            <w:vAlign w:val="center"/>
          </w:tcPr>
          <w:p>
            <w:pPr>
              <w:jc w:val="center"/>
              <w:rPr>
                <w:rFonts w:eastAsia="仿宋_GB2312"/>
                <w:szCs w:val="21"/>
              </w:rPr>
            </w:pPr>
            <w:r>
              <w:rPr>
                <w:rFonts w:eastAsia="仿宋_GB2312"/>
                <w:szCs w:val="21"/>
              </w:rPr>
              <w:t>431</w:t>
            </w:r>
          </w:p>
        </w:tc>
        <w:tc>
          <w:tcPr>
            <w:tcW w:w="1088" w:type="pct"/>
            <w:shd w:val="clear" w:color="auto" w:fill="auto"/>
            <w:noWrap/>
            <w:vAlign w:val="center"/>
          </w:tcPr>
          <w:p>
            <w:pPr>
              <w:jc w:val="center"/>
              <w:rPr>
                <w:rFonts w:eastAsia="仿宋_GB2312"/>
                <w:szCs w:val="21"/>
              </w:rPr>
            </w:pPr>
            <w:r>
              <w:rPr>
                <w:rFonts w:eastAsia="仿宋_GB2312"/>
                <w:szCs w:val="21"/>
              </w:rPr>
              <w:t>139.41</w:t>
            </w:r>
          </w:p>
        </w:tc>
        <w:tc>
          <w:tcPr>
            <w:tcW w:w="1089" w:type="pct"/>
            <w:shd w:val="clear" w:color="auto" w:fill="auto"/>
            <w:noWrap/>
            <w:vAlign w:val="center"/>
          </w:tcPr>
          <w:p>
            <w:pPr>
              <w:jc w:val="center"/>
              <w:rPr>
                <w:rFonts w:eastAsia="仿宋_GB2312"/>
                <w:szCs w:val="21"/>
              </w:rPr>
            </w:pPr>
            <w:r>
              <w:rPr>
                <w:rFonts w:eastAsia="仿宋_GB2312"/>
                <w:szCs w:val="21"/>
              </w:rPr>
              <w:t>45.58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2012</w:t>
            </w:r>
          </w:p>
        </w:tc>
        <w:tc>
          <w:tcPr>
            <w:tcW w:w="1088" w:type="pct"/>
            <w:shd w:val="clear" w:color="auto" w:fill="auto"/>
            <w:noWrap/>
            <w:vAlign w:val="center"/>
          </w:tcPr>
          <w:p>
            <w:pPr>
              <w:jc w:val="center"/>
              <w:rPr>
                <w:rFonts w:eastAsia="仿宋_GB2312"/>
                <w:szCs w:val="21"/>
              </w:rPr>
            </w:pPr>
            <w:r>
              <w:rPr>
                <w:rFonts w:eastAsia="仿宋_GB2312"/>
                <w:szCs w:val="21"/>
              </w:rPr>
              <w:t>42.1</w:t>
            </w:r>
          </w:p>
        </w:tc>
        <w:tc>
          <w:tcPr>
            <w:tcW w:w="1089" w:type="pct"/>
            <w:shd w:val="clear" w:color="auto" w:fill="auto"/>
            <w:noWrap/>
            <w:vAlign w:val="center"/>
          </w:tcPr>
          <w:p>
            <w:pPr>
              <w:jc w:val="center"/>
              <w:rPr>
                <w:rFonts w:eastAsia="仿宋_GB2312"/>
                <w:szCs w:val="21"/>
              </w:rPr>
            </w:pPr>
            <w:r>
              <w:rPr>
                <w:rFonts w:eastAsia="仿宋_GB2312"/>
                <w:szCs w:val="21"/>
              </w:rPr>
              <w:t>434</w:t>
            </w:r>
          </w:p>
        </w:tc>
        <w:tc>
          <w:tcPr>
            <w:tcW w:w="1088" w:type="pct"/>
            <w:shd w:val="clear" w:color="auto" w:fill="auto"/>
            <w:noWrap/>
            <w:vAlign w:val="center"/>
          </w:tcPr>
          <w:p>
            <w:pPr>
              <w:jc w:val="center"/>
              <w:rPr>
                <w:rFonts w:eastAsia="仿宋_GB2312"/>
                <w:szCs w:val="21"/>
              </w:rPr>
            </w:pPr>
            <w:r>
              <w:rPr>
                <w:rFonts w:eastAsia="仿宋_GB2312"/>
                <w:szCs w:val="21"/>
              </w:rPr>
              <w:t>123.62</w:t>
            </w:r>
          </w:p>
        </w:tc>
        <w:tc>
          <w:tcPr>
            <w:tcW w:w="1089" w:type="pct"/>
            <w:shd w:val="clear" w:color="auto" w:fill="auto"/>
            <w:noWrap/>
            <w:vAlign w:val="center"/>
          </w:tcPr>
          <w:p>
            <w:pPr>
              <w:jc w:val="center"/>
              <w:rPr>
                <w:rFonts w:eastAsia="仿宋_GB2312"/>
                <w:szCs w:val="21"/>
              </w:rPr>
            </w:pPr>
            <w:r>
              <w:rPr>
                <w:rFonts w:eastAsia="仿宋_GB2312"/>
                <w:szCs w:val="21"/>
              </w:rPr>
              <w:t>41.76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2013</w:t>
            </w:r>
          </w:p>
        </w:tc>
        <w:tc>
          <w:tcPr>
            <w:tcW w:w="1088" w:type="pct"/>
            <w:shd w:val="clear" w:color="auto" w:fill="auto"/>
            <w:noWrap/>
            <w:vAlign w:val="center"/>
          </w:tcPr>
          <w:p>
            <w:pPr>
              <w:jc w:val="center"/>
              <w:rPr>
                <w:rFonts w:eastAsia="仿宋_GB2312"/>
                <w:szCs w:val="21"/>
              </w:rPr>
            </w:pPr>
            <w:r>
              <w:rPr>
                <w:rFonts w:eastAsia="仿宋_GB2312"/>
                <w:szCs w:val="21"/>
              </w:rPr>
              <w:t>47.6</w:t>
            </w:r>
          </w:p>
        </w:tc>
        <w:tc>
          <w:tcPr>
            <w:tcW w:w="1089" w:type="pct"/>
            <w:shd w:val="clear" w:color="auto" w:fill="auto"/>
            <w:noWrap/>
            <w:vAlign w:val="center"/>
          </w:tcPr>
          <w:p>
            <w:pPr>
              <w:jc w:val="center"/>
              <w:rPr>
                <w:rFonts w:eastAsia="仿宋_GB2312"/>
                <w:szCs w:val="21"/>
              </w:rPr>
            </w:pPr>
            <w:r>
              <w:rPr>
                <w:rFonts w:eastAsia="仿宋_GB2312"/>
                <w:szCs w:val="21"/>
              </w:rPr>
              <w:t>435</w:t>
            </w:r>
          </w:p>
        </w:tc>
        <w:tc>
          <w:tcPr>
            <w:tcW w:w="1088" w:type="pct"/>
            <w:shd w:val="clear" w:color="auto" w:fill="auto"/>
            <w:noWrap/>
            <w:vAlign w:val="center"/>
          </w:tcPr>
          <w:p>
            <w:pPr>
              <w:jc w:val="center"/>
              <w:rPr>
                <w:rFonts w:eastAsia="仿宋_GB2312"/>
                <w:szCs w:val="21"/>
              </w:rPr>
            </w:pPr>
            <w:r>
              <w:rPr>
                <w:rFonts w:eastAsia="仿宋_GB2312"/>
                <w:szCs w:val="21"/>
              </w:rPr>
              <w:t>120.07</w:t>
            </w:r>
          </w:p>
        </w:tc>
        <w:tc>
          <w:tcPr>
            <w:tcW w:w="1089" w:type="pct"/>
            <w:shd w:val="clear" w:color="auto" w:fill="auto"/>
            <w:noWrap/>
            <w:vAlign w:val="center"/>
          </w:tcPr>
          <w:p>
            <w:pPr>
              <w:jc w:val="center"/>
              <w:rPr>
                <w:rFonts w:eastAsia="仿宋_GB2312"/>
                <w:szCs w:val="21"/>
              </w:rPr>
            </w:pPr>
            <w:r>
              <w:rPr>
                <w:rFonts w:eastAsia="仿宋_GB2312"/>
                <w:szCs w:val="21"/>
              </w:rPr>
              <w:t>39.72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2014</w:t>
            </w:r>
          </w:p>
        </w:tc>
        <w:tc>
          <w:tcPr>
            <w:tcW w:w="1088" w:type="pct"/>
            <w:shd w:val="clear" w:color="auto" w:fill="auto"/>
            <w:noWrap/>
            <w:vAlign w:val="center"/>
          </w:tcPr>
          <w:p>
            <w:pPr>
              <w:jc w:val="center"/>
              <w:rPr>
                <w:rFonts w:eastAsia="仿宋_GB2312"/>
                <w:szCs w:val="21"/>
              </w:rPr>
            </w:pPr>
            <w:r>
              <w:rPr>
                <w:rFonts w:eastAsia="仿宋_GB2312"/>
                <w:szCs w:val="21"/>
              </w:rPr>
              <w:t>47.6</w:t>
            </w:r>
          </w:p>
        </w:tc>
        <w:tc>
          <w:tcPr>
            <w:tcW w:w="1089" w:type="pct"/>
            <w:shd w:val="clear" w:color="auto" w:fill="auto"/>
            <w:noWrap/>
            <w:vAlign w:val="center"/>
          </w:tcPr>
          <w:p>
            <w:pPr>
              <w:jc w:val="center"/>
              <w:rPr>
                <w:rFonts w:eastAsia="仿宋_GB2312"/>
                <w:szCs w:val="21"/>
              </w:rPr>
            </w:pPr>
            <w:r>
              <w:rPr>
                <w:rFonts w:eastAsia="仿宋_GB2312"/>
                <w:szCs w:val="21"/>
              </w:rPr>
              <w:t>422</w:t>
            </w:r>
          </w:p>
        </w:tc>
        <w:tc>
          <w:tcPr>
            <w:tcW w:w="1088" w:type="pct"/>
            <w:shd w:val="clear" w:color="auto" w:fill="auto"/>
            <w:noWrap/>
            <w:vAlign w:val="center"/>
          </w:tcPr>
          <w:p>
            <w:pPr>
              <w:jc w:val="center"/>
              <w:rPr>
                <w:rFonts w:eastAsia="仿宋_GB2312"/>
                <w:szCs w:val="21"/>
              </w:rPr>
            </w:pPr>
            <w:r>
              <w:rPr>
                <w:rFonts w:eastAsia="仿宋_GB2312"/>
                <w:szCs w:val="21"/>
              </w:rPr>
              <w:t>99.56</w:t>
            </w:r>
          </w:p>
        </w:tc>
        <w:tc>
          <w:tcPr>
            <w:tcW w:w="1089" w:type="pct"/>
            <w:shd w:val="clear" w:color="auto" w:fill="auto"/>
            <w:noWrap/>
            <w:vAlign w:val="center"/>
          </w:tcPr>
          <w:p>
            <w:pPr>
              <w:jc w:val="center"/>
              <w:rPr>
                <w:rFonts w:eastAsia="仿宋_GB2312"/>
                <w:szCs w:val="21"/>
              </w:rPr>
            </w:pPr>
            <w:r>
              <w:rPr>
                <w:rFonts w:eastAsia="仿宋_GB2312"/>
                <w:szCs w:val="21"/>
              </w:rPr>
              <w:t>39.36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2015</w:t>
            </w:r>
          </w:p>
        </w:tc>
        <w:tc>
          <w:tcPr>
            <w:tcW w:w="1088" w:type="pct"/>
            <w:shd w:val="clear" w:color="auto" w:fill="auto"/>
            <w:noWrap/>
            <w:vAlign w:val="center"/>
          </w:tcPr>
          <w:p>
            <w:pPr>
              <w:jc w:val="center"/>
              <w:rPr>
                <w:rFonts w:eastAsia="仿宋_GB2312"/>
                <w:szCs w:val="21"/>
              </w:rPr>
            </w:pPr>
            <w:r>
              <w:rPr>
                <w:rFonts w:eastAsia="仿宋_GB2312"/>
                <w:szCs w:val="21"/>
              </w:rPr>
              <w:t>48.5</w:t>
            </w:r>
          </w:p>
        </w:tc>
        <w:tc>
          <w:tcPr>
            <w:tcW w:w="1089" w:type="pct"/>
            <w:shd w:val="clear" w:color="auto" w:fill="auto"/>
            <w:noWrap/>
            <w:vAlign w:val="center"/>
          </w:tcPr>
          <w:p>
            <w:pPr>
              <w:jc w:val="center"/>
              <w:rPr>
                <w:rFonts w:eastAsia="仿宋_GB2312"/>
                <w:szCs w:val="21"/>
              </w:rPr>
            </w:pPr>
            <w:r>
              <w:rPr>
                <w:rFonts w:eastAsia="仿宋_GB2312"/>
                <w:szCs w:val="21"/>
              </w:rPr>
              <w:t>384</w:t>
            </w:r>
          </w:p>
        </w:tc>
        <w:tc>
          <w:tcPr>
            <w:tcW w:w="1088" w:type="pct"/>
            <w:shd w:val="clear" w:color="auto" w:fill="auto"/>
            <w:noWrap/>
            <w:vAlign w:val="center"/>
          </w:tcPr>
          <w:p>
            <w:pPr>
              <w:jc w:val="center"/>
              <w:rPr>
                <w:rFonts w:eastAsia="仿宋_GB2312"/>
                <w:szCs w:val="21"/>
              </w:rPr>
            </w:pPr>
            <w:r>
              <w:rPr>
                <w:rFonts w:eastAsia="仿宋_GB2312"/>
                <w:szCs w:val="21"/>
              </w:rPr>
              <w:t>98.06</w:t>
            </w:r>
          </w:p>
        </w:tc>
        <w:tc>
          <w:tcPr>
            <w:tcW w:w="1089" w:type="pct"/>
            <w:shd w:val="clear" w:color="auto" w:fill="auto"/>
            <w:noWrap/>
            <w:vAlign w:val="center"/>
          </w:tcPr>
          <w:p>
            <w:pPr>
              <w:jc w:val="center"/>
              <w:rPr>
                <w:rFonts w:eastAsia="仿宋_GB2312"/>
                <w:szCs w:val="21"/>
              </w:rPr>
            </w:pPr>
            <w:r>
              <w:rPr>
                <w:rFonts w:eastAsia="仿宋_GB2312"/>
                <w:szCs w:val="21"/>
              </w:rPr>
              <w:t>37.94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2016</w:t>
            </w:r>
          </w:p>
        </w:tc>
        <w:tc>
          <w:tcPr>
            <w:tcW w:w="1088" w:type="pct"/>
            <w:shd w:val="clear" w:color="auto" w:fill="auto"/>
            <w:noWrap/>
            <w:vAlign w:val="center"/>
          </w:tcPr>
          <w:p>
            <w:pPr>
              <w:jc w:val="center"/>
              <w:rPr>
                <w:rFonts w:eastAsia="仿宋_GB2312"/>
                <w:szCs w:val="21"/>
              </w:rPr>
            </w:pPr>
            <w:r>
              <w:rPr>
                <w:rFonts w:eastAsia="仿宋_GB2312"/>
                <w:szCs w:val="21"/>
              </w:rPr>
              <w:t>49.3</w:t>
            </w:r>
          </w:p>
        </w:tc>
        <w:tc>
          <w:tcPr>
            <w:tcW w:w="1089" w:type="pct"/>
            <w:shd w:val="clear" w:color="auto" w:fill="auto"/>
            <w:noWrap/>
            <w:vAlign w:val="center"/>
          </w:tcPr>
          <w:p>
            <w:pPr>
              <w:jc w:val="center"/>
              <w:rPr>
                <w:rFonts w:eastAsia="仿宋_GB2312"/>
                <w:szCs w:val="21"/>
              </w:rPr>
            </w:pPr>
            <w:r>
              <w:rPr>
                <w:rFonts w:eastAsia="仿宋_GB2312"/>
                <w:szCs w:val="21"/>
              </w:rPr>
              <w:t>414</w:t>
            </w:r>
          </w:p>
        </w:tc>
        <w:tc>
          <w:tcPr>
            <w:tcW w:w="1088" w:type="pct"/>
            <w:shd w:val="clear" w:color="auto" w:fill="auto"/>
            <w:noWrap/>
            <w:vAlign w:val="center"/>
          </w:tcPr>
          <w:p>
            <w:pPr>
              <w:jc w:val="center"/>
              <w:rPr>
                <w:rFonts w:eastAsia="仿宋_GB2312"/>
                <w:szCs w:val="21"/>
              </w:rPr>
            </w:pPr>
            <w:r>
              <w:rPr>
                <w:rFonts w:eastAsia="仿宋_GB2312"/>
                <w:szCs w:val="21"/>
              </w:rPr>
              <w:t>84.20</w:t>
            </w:r>
          </w:p>
        </w:tc>
        <w:tc>
          <w:tcPr>
            <w:tcW w:w="1089" w:type="pct"/>
            <w:shd w:val="clear" w:color="auto" w:fill="auto"/>
            <w:noWrap/>
            <w:vAlign w:val="center"/>
          </w:tcPr>
          <w:p>
            <w:pPr>
              <w:jc w:val="center"/>
              <w:rPr>
                <w:rFonts w:eastAsia="仿宋_GB2312"/>
                <w:szCs w:val="21"/>
              </w:rPr>
            </w:pPr>
            <w:r>
              <w:rPr>
                <w:rFonts w:eastAsia="仿宋_GB2312"/>
                <w:szCs w:val="21"/>
              </w:rPr>
              <w:t>27.90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2017</w:t>
            </w:r>
          </w:p>
        </w:tc>
        <w:tc>
          <w:tcPr>
            <w:tcW w:w="1088" w:type="pct"/>
            <w:shd w:val="clear" w:color="auto" w:fill="auto"/>
            <w:noWrap/>
            <w:vAlign w:val="center"/>
          </w:tcPr>
          <w:p>
            <w:pPr>
              <w:jc w:val="center"/>
              <w:rPr>
                <w:rFonts w:eastAsia="仿宋_GB2312"/>
                <w:szCs w:val="21"/>
              </w:rPr>
            </w:pPr>
            <w:r>
              <w:rPr>
                <w:rFonts w:eastAsia="仿宋_GB2312"/>
                <w:szCs w:val="21"/>
              </w:rPr>
              <w:t>53.9</w:t>
            </w:r>
          </w:p>
        </w:tc>
        <w:tc>
          <w:tcPr>
            <w:tcW w:w="1089" w:type="pct"/>
            <w:shd w:val="clear" w:color="auto" w:fill="auto"/>
            <w:noWrap/>
            <w:vAlign w:val="center"/>
          </w:tcPr>
          <w:p>
            <w:pPr>
              <w:jc w:val="center"/>
              <w:rPr>
                <w:rFonts w:eastAsia="仿宋_GB2312"/>
                <w:szCs w:val="21"/>
              </w:rPr>
            </w:pPr>
            <w:r>
              <w:rPr>
                <w:rFonts w:eastAsia="仿宋_GB2312"/>
                <w:szCs w:val="21"/>
              </w:rPr>
              <w:t>394</w:t>
            </w:r>
          </w:p>
        </w:tc>
        <w:tc>
          <w:tcPr>
            <w:tcW w:w="1088" w:type="pct"/>
            <w:shd w:val="clear" w:color="auto" w:fill="auto"/>
            <w:noWrap/>
            <w:vAlign w:val="center"/>
          </w:tcPr>
          <w:p>
            <w:pPr>
              <w:jc w:val="center"/>
              <w:rPr>
                <w:rFonts w:eastAsia="仿宋_GB2312"/>
                <w:szCs w:val="21"/>
              </w:rPr>
            </w:pPr>
            <w:r>
              <w:rPr>
                <w:rFonts w:hint="eastAsia" w:eastAsia="仿宋_GB2312"/>
                <w:szCs w:val="21"/>
              </w:rPr>
              <w:t>78.30</w:t>
            </w:r>
          </w:p>
        </w:tc>
        <w:tc>
          <w:tcPr>
            <w:tcW w:w="1089" w:type="pct"/>
            <w:shd w:val="clear" w:color="auto" w:fill="auto"/>
            <w:noWrap/>
            <w:vAlign w:val="center"/>
          </w:tcPr>
          <w:p>
            <w:pPr>
              <w:jc w:val="center"/>
              <w:rPr>
                <w:rFonts w:eastAsia="仿宋_GB2312"/>
                <w:szCs w:val="21"/>
              </w:rPr>
            </w:pPr>
            <w:r>
              <w:rPr>
                <w:rFonts w:hint="eastAsia" w:eastAsia="仿宋_GB2312"/>
                <w:szCs w:val="21"/>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2018</w:t>
            </w:r>
          </w:p>
        </w:tc>
        <w:tc>
          <w:tcPr>
            <w:tcW w:w="1088" w:type="pct"/>
            <w:shd w:val="clear" w:color="auto" w:fill="auto"/>
            <w:noWrap/>
            <w:vAlign w:val="center"/>
          </w:tcPr>
          <w:p>
            <w:pPr>
              <w:jc w:val="center"/>
              <w:rPr>
                <w:rFonts w:eastAsia="仿宋_GB2312"/>
                <w:szCs w:val="21"/>
              </w:rPr>
            </w:pPr>
            <w:r>
              <w:rPr>
                <w:rFonts w:eastAsia="仿宋_GB2312"/>
                <w:szCs w:val="21"/>
              </w:rPr>
              <w:t>53.2</w:t>
            </w:r>
          </w:p>
        </w:tc>
        <w:tc>
          <w:tcPr>
            <w:tcW w:w="1089" w:type="pct"/>
            <w:shd w:val="clear" w:color="auto" w:fill="auto"/>
            <w:noWrap/>
            <w:vAlign w:val="center"/>
          </w:tcPr>
          <w:p>
            <w:pPr>
              <w:jc w:val="center"/>
              <w:rPr>
                <w:rFonts w:eastAsia="仿宋_GB2312"/>
                <w:szCs w:val="21"/>
              </w:rPr>
            </w:pPr>
            <w:r>
              <w:rPr>
                <w:rFonts w:eastAsia="仿宋_GB2312"/>
                <w:szCs w:val="21"/>
              </w:rPr>
              <w:t>339</w:t>
            </w:r>
          </w:p>
        </w:tc>
        <w:tc>
          <w:tcPr>
            <w:tcW w:w="1088" w:type="pct"/>
            <w:shd w:val="clear" w:color="auto" w:fill="auto"/>
            <w:noWrap/>
            <w:vAlign w:val="center"/>
          </w:tcPr>
          <w:p>
            <w:pPr>
              <w:jc w:val="center"/>
              <w:rPr>
                <w:rFonts w:eastAsia="仿宋_GB2312"/>
                <w:szCs w:val="21"/>
              </w:rPr>
            </w:pPr>
            <w:r>
              <w:rPr>
                <w:rFonts w:eastAsia="仿宋_GB2312"/>
                <w:szCs w:val="21"/>
              </w:rPr>
              <w:t>66.10</w:t>
            </w:r>
          </w:p>
        </w:tc>
        <w:tc>
          <w:tcPr>
            <w:tcW w:w="1089" w:type="pct"/>
            <w:shd w:val="clear" w:color="auto" w:fill="auto"/>
            <w:noWrap/>
            <w:vAlign w:val="center"/>
          </w:tcPr>
          <w:p>
            <w:pPr>
              <w:jc w:val="center"/>
              <w:rPr>
                <w:rFonts w:eastAsia="仿宋_GB2312"/>
                <w:szCs w:val="21"/>
              </w:rPr>
            </w:pPr>
            <w:r>
              <w:rPr>
                <w:rFonts w:eastAsia="仿宋_GB2312"/>
                <w:szCs w:val="21"/>
              </w:rPr>
              <w:t>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2019</w:t>
            </w:r>
          </w:p>
        </w:tc>
        <w:tc>
          <w:tcPr>
            <w:tcW w:w="1088" w:type="pct"/>
            <w:shd w:val="clear" w:color="auto" w:fill="auto"/>
            <w:noWrap/>
            <w:vAlign w:val="center"/>
          </w:tcPr>
          <w:p>
            <w:pPr>
              <w:jc w:val="center"/>
              <w:rPr>
                <w:rFonts w:eastAsia="仿宋_GB2312"/>
                <w:szCs w:val="21"/>
              </w:rPr>
            </w:pPr>
            <w:r>
              <w:rPr>
                <w:rFonts w:eastAsia="仿宋_GB2312"/>
                <w:szCs w:val="21"/>
              </w:rPr>
              <w:t>53.2</w:t>
            </w:r>
          </w:p>
        </w:tc>
        <w:tc>
          <w:tcPr>
            <w:tcW w:w="1089" w:type="pct"/>
            <w:shd w:val="clear" w:color="auto" w:fill="auto"/>
            <w:noWrap/>
            <w:vAlign w:val="center"/>
          </w:tcPr>
          <w:p>
            <w:pPr>
              <w:jc w:val="center"/>
              <w:rPr>
                <w:rFonts w:eastAsia="仿宋_GB2312"/>
                <w:szCs w:val="21"/>
              </w:rPr>
            </w:pPr>
            <w:r>
              <w:rPr>
                <w:rFonts w:eastAsia="仿宋_GB2312"/>
                <w:szCs w:val="21"/>
              </w:rPr>
              <w:t>312</w:t>
            </w:r>
          </w:p>
        </w:tc>
        <w:tc>
          <w:tcPr>
            <w:tcW w:w="1088" w:type="pct"/>
            <w:shd w:val="clear" w:color="auto" w:fill="auto"/>
            <w:noWrap/>
            <w:vAlign w:val="center"/>
          </w:tcPr>
          <w:p>
            <w:pPr>
              <w:jc w:val="center"/>
              <w:rPr>
                <w:rFonts w:eastAsia="仿宋_GB2312"/>
                <w:szCs w:val="21"/>
              </w:rPr>
            </w:pPr>
            <w:r>
              <w:rPr>
                <w:rFonts w:eastAsia="仿宋_GB2312"/>
                <w:szCs w:val="21"/>
              </w:rPr>
              <w:t>57.00</w:t>
            </w:r>
          </w:p>
        </w:tc>
        <w:tc>
          <w:tcPr>
            <w:tcW w:w="1089" w:type="pct"/>
            <w:shd w:val="clear" w:color="auto" w:fill="auto"/>
            <w:noWrap/>
            <w:vAlign w:val="center"/>
          </w:tcPr>
          <w:p>
            <w:pPr>
              <w:jc w:val="center"/>
              <w:rPr>
                <w:rFonts w:eastAsia="仿宋_GB2312"/>
                <w:szCs w:val="21"/>
              </w:rPr>
            </w:pPr>
            <w:r>
              <w:rPr>
                <w:rFonts w:eastAsia="仿宋_GB2312"/>
                <w:szCs w:val="21"/>
              </w:rPr>
              <w:t>14.30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Align w:val="center"/>
          </w:tcPr>
          <w:p>
            <w:pPr>
              <w:jc w:val="center"/>
              <w:rPr>
                <w:rFonts w:eastAsia="仿宋_GB2312"/>
                <w:szCs w:val="21"/>
              </w:rPr>
            </w:pPr>
            <w:r>
              <w:rPr>
                <w:rFonts w:eastAsia="仿宋_GB2312"/>
                <w:szCs w:val="21"/>
              </w:rPr>
              <w:t>2020</w:t>
            </w:r>
          </w:p>
        </w:tc>
        <w:tc>
          <w:tcPr>
            <w:tcW w:w="1088" w:type="pct"/>
            <w:shd w:val="clear" w:color="auto" w:fill="auto"/>
            <w:noWrap/>
            <w:vAlign w:val="center"/>
          </w:tcPr>
          <w:p>
            <w:pPr>
              <w:jc w:val="center"/>
              <w:rPr>
                <w:rFonts w:eastAsia="仿宋_GB2312"/>
                <w:szCs w:val="21"/>
              </w:rPr>
            </w:pPr>
            <w:r>
              <w:rPr>
                <w:rFonts w:hint="eastAsia" w:eastAsia="仿宋_GB2312"/>
                <w:szCs w:val="21"/>
              </w:rPr>
              <w:t>--</w:t>
            </w:r>
          </w:p>
        </w:tc>
        <w:tc>
          <w:tcPr>
            <w:tcW w:w="1089" w:type="pct"/>
            <w:shd w:val="clear" w:color="auto" w:fill="auto"/>
            <w:noWrap/>
            <w:vAlign w:val="center"/>
          </w:tcPr>
          <w:p>
            <w:pPr>
              <w:jc w:val="center"/>
              <w:rPr>
                <w:rFonts w:eastAsia="仿宋_GB2312"/>
                <w:szCs w:val="21"/>
              </w:rPr>
            </w:pPr>
            <w:r>
              <w:rPr>
                <w:rFonts w:eastAsia="仿宋_GB2312"/>
                <w:szCs w:val="21"/>
              </w:rPr>
              <w:t>309</w:t>
            </w:r>
          </w:p>
        </w:tc>
        <w:tc>
          <w:tcPr>
            <w:tcW w:w="1088" w:type="pct"/>
            <w:shd w:val="clear" w:color="auto" w:fill="auto"/>
            <w:noWrap/>
            <w:vAlign w:val="center"/>
          </w:tcPr>
          <w:p>
            <w:pPr>
              <w:jc w:val="center"/>
              <w:rPr>
                <w:rFonts w:eastAsia="仿宋_GB2312"/>
                <w:szCs w:val="21"/>
              </w:rPr>
            </w:pPr>
            <w:r>
              <w:rPr>
                <w:rFonts w:eastAsia="仿宋_GB2312"/>
                <w:szCs w:val="21"/>
              </w:rPr>
              <w:t>54.40</w:t>
            </w:r>
          </w:p>
        </w:tc>
        <w:tc>
          <w:tcPr>
            <w:tcW w:w="1089" w:type="pct"/>
            <w:shd w:val="clear" w:color="auto" w:fill="auto"/>
            <w:noWrap/>
            <w:vAlign w:val="center"/>
          </w:tcPr>
          <w:p>
            <w:pPr>
              <w:jc w:val="center"/>
              <w:rPr>
                <w:rFonts w:eastAsia="仿宋_GB2312"/>
                <w:szCs w:val="21"/>
              </w:rPr>
            </w:pPr>
            <w:r>
              <w:rPr>
                <w:rFonts w:hint="eastAsia" w:eastAsia="仿宋_GB2312"/>
                <w:szCs w:val="21"/>
              </w:rPr>
              <w:t>--</w:t>
            </w:r>
          </w:p>
        </w:tc>
      </w:tr>
    </w:tbl>
    <w:p>
      <w:pPr>
        <w:pStyle w:val="4"/>
        <w:numPr>
          <w:ilvl w:val="0"/>
          <w:numId w:val="7"/>
        </w:numPr>
        <w:rPr>
          <w:rFonts w:ascii="Times New Roman" w:eastAsia="仿宋_GB2312"/>
        </w:rPr>
      </w:pPr>
      <w:bookmarkStart w:id="36" w:name="_Toc43368854"/>
      <w:bookmarkStart w:id="37" w:name="_Toc43324242"/>
      <w:bookmarkStart w:id="38" w:name="_Toc43378107"/>
      <w:bookmarkStart w:id="39" w:name="_Toc71899937"/>
      <w:r>
        <w:rPr>
          <w:rFonts w:ascii="Times New Roman" w:eastAsia="仿宋_GB2312"/>
        </w:rPr>
        <w:t>环境风险状况</w:t>
      </w:r>
      <w:bookmarkEnd w:id="36"/>
      <w:bookmarkEnd w:id="37"/>
      <w:bookmarkEnd w:id="38"/>
      <w:bookmarkEnd w:id="39"/>
    </w:p>
    <w:p>
      <w:pPr>
        <w:pStyle w:val="77"/>
        <w:numPr>
          <w:ilvl w:val="0"/>
          <w:numId w:val="11"/>
        </w:numPr>
        <w:ind w:firstLineChars="0"/>
        <w:rPr>
          <w:b/>
          <w:bCs/>
        </w:rPr>
      </w:pPr>
      <w:r>
        <w:rPr>
          <w:b/>
          <w:bCs/>
        </w:rPr>
        <w:t>涉重金属企业状况</w:t>
      </w:r>
    </w:p>
    <w:p>
      <w:pPr>
        <w:spacing w:line="560" w:lineRule="exact"/>
        <w:ind w:firstLine="600" w:firstLineChars="200"/>
        <w:rPr>
          <w:rFonts w:eastAsia="仿宋_GB2312"/>
          <w:sz w:val="30"/>
          <w:szCs w:val="30"/>
        </w:rPr>
      </w:pPr>
      <w:r>
        <w:rPr>
          <w:rFonts w:eastAsia="仿宋_GB2312"/>
          <w:sz w:val="30"/>
          <w:szCs w:val="30"/>
        </w:rPr>
        <w:t>根据涉重金属企业全口径调查数据，南浔区共有涉重企业3家，分别为2家电镀企业和1家电镀配套车间，许可排放量为总铬20.13公斤。</w:t>
      </w:r>
    </w:p>
    <w:p>
      <w:pPr>
        <w:pStyle w:val="77"/>
        <w:numPr>
          <w:ilvl w:val="0"/>
          <w:numId w:val="11"/>
        </w:numPr>
        <w:ind w:firstLineChars="0"/>
        <w:rPr>
          <w:b/>
          <w:bCs/>
        </w:rPr>
      </w:pPr>
      <w:r>
        <w:rPr>
          <w:b/>
          <w:bCs/>
        </w:rPr>
        <w:t>危险废物产生利用处置情况</w:t>
      </w:r>
    </w:p>
    <w:p>
      <w:pPr>
        <w:spacing w:line="560" w:lineRule="exact"/>
        <w:ind w:firstLine="600" w:firstLineChars="200"/>
        <w:rPr>
          <w:rFonts w:eastAsia="仿宋_GB2312"/>
          <w:sz w:val="30"/>
          <w:szCs w:val="30"/>
        </w:rPr>
      </w:pPr>
      <w:r>
        <w:rPr>
          <w:rFonts w:eastAsia="仿宋_GB2312"/>
          <w:sz w:val="30"/>
          <w:szCs w:val="30"/>
        </w:rPr>
        <w:t>南浔区有1家危险废物处置单位，为湖州南太湖资源回收利用有限公司（处置类别为废包装物），其他类别危险废物主要运往省内有资质处置单位。</w:t>
      </w:r>
    </w:p>
    <w:p>
      <w:pPr>
        <w:spacing w:line="560" w:lineRule="exact"/>
        <w:ind w:firstLine="600" w:firstLineChars="200"/>
        <w:rPr>
          <w:rFonts w:eastAsia="仿宋_GB2312"/>
          <w:sz w:val="30"/>
          <w:szCs w:val="30"/>
        </w:rPr>
      </w:pPr>
      <w:r>
        <w:rPr>
          <w:rFonts w:eastAsia="仿宋_GB2312"/>
          <w:sz w:val="30"/>
          <w:szCs w:val="30"/>
        </w:rPr>
        <w:t>全区产生前十工业危险废物的企业主要有湖州南太湖环保能源有限公司、湖州盛特隆金属制品有限公司、湖州长辉电镀有限公司、浙江海力华特钢科技有限公司、湖州南浔海瑞金属材料有限公司、湖州新奥特医药化工有限公司、浙江众立不锈钢管股份有限公司、湖州金久电镀有限公司、湖州银都铝业有限公司、浙江久立特材科技股份有限公司等8家企业，所产生的危废物</w:t>
      </w:r>
      <w:r>
        <w:rPr>
          <w:rFonts w:hint="eastAsia" w:eastAsia="仿宋_GB2312"/>
          <w:sz w:val="30"/>
          <w:szCs w:val="30"/>
        </w:rPr>
        <w:t>委托</w:t>
      </w:r>
      <w:r>
        <w:rPr>
          <w:rFonts w:eastAsia="仿宋_GB2312"/>
          <w:sz w:val="30"/>
          <w:szCs w:val="30"/>
        </w:rPr>
        <w:t>有资质的单位集中安全处置。</w:t>
      </w:r>
    </w:p>
    <w:p>
      <w:pPr>
        <w:jc w:val="center"/>
        <w:rPr>
          <w:rFonts w:eastAsia="黑体"/>
          <w:sz w:val="30"/>
          <w:szCs w:val="30"/>
        </w:rPr>
      </w:pPr>
    </w:p>
    <w:p>
      <w:pPr>
        <w:jc w:val="center"/>
        <w:rPr>
          <w:rFonts w:eastAsia="黑体"/>
          <w:sz w:val="28"/>
          <w:szCs w:val="28"/>
        </w:rPr>
      </w:pPr>
      <w:r>
        <w:rPr>
          <w:rFonts w:eastAsia="黑体"/>
          <w:sz w:val="30"/>
          <w:szCs w:val="30"/>
        </w:rPr>
        <w:t>表</w:t>
      </w:r>
      <w:r>
        <w:rPr>
          <w:rFonts w:hint="eastAsia" w:eastAsia="黑体"/>
          <w:sz w:val="30"/>
          <w:szCs w:val="30"/>
        </w:rPr>
        <w:t>1-20</w:t>
      </w:r>
      <w:r>
        <w:rPr>
          <w:rFonts w:eastAsia="黑体"/>
          <w:sz w:val="30"/>
          <w:szCs w:val="30"/>
        </w:rPr>
        <w:t xml:space="preserve">  2019</w:t>
      </w:r>
      <w:r>
        <w:rPr>
          <w:rFonts w:hint="eastAsia" w:eastAsia="黑体"/>
          <w:sz w:val="30"/>
          <w:szCs w:val="30"/>
        </w:rPr>
        <w:t>年</w:t>
      </w:r>
      <w:r>
        <w:rPr>
          <w:rFonts w:eastAsia="黑体"/>
          <w:sz w:val="30"/>
          <w:szCs w:val="30"/>
        </w:rPr>
        <w:t>主要危险废物产生企业（前十位）</w:t>
      </w:r>
    </w:p>
    <w:tbl>
      <w:tblPr>
        <w:tblStyle w:val="29"/>
        <w:tblW w:w="5113" w:type="pct"/>
        <w:tblInd w:w="0" w:type="dxa"/>
        <w:tblLayout w:type="autofit"/>
        <w:tblCellMar>
          <w:top w:w="0" w:type="dxa"/>
          <w:left w:w="0" w:type="dxa"/>
          <w:bottom w:w="0" w:type="dxa"/>
          <w:right w:w="0" w:type="dxa"/>
        </w:tblCellMar>
      </w:tblPr>
      <w:tblGrid>
        <w:gridCol w:w="3390"/>
        <w:gridCol w:w="2440"/>
        <w:gridCol w:w="2694"/>
      </w:tblGrid>
      <w:tr>
        <w:tblPrEx>
          <w:tblCellMar>
            <w:top w:w="0" w:type="dxa"/>
            <w:left w:w="0" w:type="dxa"/>
            <w:bottom w:w="0" w:type="dxa"/>
            <w:right w:w="0" w:type="dxa"/>
          </w:tblCellMar>
        </w:tblPrEx>
        <w:trPr>
          <w:trHeight w:val="457"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eastAsia="仿宋_GB2312"/>
                <w:b/>
                <w:color w:val="000000"/>
                <w:kern w:val="0"/>
                <w:sz w:val="24"/>
                <w:szCs w:val="24"/>
              </w:rPr>
            </w:pPr>
            <w:r>
              <w:rPr>
                <w:rFonts w:eastAsia="仿宋_GB2312"/>
                <w:b/>
                <w:color w:val="000000"/>
                <w:kern w:val="0"/>
                <w:sz w:val="24"/>
                <w:szCs w:val="24"/>
              </w:rPr>
              <w:t>企业名称</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eastAsia="仿宋_GB2312"/>
                <w:b/>
                <w:color w:val="000000"/>
                <w:kern w:val="0"/>
                <w:sz w:val="24"/>
                <w:szCs w:val="24"/>
              </w:rPr>
            </w:pPr>
            <w:r>
              <w:rPr>
                <w:rFonts w:eastAsia="仿宋_GB2312"/>
                <w:b/>
                <w:color w:val="000000"/>
                <w:kern w:val="0"/>
                <w:sz w:val="24"/>
                <w:szCs w:val="24"/>
              </w:rPr>
              <w:t>危险废物产生量（吨）</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eastAsia="仿宋_GB2312"/>
                <w:b/>
                <w:color w:val="000000"/>
                <w:kern w:val="0"/>
                <w:sz w:val="24"/>
                <w:szCs w:val="24"/>
              </w:rPr>
            </w:pPr>
            <w:r>
              <w:rPr>
                <w:rFonts w:eastAsia="仿宋_GB2312"/>
                <w:b/>
                <w:color w:val="000000"/>
                <w:kern w:val="0"/>
                <w:sz w:val="24"/>
                <w:szCs w:val="24"/>
              </w:rPr>
              <w:t>处置方式</w:t>
            </w:r>
          </w:p>
        </w:tc>
      </w:tr>
      <w:tr>
        <w:tblPrEx>
          <w:tblCellMar>
            <w:top w:w="0" w:type="dxa"/>
            <w:left w:w="0" w:type="dxa"/>
            <w:bottom w:w="0" w:type="dxa"/>
            <w:right w:w="0" w:type="dxa"/>
          </w:tblCellMar>
        </w:tblPrEx>
        <w:trPr>
          <w:trHeight w:val="437"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湖州南太湖环保能源有限公司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9072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固化后填埋</w:t>
            </w:r>
          </w:p>
        </w:tc>
      </w:tr>
      <w:tr>
        <w:tblPrEx>
          <w:tblCellMar>
            <w:top w:w="0" w:type="dxa"/>
            <w:left w:w="0" w:type="dxa"/>
            <w:bottom w:w="0" w:type="dxa"/>
            <w:right w:w="0" w:type="dxa"/>
          </w:tblCellMar>
        </w:tblPrEx>
        <w:trPr>
          <w:trHeight w:val="407"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湖州盛特隆金属制品有限公司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2352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水泥窑、水煤浆协同处置</w:t>
            </w:r>
          </w:p>
        </w:tc>
      </w:tr>
      <w:tr>
        <w:tblPrEx>
          <w:tblCellMar>
            <w:top w:w="0" w:type="dxa"/>
            <w:left w:w="0" w:type="dxa"/>
            <w:bottom w:w="0" w:type="dxa"/>
            <w:right w:w="0" w:type="dxa"/>
          </w:tblCellMar>
        </w:tblPrEx>
        <w:trPr>
          <w:trHeight w:val="392"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湖州长辉电镀有限公司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1705.397</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利用</w:t>
            </w:r>
          </w:p>
        </w:tc>
      </w:tr>
      <w:tr>
        <w:tblPrEx>
          <w:tblCellMar>
            <w:top w:w="0" w:type="dxa"/>
            <w:left w:w="0" w:type="dxa"/>
            <w:bottom w:w="0" w:type="dxa"/>
            <w:right w:w="0" w:type="dxa"/>
          </w:tblCellMar>
        </w:tblPrEx>
        <w:trPr>
          <w:trHeight w:val="422"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浙江海力华特钢科技有限公司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1199.52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利用</w:t>
            </w:r>
          </w:p>
        </w:tc>
      </w:tr>
      <w:tr>
        <w:tblPrEx>
          <w:tblCellMar>
            <w:top w:w="0" w:type="dxa"/>
            <w:left w:w="0" w:type="dxa"/>
            <w:bottom w:w="0" w:type="dxa"/>
            <w:right w:w="0" w:type="dxa"/>
          </w:tblCellMar>
        </w:tblPrEx>
        <w:trPr>
          <w:trHeight w:val="452"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湖州南浔海瑞金属材料有限公司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1199.52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利用</w:t>
            </w:r>
          </w:p>
        </w:tc>
      </w:tr>
      <w:tr>
        <w:tblPrEx>
          <w:tblCellMar>
            <w:top w:w="0" w:type="dxa"/>
            <w:left w:w="0" w:type="dxa"/>
            <w:bottom w:w="0" w:type="dxa"/>
            <w:right w:w="0" w:type="dxa"/>
          </w:tblCellMar>
        </w:tblPrEx>
        <w:trPr>
          <w:trHeight w:val="442"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湖州新奥特医药化工有限公司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1084.12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利用</w:t>
            </w:r>
          </w:p>
        </w:tc>
      </w:tr>
      <w:tr>
        <w:tblPrEx>
          <w:tblCellMar>
            <w:top w:w="0" w:type="dxa"/>
            <w:left w:w="0" w:type="dxa"/>
            <w:bottom w:w="0" w:type="dxa"/>
            <w:right w:w="0" w:type="dxa"/>
          </w:tblCellMar>
        </w:tblPrEx>
        <w:trPr>
          <w:trHeight w:val="392"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浙江众立不锈钢管股份有限公司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989.034</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利用</w:t>
            </w:r>
          </w:p>
        </w:tc>
      </w:tr>
      <w:tr>
        <w:tblPrEx>
          <w:tblCellMar>
            <w:top w:w="0" w:type="dxa"/>
            <w:left w:w="0" w:type="dxa"/>
            <w:bottom w:w="0" w:type="dxa"/>
            <w:right w:w="0" w:type="dxa"/>
          </w:tblCellMar>
        </w:tblPrEx>
        <w:trPr>
          <w:trHeight w:val="422"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湖州金久电镀有限公司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825.47</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利用</w:t>
            </w:r>
          </w:p>
        </w:tc>
      </w:tr>
      <w:tr>
        <w:tblPrEx>
          <w:tblCellMar>
            <w:top w:w="0" w:type="dxa"/>
            <w:left w:w="0" w:type="dxa"/>
            <w:bottom w:w="0" w:type="dxa"/>
            <w:right w:w="0" w:type="dxa"/>
          </w:tblCellMar>
        </w:tblPrEx>
        <w:trPr>
          <w:trHeight w:val="437"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湖州银都铝业有限公司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760.72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利用</w:t>
            </w:r>
          </w:p>
        </w:tc>
      </w:tr>
      <w:tr>
        <w:tblPrEx>
          <w:tblCellMar>
            <w:top w:w="0" w:type="dxa"/>
            <w:left w:w="0" w:type="dxa"/>
            <w:bottom w:w="0" w:type="dxa"/>
            <w:right w:w="0" w:type="dxa"/>
          </w:tblCellMar>
        </w:tblPrEx>
        <w:trPr>
          <w:trHeight w:val="447" w:hRule="atLeast"/>
        </w:trPr>
        <w:tc>
          <w:tcPr>
            <w:tcW w:w="19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浙江久立特材科技股份有限公司</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647.04</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eastAsia="仿宋_GB2312"/>
                <w:sz w:val="24"/>
                <w:szCs w:val="24"/>
              </w:rPr>
            </w:pPr>
            <w:r>
              <w:rPr>
                <w:rFonts w:eastAsia="仿宋_GB2312"/>
                <w:sz w:val="24"/>
                <w:szCs w:val="24"/>
              </w:rPr>
              <w:t>利用</w:t>
            </w:r>
          </w:p>
        </w:tc>
      </w:tr>
    </w:tbl>
    <w:p>
      <w:pPr>
        <w:spacing w:line="560" w:lineRule="exact"/>
        <w:ind w:firstLine="600" w:firstLineChars="200"/>
        <w:rPr>
          <w:rFonts w:eastAsia="仿宋_GB2312"/>
          <w:sz w:val="30"/>
          <w:szCs w:val="30"/>
        </w:rPr>
      </w:pPr>
      <w:r>
        <w:rPr>
          <w:rFonts w:eastAsia="仿宋_GB2312"/>
          <w:sz w:val="30"/>
          <w:szCs w:val="30"/>
        </w:rPr>
        <w:t>全区社区卫生服务站、村卫生室、个体诊所、社会医疗机构等各小型医疗机构按照“小箱进大箱”的要求，其医疗废物全部纳入属地镇卫生院，所有医疗固体废物均由湖州星鸿处置固体废物综合利用有限公司集中无害化处置，未发生过医疗固体废物流失事件。2017-2019年全区分别产生医疗废物205.004吨、268.714吨、370.879吨，集中无害化处置205.004吨、268.714吨、370.879吨，无害化处置率为100%。</w:t>
      </w:r>
    </w:p>
    <w:p>
      <w:pPr>
        <w:pStyle w:val="3"/>
        <w:keepNext/>
        <w:keepLines/>
        <w:numPr>
          <w:ilvl w:val="0"/>
          <w:numId w:val="5"/>
        </w:numPr>
        <w:ind w:left="0" w:firstLine="643" w:firstLineChars="200"/>
        <w:rPr>
          <w:rFonts w:eastAsia="楷体"/>
          <w:b/>
        </w:rPr>
      </w:pPr>
      <w:bookmarkStart w:id="40" w:name="_Toc71899938"/>
      <w:r>
        <w:rPr>
          <w:rFonts w:eastAsia="楷体"/>
          <w:b/>
        </w:rPr>
        <w:t>成效经验</w:t>
      </w:r>
      <w:bookmarkEnd w:id="40"/>
    </w:p>
    <w:p>
      <w:pPr>
        <w:spacing w:line="560" w:lineRule="exact"/>
        <w:ind w:firstLine="600" w:firstLineChars="200"/>
        <w:rPr>
          <w:rFonts w:eastAsia="仿宋_GB2312"/>
          <w:sz w:val="30"/>
          <w:szCs w:val="30"/>
        </w:rPr>
      </w:pPr>
      <w:r>
        <w:rPr>
          <w:rFonts w:eastAsia="仿宋_GB2312"/>
          <w:sz w:val="30"/>
          <w:szCs w:val="30"/>
        </w:rPr>
        <w:t>南浔区认真贯彻落实省、市决策部署，持续推进“五水共治”和碧水行动，治出了水环境新形象。近年来，全区4个行政交界出境断面和7个县控以上地表水监测断面水质均达到</w:t>
      </w:r>
      <w:r>
        <w:rPr>
          <w:rFonts w:hint="eastAsia" w:ascii="宋体" w:hAnsi="宋体" w:cs="宋体"/>
          <w:sz w:val="30"/>
          <w:szCs w:val="30"/>
        </w:rPr>
        <w:t>Ⅲ</w:t>
      </w:r>
      <w:r>
        <w:rPr>
          <w:rFonts w:eastAsia="仿宋_GB2312"/>
          <w:sz w:val="30"/>
          <w:szCs w:val="30"/>
        </w:rPr>
        <w:t>类以上，达标率100%。2018年、2019年</w:t>
      </w:r>
      <w:r>
        <w:rPr>
          <w:rFonts w:hint="eastAsia" w:eastAsia="仿宋_GB2312"/>
          <w:sz w:val="30"/>
          <w:szCs w:val="30"/>
        </w:rPr>
        <w:t>、2020年连续三年</w:t>
      </w:r>
      <w:r>
        <w:rPr>
          <w:rFonts w:eastAsia="仿宋_GB2312"/>
          <w:sz w:val="30"/>
          <w:szCs w:val="30"/>
        </w:rPr>
        <w:t>获得了省“五水共治”（河长制）工作优秀县（市、区）“大禹鼎”称号。一是小微水体整治工作深入，剿灭劣</w:t>
      </w:r>
      <w:r>
        <w:rPr>
          <w:rFonts w:hint="eastAsia" w:ascii="宋体" w:hAnsi="宋体" w:cs="宋体"/>
          <w:sz w:val="30"/>
          <w:szCs w:val="30"/>
        </w:rPr>
        <w:t>Ⅴ</w:t>
      </w:r>
      <w:r>
        <w:rPr>
          <w:rFonts w:eastAsia="仿宋_GB2312"/>
          <w:sz w:val="30"/>
          <w:szCs w:val="30"/>
        </w:rPr>
        <w:t>类小微水体1253个，在全市率先提出并落实小微水体河长制网格化管理，把治水剿劣与美丽乡村扩面提质等工作有机结合，把原来的一个个污水潭、一条条臭水沟，治理成一个个小公园、一条条风景河，变“小微污点”为“小微景点”，人民群众治水剿劣的受益面和获得感日益提升，获评全省剿灭劣</w:t>
      </w:r>
      <w:r>
        <w:rPr>
          <w:rFonts w:hint="eastAsia" w:ascii="宋体" w:hAnsi="宋体" w:cs="宋体"/>
          <w:sz w:val="30"/>
          <w:szCs w:val="30"/>
        </w:rPr>
        <w:t>Ⅴ</w:t>
      </w:r>
      <w:r>
        <w:rPr>
          <w:rFonts w:eastAsia="仿宋_GB2312"/>
          <w:sz w:val="30"/>
          <w:szCs w:val="30"/>
        </w:rPr>
        <w:t>类水工作突出贡献集体。二是全力建设“五化”美丽幸福河（湖），2016年以来累计完成河道生态治理376公里，完成河道清淤1317万方；累计创建生态示范河道300条，打造了和孚漾、报恩漾、陈家漾等一批特色文化鲜明的美丽湖漾，在全国率先制定幸福河湖地方标准规范。三是大力推进污水治理能力建设，全区共有污水处理厂9座，总处理规模约20.1万吨/日，建成城镇市政污水管网484.26公里</w:t>
      </w:r>
      <w:r>
        <w:rPr>
          <w:rFonts w:hint="eastAsia" w:eastAsia="仿宋_GB2312"/>
          <w:sz w:val="30"/>
          <w:szCs w:val="30"/>
        </w:rPr>
        <w:t>，</w:t>
      </w:r>
      <w:r>
        <w:rPr>
          <w:rFonts w:eastAsia="仿宋_GB2312"/>
          <w:sz w:val="30"/>
          <w:szCs w:val="30"/>
        </w:rPr>
        <w:t>建成农村生活污水处理终端</w:t>
      </w:r>
      <w:r>
        <w:rPr>
          <w:rFonts w:hint="eastAsia" w:eastAsia="仿宋_GB2312"/>
          <w:sz w:val="30"/>
          <w:szCs w:val="30"/>
        </w:rPr>
        <w:t>1811</w:t>
      </w:r>
      <w:r>
        <w:rPr>
          <w:rFonts w:eastAsia="仿宋_GB2312"/>
          <w:sz w:val="30"/>
          <w:szCs w:val="30"/>
        </w:rPr>
        <w:t>个。四是全域推进“污水零直排区”建设，累计完成“污水零直排”生活小区251个、工业集聚区</w:t>
      </w:r>
      <w:r>
        <w:rPr>
          <w:rFonts w:hint="eastAsia" w:eastAsia="仿宋_GB2312"/>
          <w:sz w:val="30"/>
          <w:szCs w:val="30"/>
        </w:rPr>
        <w:t>10</w:t>
      </w:r>
      <w:r>
        <w:rPr>
          <w:rFonts w:eastAsia="仿宋_GB2312"/>
          <w:sz w:val="30"/>
          <w:szCs w:val="30"/>
        </w:rPr>
        <w:t>个、餐饮集中区31个</w:t>
      </w:r>
      <w:r>
        <w:rPr>
          <w:rFonts w:hint="eastAsia" w:eastAsia="仿宋_GB2312"/>
          <w:sz w:val="30"/>
          <w:szCs w:val="30"/>
        </w:rPr>
        <w:t>，镇（街）10</w:t>
      </w:r>
      <w:r>
        <w:rPr>
          <w:rFonts w:eastAsia="仿宋_GB2312"/>
          <w:sz w:val="30"/>
          <w:szCs w:val="30"/>
        </w:rPr>
        <w:t>个</w:t>
      </w:r>
      <w:r>
        <w:rPr>
          <w:rFonts w:hint="eastAsia" w:eastAsia="仿宋_GB2312"/>
          <w:sz w:val="30"/>
          <w:szCs w:val="30"/>
        </w:rPr>
        <w:t>，实现全域创建。</w:t>
      </w:r>
      <w:r>
        <w:rPr>
          <w:rFonts w:eastAsia="仿宋_GB2312"/>
          <w:sz w:val="30"/>
          <w:szCs w:val="30"/>
        </w:rPr>
        <w:t>全面实施企业排污管道明管化改造、企业“阳光排污口”建设及刷卡排污等工作。五是创新水质监测新模式，联合桐乡市建立全省首个跨地市交界区域水环境联治联席工作机制。率先实行跨镇（开发区）河流交接断面水质监测，全区水质得到明显改善。</w:t>
      </w:r>
    </w:p>
    <w:p>
      <w:pPr>
        <w:pStyle w:val="3"/>
        <w:keepNext/>
        <w:keepLines/>
        <w:numPr>
          <w:ilvl w:val="0"/>
          <w:numId w:val="5"/>
        </w:numPr>
        <w:ind w:left="0" w:firstLine="643" w:firstLineChars="200"/>
        <w:rPr>
          <w:rFonts w:eastAsia="楷体"/>
          <w:b/>
        </w:rPr>
      </w:pPr>
      <w:bookmarkStart w:id="41" w:name="_Toc71899939"/>
      <w:r>
        <w:rPr>
          <w:rFonts w:eastAsia="楷体"/>
          <w:b/>
        </w:rPr>
        <w:t>形势挑战</w:t>
      </w:r>
      <w:bookmarkEnd w:id="41"/>
    </w:p>
    <w:p>
      <w:pPr>
        <w:spacing w:line="560" w:lineRule="exact"/>
        <w:ind w:firstLine="600" w:firstLineChars="200"/>
        <w:rPr>
          <w:rFonts w:eastAsia="仿宋_GB2312"/>
          <w:sz w:val="30"/>
          <w:szCs w:val="30"/>
        </w:rPr>
      </w:pPr>
      <w:r>
        <w:rPr>
          <w:rFonts w:eastAsia="仿宋_GB2312"/>
          <w:sz w:val="30"/>
          <w:szCs w:val="30"/>
        </w:rPr>
        <w:t>以习近平新时代中国特色社会主义思想为指导，“尊重自然、顺应自然、保护自然，节约优先、保护优先、自然恢复”成为“十四五”水生态环境保护的新旋律。重点流域水生态保护“十四五”规划提出“有河有水，有鱼有草，人水和谐”，探索推行水环境、水资源、水生态</w:t>
      </w:r>
      <w:r>
        <w:rPr>
          <w:rFonts w:hint="eastAsia" w:eastAsia="仿宋_GB2312"/>
          <w:sz w:val="30"/>
          <w:szCs w:val="30"/>
        </w:rPr>
        <w:t>、水安全、水文化</w:t>
      </w:r>
      <w:r>
        <w:rPr>
          <w:rFonts w:eastAsia="仿宋_GB2312"/>
          <w:sz w:val="30"/>
          <w:szCs w:val="30"/>
        </w:rPr>
        <w:t>“</w:t>
      </w:r>
      <w:r>
        <w:rPr>
          <w:rFonts w:hint="eastAsia" w:eastAsia="仿宋_GB2312"/>
          <w:sz w:val="30"/>
          <w:szCs w:val="30"/>
        </w:rPr>
        <w:t>五</w:t>
      </w:r>
      <w:r>
        <w:rPr>
          <w:rFonts w:eastAsia="仿宋_GB2312"/>
          <w:sz w:val="30"/>
          <w:szCs w:val="30"/>
        </w:rPr>
        <w:t>水”统筹管理，为南浔区“十四五”水生态环境保护工作明确了方向。“十四五”时期是南浔区从全面建成小康社会向基本实现现代化迈进的关键时期，是重塑“水晶晶南浔”，全面深化改革、高质量赶超发展的重要时期，环保要有新助力，不断夯实水生态底色。</w:t>
      </w:r>
    </w:p>
    <w:p>
      <w:pPr>
        <w:spacing w:line="560" w:lineRule="exact"/>
        <w:ind w:firstLine="600" w:firstLineChars="200"/>
        <w:rPr>
          <w:rFonts w:eastAsia="仿宋_GB2312"/>
          <w:sz w:val="30"/>
          <w:szCs w:val="30"/>
        </w:rPr>
      </w:pPr>
      <w:r>
        <w:rPr>
          <w:rFonts w:eastAsia="仿宋_GB2312"/>
          <w:sz w:val="30"/>
          <w:szCs w:val="30"/>
        </w:rPr>
        <w:t>南浔区为平原河网地区，经过“十三五”时期建设，治水工作取得很大的成绩，但是仍然存在一些薄弱环节，地表水生态环境质量保持与改善面临较大压力。全区水生态环境突出问题主要为</w:t>
      </w:r>
      <w:r>
        <w:rPr>
          <w:rFonts w:hint="eastAsia" w:eastAsia="仿宋_GB2312"/>
          <w:sz w:val="30"/>
          <w:szCs w:val="30"/>
        </w:rPr>
        <w:t>：一是</w:t>
      </w:r>
      <w:r>
        <w:rPr>
          <w:rFonts w:eastAsia="仿宋_GB2312"/>
          <w:sz w:val="30"/>
          <w:szCs w:val="30"/>
        </w:rPr>
        <w:t>北部近太湖区域水系主要问题为蓝藻暴发、船舶航运污染，</w:t>
      </w:r>
      <w:r>
        <w:rPr>
          <w:rFonts w:hint="eastAsia" w:ascii="宋体" w:hAnsi="宋体" w:cs="宋体"/>
          <w:sz w:val="30"/>
          <w:szCs w:val="30"/>
        </w:rPr>
        <w:t>頔</w:t>
      </w:r>
      <w:r>
        <w:rPr>
          <w:rFonts w:eastAsia="仿宋_GB2312"/>
          <w:sz w:val="30"/>
          <w:szCs w:val="30"/>
        </w:rPr>
        <w:t>塘等主要河流水体浑浊、发绿；南部双林塘、京杭运河水系主要受航运污染、城镇污染及农业农村污染，主要体现在航运扰动导致水体浑浊</w:t>
      </w:r>
      <w:r>
        <w:rPr>
          <w:rFonts w:hint="eastAsia" w:eastAsia="仿宋_GB2312"/>
          <w:sz w:val="30"/>
          <w:szCs w:val="30"/>
        </w:rPr>
        <w:t>。二是截污纳管基础薄弱。</w:t>
      </w:r>
      <w:r>
        <w:rPr>
          <w:rFonts w:eastAsia="仿宋_GB2312"/>
          <w:sz w:val="30"/>
          <w:szCs w:val="30"/>
        </w:rPr>
        <w:t>部分乡镇管网改造不完善，雨污分流不彻底</w:t>
      </w:r>
      <w:r>
        <w:rPr>
          <w:rFonts w:hint="eastAsia" w:eastAsia="仿宋_GB2312"/>
          <w:sz w:val="30"/>
          <w:szCs w:val="30"/>
        </w:rPr>
        <w:t>，特别是老城区、老旧小区等，由于市政管网长期缺乏养护、年久失修，存在淤堵、破损、渗漏现象。三是农业面源污染大。大量施用化肥、农药和除草剂，降雨后氮、磷、钾等营养物质流失，造成水体富营养化</w:t>
      </w:r>
      <w:r>
        <w:rPr>
          <w:rFonts w:eastAsia="仿宋_GB2312"/>
          <w:sz w:val="30"/>
          <w:szCs w:val="30"/>
        </w:rPr>
        <w:t>；水产养殖尾水处理多采用“三池两坝”治理设施，但存在部分设施建设不规范、运行管理不到位等问题</w:t>
      </w:r>
      <w:r>
        <w:rPr>
          <w:rFonts w:hint="eastAsia" w:eastAsia="仿宋_GB2312"/>
          <w:sz w:val="30"/>
          <w:szCs w:val="30"/>
        </w:rPr>
        <w:t>。四是</w:t>
      </w:r>
      <w:r>
        <w:rPr>
          <w:rFonts w:eastAsia="仿宋_GB2312"/>
          <w:sz w:val="30"/>
          <w:szCs w:val="30"/>
        </w:rPr>
        <w:t>河道自净能力尚未恢复，水生态修复能力有待加强</w:t>
      </w:r>
      <w:r>
        <w:rPr>
          <w:rFonts w:hint="eastAsia" w:eastAsia="仿宋_GB2312"/>
          <w:sz w:val="30"/>
          <w:szCs w:val="30"/>
        </w:rPr>
        <w:t>。河道清淤工程并不彻底，底泥内源污染影响河网水系的水健康和水安全。全区河网密布却水系连通性较差，水体流速较小，存在一定数量的断头河及死水区域</w:t>
      </w:r>
      <w:r>
        <w:rPr>
          <w:rFonts w:eastAsia="仿宋_GB2312"/>
          <w:sz w:val="30"/>
          <w:szCs w:val="30"/>
        </w:rPr>
        <w:t>；</w:t>
      </w:r>
      <w:r>
        <w:rPr>
          <w:rFonts w:hint="eastAsia" w:eastAsia="仿宋_GB2312"/>
          <w:sz w:val="30"/>
          <w:szCs w:val="30"/>
        </w:rPr>
        <w:t>五是</w:t>
      </w:r>
      <w:r>
        <w:rPr>
          <w:rFonts w:eastAsia="仿宋_GB2312"/>
          <w:sz w:val="30"/>
          <w:szCs w:val="30"/>
        </w:rPr>
        <w:t>河湖岸线管控不足，部分岸线存在农田、码头、建设项目侵占情况。</w:t>
      </w:r>
    </w:p>
    <w:p>
      <w:pPr>
        <w:ind w:firstLine="600" w:firstLineChars="200"/>
        <w:rPr>
          <w:rFonts w:eastAsia="仿宋_GB2312"/>
          <w:sz w:val="30"/>
          <w:szCs w:val="30"/>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0"/>
        </w:numPr>
        <w:ind w:left="284" w:leftChars="0" w:firstLine="640" w:firstLineChars="200"/>
      </w:pPr>
      <w:bookmarkStart w:id="42" w:name="_Toc71899940"/>
      <w:r>
        <w:rPr>
          <w:rFonts w:hint="eastAsia"/>
          <w:lang w:eastAsia="zh-CN"/>
        </w:rPr>
        <w:t>二、</w:t>
      </w:r>
      <w:r>
        <w:t>总体要求</w:t>
      </w:r>
      <w:bookmarkEnd w:id="42"/>
    </w:p>
    <w:p>
      <w:pPr>
        <w:pStyle w:val="3"/>
        <w:keepNext/>
        <w:keepLines/>
        <w:numPr>
          <w:ilvl w:val="0"/>
          <w:numId w:val="12"/>
        </w:numPr>
        <w:rPr>
          <w:rFonts w:eastAsia="楷体"/>
          <w:b/>
        </w:rPr>
      </w:pPr>
      <w:bookmarkStart w:id="43" w:name="_Toc71899941"/>
      <w:r>
        <w:rPr>
          <w:rFonts w:eastAsia="楷体"/>
          <w:b/>
        </w:rPr>
        <w:t>指导思想</w:t>
      </w:r>
      <w:bookmarkEnd w:id="43"/>
    </w:p>
    <w:p>
      <w:pPr>
        <w:spacing w:line="560" w:lineRule="exact"/>
        <w:ind w:firstLine="600" w:firstLineChars="200"/>
        <w:rPr>
          <w:rFonts w:eastAsia="仿宋_GB2312"/>
          <w:sz w:val="30"/>
          <w:szCs w:val="30"/>
        </w:rPr>
      </w:pPr>
      <w:r>
        <w:rPr>
          <w:rFonts w:eastAsia="仿宋_GB2312"/>
          <w:sz w:val="30"/>
          <w:szCs w:val="30"/>
        </w:rPr>
        <w:t>以习近平新时代中国特色社会主义思想为指引，全面贯彻落实党中央、国务院和省委、省政府决策部署，坚持以人民为中心，坚持绿水青山就是金山银山，深刻理解“山水林田湖草是生命共同体”科学内涵，坚持问题导向与目标导向，以改善水生态环境质量为核心，污染减排和生态扩容两手发力，统筹水环境、水生态，水资源、水安全、水文化，创新机制体制，“一河一策”精准施治，着力解决群众身边的突出问题，持续改善水生态环境，提升人民群众获得感、幸福感，重塑“水晶晶南浔”，为高水平建设社会主义现代化共同富裕示范样本夯实水生态环境基础。</w:t>
      </w:r>
    </w:p>
    <w:p>
      <w:pPr>
        <w:pStyle w:val="3"/>
        <w:keepNext/>
        <w:keepLines/>
        <w:numPr>
          <w:ilvl w:val="0"/>
          <w:numId w:val="12"/>
        </w:numPr>
        <w:rPr>
          <w:rFonts w:eastAsia="楷体"/>
          <w:b/>
        </w:rPr>
      </w:pPr>
      <w:bookmarkStart w:id="44" w:name="_Toc71899942"/>
      <w:r>
        <w:rPr>
          <w:rFonts w:eastAsia="楷体"/>
          <w:b/>
        </w:rPr>
        <w:t>基本原则</w:t>
      </w:r>
      <w:bookmarkEnd w:id="44"/>
    </w:p>
    <w:p>
      <w:pPr>
        <w:spacing w:line="560" w:lineRule="exact"/>
        <w:ind w:firstLine="600" w:firstLineChars="200"/>
        <w:rPr>
          <w:rFonts w:eastAsia="仿宋_GB2312"/>
          <w:sz w:val="30"/>
          <w:szCs w:val="30"/>
        </w:rPr>
      </w:pPr>
      <w:r>
        <w:rPr>
          <w:rFonts w:eastAsia="仿宋_GB2312"/>
          <w:sz w:val="30"/>
          <w:szCs w:val="30"/>
        </w:rPr>
        <w:t>（1）统筹谋划，系统治水</w:t>
      </w:r>
    </w:p>
    <w:p>
      <w:pPr>
        <w:spacing w:line="560" w:lineRule="exact"/>
        <w:ind w:firstLine="600" w:firstLineChars="200"/>
        <w:rPr>
          <w:rFonts w:eastAsia="仿宋_GB2312"/>
          <w:sz w:val="30"/>
          <w:szCs w:val="30"/>
        </w:rPr>
      </w:pPr>
      <w:r>
        <w:rPr>
          <w:rFonts w:eastAsia="仿宋_GB2312"/>
          <w:sz w:val="30"/>
          <w:szCs w:val="30"/>
        </w:rPr>
        <w:t>统筹考虑水环境、水生态、水资源、水安全、水文化和岸线等多方面的有机联系，从生态系统整体性和流域系统性出发，不断强化上下游、左右岸、干支流协同治理。尊重自然、保护优先、整体推进、重点突破，进一步推动治水从分散治理向系统治理转变。</w:t>
      </w:r>
    </w:p>
    <w:p>
      <w:pPr>
        <w:spacing w:line="560" w:lineRule="exact"/>
        <w:ind w:firstLine="600" w:firstLineChars="200"/>
        <w:rPr>
          <w:rFonts w:eastAsia="仿宋_GB2312"/>
          <w:sz w:val="30"/>
          <w:szCs w:val="30"/>
        </w:rPr>
      </w:pPr>
      <w:r>
        <w:rPr>
          <w:rFonts w:eastAsia="仿宋_GB2312"/>
          <w:sz w:val="30"/>
          <w:szCs w:val="30"/>
        </w:rPr>
        <w:t>（2）问题导向，精准治水</w:t>
      </w:r>
    </w:p>
    <w:p>
      <w:pPr>
        <w:spacing w:line="560" w:lineRule="exact"/>
        <w:ind w:firstLine="600" w:firstLineChars="200"/>
        <w:rPr>
          <w:rFonts w:eastAsia="仿宋_GB2312"/>
          <w:sz w:val="30"/>
          <w:szCs w:val="30"/>
        </w:rPr>
      </w:pPr>
      <w:r>
        <w:rPr>
          <w:rFonts w:eastAsia="仿宋_GB2312"/>
          <w:sz w:val="30"/>
          <w:szCs w:val="30"/>
        </w:rPr>
        <w:t>坚持问题导向，加强涉水问题分析研判，抓住问题根源及变化趋势，以群众身边的突出水生态环境问题为重点，因地制宜，精准施策，防止“一刀切”，实现标本兼治，进一步推动治水从经验治理向精准治理转变。</w:t>
      </w:r>
    </w:p>
    <w:p>
      <w:pPr>
        <w:spacing w:line="560" w:lineRule="exact"/>
        <w:ind w:firstLine="600" w:firstLineChars="200"/>
        <w:rPr>
          <w:rFonts w:eastAsia="仿宋_GB2312"/>
          <w:sz w:val="30"/>
          <w:szCs w:val="30"/>
        </w:rPr>
      </w:pPr>
      <w:r>
        <w:rPr>
          <w:rFonts w:eastAsia="仿宋_GB2312"/>
          <w:sz w:val="30"/>
          <w:szCs w:val="30"/>
        </w:rPr>
        <w:t>（3）分区管控，因河施策</w:t>
      </w:r>
    </w:p>
    <w:p>
      <w:pPr>
        <w:spacing w:line="560" w:lineRule="exact"/>
        <w:ind w:firstLine="600" w:firstLineChars="200"/>
        <w:rPr>
          <w:rFonts w:eastAsia="仿宋_GB2312"/>
          <w:sz w:val="30"/>
          <w:szCs w:val="30"/>
        </w:rPr>
      </w:pPr>
      <w:r>
        <w:rPr>
          <w:rFonts w:eastAsia="仿宋_GB2312"/>
          <w:sz w:val="30"/>
          <w:szCs w:val="30"/>
        </w:rPr>
        <w:t>按照水系特征、汇水范围，分</w:t>
      </w:r>
      <w:r>
        <w:rPr>
          <w:rFonts w:hint="eastAsia" w:eastAsia="仿宋_GB2312"/>
          <w:sz w:val="30"/>
          <w:szCs w:val="30"/>
        </w:rPr>
        <w:t>长</w:t>
      </w:r>
      <w:r>
        <w:rPr>
          <w:rFonts w:hint="eastAsia" w:ascii="宋体" w:hAnsi="宋体" w:cs="宋体"/>
          <w:sz w:val="30"/>
          <w:szCs w:val="30"/>
        </w:rPr>
        <w:t>頔</w:t>
      </w:r>
      <w:r>
        <w:rPr>
          <w:rFonts w:hint="eastAsia" w:ascii="仿宋_GB2312" w:hAnsi="仿宋_GB2312" w:eastAsia="仿宋_GB2312" w:cs="仿宋_GB2312"/>
          <w:sz w:val="30"/>
          <w:szCs w:val="30"/>
        </w:rPr>
        <w:t>塘、京杭运河、东苕溪</w:t>
      </w:r>
      <w:r>
        <w:rPr>
          <w:rFonts w:eastAsia="仿宋_GB2312"/>
          <w:sz w:val="30"/>
          <w:szCs w:val="30"/>
        </w:rPr>
        <w:t>三条主要河流汇水范围，制定一河一策管控措施。东部京杭运河、</w:t>
      </w:r>
      <w:r>
        <w:rPr>
          <w:rFonts w:hint="eastAsia" w:ascii="宋体" w:hAnsi="宋体" w:cs="宋体"/>
          <w:sz w:val="30"/>
          <w:szCs w:val="30"/>
        </w:rPr>
        <w:t>頔</w:t>
      </w:r>
      <w:r>
        <w:rPr>
          <w:rFonts w:hint="eastAsia" w:ascii="仿宋_GB2312" w:hAnsi="仿宋_GB2312" w:eastAsia="仿宋_GB2312" w:cs="仿宋_GB2312"/>
          <w:sz w:val="30"/>
          <w:szCs w:val="30"/>
        </w:rPr>
        <w:t>塘水网地区突出联防联控。</w:t>
      </w:r>
    </w:p>
    <w:p>
      <w:pPr>
        <w:spacing w:line="560" w:lineRule="exact"/>
        <w:ind w:firstLine="600" w:firstLineChars="200"/>
        <w:rPr>
          <w:rFonts w:eastAsia="仿宋_GB2312"/>
          <w:sz w:val="30"/>
          <w:szCs w:val="30"/>
        </w:rPr>
      </w:pPr>
      <w:r>
        <w:rPr>
          <w:rFonts w:eastAsia="仿宋_GB2312"/>
          <w:sz w:val="30"/>
          <w:szCs w:val="30"/>
        </w:rPr>
        <w:t>（4）水旅融合、推动转化</w:t>
      </w:r>
    </w:p>
    <w:p>
      <w:pPr>
        <w:spacing w:line="560" w:lineRule="exact"/>
        <w:ind w:firstLine="600" w:firstLineChars="200"/>
        <w:rPr>
          <w:rFonts w:eastAsia="仿宋_GB2312"/>
          <w:sz w:val="30"/>
          <w:szCs w:val="30"/>
        </w:rPr>
      </w:pPr>
      <w:r>
        <w:rPr>
          <w:rFonts w:eastAsia="仿宋_GB2312"/>
          <w:sz w:val="30"/>
          <w:szCs w:val="30"/>
        </w:rPr>
        <w:t>保护水生态、挖掘水文化、发展水经济，加强与产业布局、经济建设、全域旅游等的统筹协调和有机衔接，进一步推动水生态价值产品实现。</w:t>
      </w:r>
    </w:p>
    <w:p>
      <w:pPr>
        <w:pStyle w:val="3"/>
        <w:keepNext/>
        <w:keepLines/>
        <w:numPr>
          <w:ilvl w:val="0"/>
          <w:numId w:val="12"/>
        </w:numPr>
        <w:rPr>
          <w:rFonts w:eastAsia="楷体"/>
          <w:b/>
        </w:rPr>
      </w:pPr>
      <w:bookmarkStart w:id="45" w:name="_Toc71899943"/>
      <w:r>
        <w:rPr>
          <w:rFonts w:eastAsia="楷体"/>
          <w:b/>
        </w:rPr>
        <w:t>规划目标</w:t>
      </w:r>
      <w:bookmarkEnd w:id="45"/>
    </w:p>
    <w:p>
      <w:pPr>
        <w:spacing w:line="560" w:lineRule="exact"/>
        <w:ind w:firstLine="600" w:firstLineChars="200"/>
        <w:rPr>
          <w:rFonts w:eastAsia="仿宋_GB2312"/>
          <w:sz w:val="30"/>
          <w:szCs w:val="30"/>
        </w:rPr>
      </w:pPr>
      <w:r>
        <w:rPr>
          <w:rFonts w:eastAsia="仿宋_GB2312"/>
          <w:sz w:val="30"/>
          <w:szCs w:val="30"/>
        </w:rPr>
        <w:t>通过“治（水环境整治）、修（水生态修复）、保（</w:t>
      </w:r>
      <w:r>
        <w:rPr>
          <w:rFonts w:hint="eastAsia" w:eastAsia="仿宋_GB2312"/>
          <w:sz w:val="30"/>
          <w:szCs w:val="30"/>
        </w:rPr>
        <w:t>水资源</w:t>
      </w:r>
      <w:r>
        <w:rPr>
          <w:rFonts w:eastAsia="仿宋_GB2312"/>
          <w:sz w:val="30"/>
          <w:szCs w:val="30"/>
        </w:rPr>
        <w:t>保障）、防（环境安全风险防范）、建（水文化、水制度建设）”五大行动，以“百漾千河”工程为抓手，持续改善全区水生态环境质量，提升人民群众获得感、幸福感，重塑“水晶晶”南浔。</w:t>
      </w:r>
    </w:p>
    <w:p>
      <w:pPr>
        <w:spacing w:line="560" w:lineRule="exact"/>
        <w:ind w:firstLine="600" w:firstLineChars="200"/>
        <w:rPr>
          <w:rFonts w:eastAsia="仿宋_GB2312"/>
          <w:sz w:val="30"/>
          <w:szCs w:val="30"/>
        </w:rPr>
      </w:pPr>
      <w:r>
        <w:rPr>
          <w:rFonts w:eastAsia="仿宋_GB2312"/>
          <w:sz w:val="30"/>
          <w:szCs w:val="30"/>
        </w:rPr>
        <w:t>到2025年，全区水环境质量稳定改善，县控以上断面达到或优于III类水比例稳定达到100%，黑臭水体实现“长制久清”，整体提升京杭运河水体水质；全面落实生态流量底线要求</w:t>
      </w:r>
      <w:r>
        <w:rPr>
          <w:rFonts w:hint="eastAsia" w:eastAsia="仿宋_GB2312"/>
          <w:sz w:val="30"/>
          <w:szCs w:val="30"/>
        </w:rPr>
        <w:t>，</w:t>
      </w:r>
      <w:r>
        <w:rPr>
          <w:rFonts w:eastAsia="仿宋_GB2312"/>
          <w:sz w:val="30"/>
          <w:szCs w:val="30"/>
        </w:rPr>
        <w:t>实施水生态健康评价和生态修复，修复河湖生态缓冲带长度不小于</w:t>
      </w:r>
      <w:r>
        <w:rPr>
          <w:rFonts w:hint="eastAsia" w:eastAsia="仿宋_GB2312"/>
          <w:sz w:val="30"/>
          <w:szCs w:val="30"/>
        </w:rPr>
        <w:t>36</w:t>
      </w:r>
      <w:r>
        <w:rPr>
          <w:rFonts w:eastAsia="仿宋_GB2312"/>
          <w:sz w:val="30"/>
          <w:szCs w:val="30"/>
        </w:rPr>
        <w:t>km，湿地恢复（建设）面积不少于</w:t>
      </w:r>
      <w:r>
        <w:rPr>
          <w:rFonts w:hint="eastAsia" w:eastAsia="仿宋_GB2312"/>
          <w:sz w:val="30"/>
          <w:szCs w:val="30"/>
        </w:rPr>
        <w:t>30</w:t>
      </w:r>
      <w:r>
        <w:rPr>
          <w:rFonts w:eastAsia="仿宋_GB2312"/>
          <w:sz w:val="30"/>
          <w:szCs w:val="30"/>
        </w:rPr>
        <w:t>km</w:t>
      </w:r>
      <w:r>
        <w:rPr>
          <w:rFonts w:eastAsia="仿宋_GB2312"/>
          <w:sz w:val="30"/>
          <w:szCs w:val="30"/>
          <w:vertAlign w:val="superscript"/>
        </w:rPr>
        <w:t>2</w:t>
      </w:r>
      <w:r>
        <w:rPr>
          <w:rFonts w:eastAsia="仿宋_GB2312"/>
          <w:sz w:val="30"/>
          <w:szCs w:val="30"/>
        </w:rPr>
        <w:t>，打造</w:t>
      </w:r>
      <w:r>
        <w:rPr>
          <w:rFonts w:hint="eastAsia" w:eastAsia="仿宋_GB2312"/>
          <w:sz w:val="30"/>
          <w:szCs w:val="30"/>
        </w:rPr>
        <w:t>10</w:t>
      </w:r>
      <w:r>
        <w:rPr>
          <w:rFonts w:eastAsia="仿宋_GB2312"/>
          <w:sz w:val="30"/>
          <w:szCs w:val="30"/>
        </w:rPr>
        <w:t>个精品“美丽河湖”。土著鱼类逐步恢复，水生生物多样性不断提高，生态系统稳定性明显增强。太湖蓝藻对城市水体影响得到有效控制，重点河</w:t>
      </w:r>
      <w:r>
        <w:rPr>
          <w:rFonts w:hint="eastAsia" w:eastAsia="仿宋_GB2312"/>
          <w:sz w:val="30"/>
          <w:szCs w:val="30"/>
        </w:rPr>
        <w:t>流</w:t>
      </w:r>
      <w:r>
        <w:rPr>
          <w:rFonts w:eastAsia="仿宋_GB2312"/>
          <w:sz w:val="30"/>
          <w:szCs w:val="30"/>
        </w:rPr>
        <w:t>水体透明度整体提升，实现“人水和谐”。</w:t>
      </w:r>
    </w:p>
    <w:p>
      <w:pPr>
        <w:spacing w:line="560" w:lineRule="exact"/>
        <w:ind w:firstLine="600" w:firstLineChars="200"/>
        <w:rPr>
          <w:rFonts w:eastAsia="仿宋_GB2312"/>
          <w:sz w:val="30"/>
          <w:szCs w:val="30"/>
        </w:rPr>
      </w:pPr>
      <w:r>
        <w:rPr>
          <w:rFonts w:eastAsia="仿宋_GB2312"/>
          <w:sz w:val="30"/>
          <w:szCs w:val="30"/>
        </w:rPr>
        <w:t>到2035年，全区水生态环境质量稳定优良，形成人与自然和谐共生的现代化水生态环境治理体系，全境重点河湖水生态系统状况基本健康，实现“水清、岸绿、景靓的“水晶晶”南浔的美好愿景。</w:t>
      </w:r>
    </w:p>
    <w:p>
      <w:pPr>
        <w:jc w:val="center"/>
        <w:rPr>
          <w:rFonts w:eastAsia="黑体"/>
          <w:sz w:val="30"/>
          <w:szCs w:val="30"/>
        </w:rPr>
      </w:pPr>
      <w:r>
        <w:rPr>
          <w:rFonts w:eastAsia="黑体"/>
          <w:sz w:val="30"/>
          <w:szCs w:val="30"/>
        </w:rPr>
        <w:t>表2-1  南浔区水生态环境保护“十四五”规划指标</w:t>
      </w:r>
    </w:p>
    <w:tbl>
      <w:tblPr>
        <w:tblStyle w:val="29"/>
        <w:tblW w:w="501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67"/>
        <w:gridCol w:w="618"/>
        <w:gridCol w:w="3893"/>
        <w:gridCol w:w="1517"/>
        <w:gridCol w:w="12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3340" w:type="pct"/>
            <w:gridSpan w:val="3"/>
            <w:tcBorders>
              <w:top w:val="single" w:color="000000" w:sz="6" w:space="0"/>
              <w:left w:val="single" w:color="000000" w:sz="6" w:space="0"/>
              <w:bottom w:val="single" w:color="000000" w:sz="6" w:space="0"/>
              <w:right w:val="single" w:color="000000" w:sz="6" w:space="0"/>
            </w:tcBorders>
            <w:tcMar>
              <w:top w:w="6" w:type="dxa"/>
              <w:left w:w="6" w:type="dxa"/>
              <w:bottom w:w="0" w:type="dxa"/>
              <w:right w:w="6" w:type="dxa"/>
            </w:tcMar>
            <w:vAlign w:val="center"/>
          </w:tcPr>
          <w:p>
            <w:pPr>
              <w:widowControl/>
              <w:jc w:val="center"/>
              <w:rPr>
                <w:rFonts w:eastAsia="仿宋_GB2312"/>
                <w:b/>
                <w:color w:val="000000"/>
                <w:kern w:val="0"/>
                <w:sz w:val="28"/>
                <w:szCs w:val="28"/>
              </w:rPr>
            </w:pPr>
            <w:r>
              <w:rPr>
                <w:rFonts w:eastAsia="仿宋_GB2312"/>
                <w:b/>
                <w:color w:val="000000"/>
                <w:kern w:val="0"/>
                <w:sz w:val="28"/>
                <w:szCs w:val="28"/>
              </w:rPr>
              <w:t>指</w:t>
            </w:r>
            <w:r>
              <w:rPr>
                <w:rFonts w:hint="eastAsia" w:eastAsia="仿宋_GB2312"/>
                <w:b/>
                <w:color w:val="000000"/>
                <w:kern w:val="0"/>
                <w:sz w:val="28"/>
                <w:szCs w:val="28"/>
                <w:lang w:val="en-US" w:eastAsia="zh-CN"/>
              </w:rPr>
              <w:t xml:space="preserve">    </w:t>
            </w:r>
            <w:r>
              <w:rPr>
                <w:rFonts w:eastAsia="仿宋_GB2312"/>
                <w:b/>
                <w:color w:val="000000"/>
                <w:kern w:val="0"/>
                <w:sz w:val="28"/>
                <w:szCs w:val="28"/>
              </w:rPr>
              <w:t>标</w:t>
            </w:r>
          </w:p>
        </w:tc>
        <w:tc>
          <w:tcPr>
            <w:tcW w:w="908"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仿宋_GB2312"/>
                <w:b/>
                <w:color w:val="000000"/>
                <w:kern w:val="0"/>
                <w:sz w:val="28"/>
                <w:szCs w:val="28"/>
              </w:rPr>
            </w:pPr>
            <w:r>
              <w:rPr>
                <w:rFonts w:eastAsia="仿宋_GB2312"/>
                <w:b/>
                <w:color w:val="000000"/>
                <w:kern w:val="0"/>
                <w:sz w:val="28"/>
                <w:szCs w:val="28"/>
              </w:rPr>
              <w:t>2020年</w:t>
            </w:r>
          </w:p>
        </w:tc>
        <w:tc>
          <w:tcPr>
            <w:tcW w:w="751"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仿宋_GB2312"/>
                <w:b/>
                <w:color w:val="000000"/>
                <w:kern w:val="0"/>
                <w:sz w:val="28"/>
                <w:szCs w:val="28"/>
              </w:rPr>
            </w:pPr>
            <w:r>
              <w:rPr>
                <w:rFonts w:eastAsia="仿宋_GB2312"/>
                <w:b/>
                <w:color w:val="000000"/>
                <w:kern w:val="0"/>
                <w:sz w:val="28"/>
                <w:szCs w:val="28"/>
              </w:rPr>
              <w:t>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restart"/>
            <w:tcBorders>
              <w:top w:val="single" w:color="000000" w:sz="6" w:space="0"/>
              <w:left w:val="single" w:color="000000" w:sz="6" w:space="0"/>
              <w:bottom w:val="single" w:color="000000" w:sz="6" w:space="0"/>
              <w:right w:val="single" w:color="000000" w:sz="6"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eastAsia="仿宋_GB2312"/>
                <w:color w:val="000000"/>
                <w:sz w:val="24"/>
                <w:szCs w:val="24"/>
              </w:rPr>
              <w:t>水环境</w:t>
            </w: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1</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地表水</w:t>
            </w:r>
            <w:r>
              <w:rPr>
                <w:rFonts w:hint="eastAsia" w:eastAsia="仿宋_GB2312"/>
                <w:color w:val="000000"/>
                <w:sz w:val="24"/>
                <w:szCs w:val="24"/>
              </w:rPr>
              <w:t>县控以上断面</w:t>
            </w:r>
            <w:r>
              <w:rPr>
                <w:rFonts w:eastAsia="仿宋_GB2312"/>
                <w:color w:val="000000"/>
                <w:sz w:val="24"/>
                <w:szCs w:val="24"/>
              </w:rPr>
              <w:t>（达到或优于</w:t>
            </w:r>
            <w:r>
              <w:rPr>
                <w:rFonts w:hint="eastAsia" w:eastAsia="仿宋_GB2312"/>
                <w:color w:val="000000"/>
                <w:sz w:val="24"/>
                <w:szCs w:val="24"/>
              </w:rPr>
              <w:t>Ⅲ</w:t>
            </w:r>
            <w:r>
              <w:rPr>
                <w:rFonts w:eastAsia="仿宋_GB2312"/>
                <w:color w:val="000000"/>
                <w:sz w:val="24"/>
                <w:szCs w:val="24"/>
              </w:rPr>
              <w:t>类）比例（%）</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100</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eastAsia="仿宋_GB2312"/>
                <w:color w:val="000000"/>
                <w:sz w:val="24"/>
                <w:szCs w:val="24"/>
              </w:rPr>
            </w:pP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2</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地表水劣</w:t>
            </w:r>
            <w:r>
              <w:rPr>
                <w:rFonts w:hint="eastAsia" w:ascii="宋体" w:hAnsi="宋体" w:cs="宋体"/>
                <w:color w:val="000000"/>
                <w:sz w:val="24"/>
                <w:szCs w:val="24"/>
              </w:rPr>
              <w:t>Ⅴ</w:t>
            </w:r>
            <w:r>
              <w:rPr>
                <w:rFonts w:eastAsia="仿宋_GB2312"/>
                <w:color w:val="000000"/>
                <w:sz w:val="24"/>
                <w:szCs w:val="24"/>
              </w:rPr>
              <w:t>类水体比例（%）</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0</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 w:hRule="atLeast"/>
          <w:jc w:val="center"/>
        </w:trPr>
        <w:tc>
          <w:tcPr>
            <w:tcW w:w="639"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水资源</w:t>
            </w: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3</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达到生态流量（水位）底线要求的河湖数量（个）</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eastAsia="仿宋_GB2312"/>
                <w:color w:val="000000"/>
                <w:sz w:val="24"/>
                <w:szCs w:val="24"/>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restart"/>
            <w:tcBorders>
              <w:top w:val="single" w:color="000000" w:sz="6" w:space="0"/>
              <w:left w:val="single" w:color="000000" w:sz="6" w:space="0"/>
              <w:right w:val="single" w:color="000000" w:sz="6"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水生态</w:t>
            </w: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4</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水生生物完整性指数</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试点开展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continue"/>
            <w:tcBorders>
              <w:left w:val="single" w:color="000000" w:sz="6" w:space="0"/>
              <w:right w:val="single" w:color="000000" w:sz="6" w:space="0"/>
            </w:tcBorders>
            <w:vAlign w:val="center"/>
          </w:tcPr>
          <w:p>
            <w:pPr>
              <w:widowControl/>
              <w:jc w:val="left"/>
              <w:rPr>
                <w:rFonts w:eastAsia="仿宋_GB2312"/>
                <w:color w:val="000000"/>
                <w:sz w:val="24"/>
                <w:szCs w:val="24"/>
              </w:rPr>
            </w:pP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5</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河湖生态缓冲带修复长度（千米）</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eastAsia="仿宋_GB2312"/>
                <w:color w:val="000000"/>
                <w:sz w:val="24"/>
                <w:szCs w:val="24"/>
              </w:rPr>
              <w:t>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continue"/>
            <w:tcBorders>
              <w:left w:val="single" w:color="000000" w:sz="6" w:space="0"/>
              <w:right w:val="single" w:color="000000" w:sz="6" w:space="0"/>
            </w:tcBorders>
            <w:vAlign w:val="center"/>
          </w:tcPr>
          <w:p>
            <w:pPr>
              <w:widowControl/>
              <w:jc w:val="left"/>
              <w:rPr>
                <w:rFonts w:eastAsia="仿宋_GB2312"/>
                <w:color w:val="000000"/>
                <w:sz w:val="24"/>
                <w:szCs w:val="24"/>
              </w:rPr>
            </w:pP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6</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湿地恢复（建设）面积（平方千米）</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eastAsia="仿宋_GB2312"/>
                <w:color w:val="000000"/>
                <w:sz w:val="24"/>
                <w:szCs w:val="24"/>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continue"/>
            <w:tcBorders>
              <w:left w:val="single" w:color="000000" w:sz="6" w:space="0"/>
              <w:right w:val="single" w:color="000000" w:sz="6" w:space="0"/>
            </w:tcBorders>
            <w:vAlign w:val="center"/>
          </w:tcPr>
          <w:p>
            <w:pPr>
              <w:widowControl/>
              <w:jc w:val="left"/>
              <w:rPr>
                <w:rFonts w:eastAsia="仿宋_GB2312"/>
                <w:color w:val="000000"/>
                <w:sz w:val="24"/>
                <w:szCs w:val="24"/>
              </w:rPr>
            </w:pP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7</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建成“水下森林”的水体数量（个）</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eastAsia="仿宋_GB2312"/>
                <w:color w:val="000000"/>
                <w:sz w:val="24"/>
                <w:szCs w:val="24"/>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restart"/>
            <w:tcBorders>
              <w:left w:val="single" w:color="000000" w:sz="6" w:space="0"/>
              <w:right w:val="single" w:color="000000" w:sz="6" w:space="0"/>
            </w:tcBorders>
            <w:vAlign w:val="center"/>
          </w:tcPr>
          <w:p>
            <w:pPr>
              <w:widowControl/>
              <w:jc w:val="left"/>
              <w:rPr>
                <w:rFonts w:eastAsia="仿宋_GB2312"/>
                <w:color w:val="000000"/>
                <w:sz w:val="24"/>
                <w:szCs w:val="24"/>
              </w:rPr>
            </w:pPr>
            <w:r>
              <w:rPr>
                <w:rFonts w:hint="eastAsia" w:eastAsia="仿宋_GB2312"/>
                <w:color w:val="000000"/>
                <w:sz w:val="24"/>
                <w:szCs w:val="24"/>
              </w:rPr>
              <w:t>亲民指标</w:t>
            </w: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8</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黑臭水体控制比例（%）</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0</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ascii="仿宋_GB2312" w:hAnsi="仿宋_GB2312" w:eastAsia="仿宋_GB2312"/>
                <w:color w:val="000000"/>
                <w:sz w:val="24"/>
                <w:szCs w:val="24"/>
              </w:rPr>
            </w:pPr>
            <w:r>
              <w:rPr>
                <w:rFonts w:eastAsia="仿宋_GB2312"/>
                <w:color w:val="000000"/>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continue"/>
            <w:tcBorders>
              <w:left w:val="single" w:color="000000" w:sz="6" w:space="0"/>
              <w:right w:val="single" w:color="000000" w:sz="6" w:space="0"/>
            </w:tcBorders>
            <w:vAlign w:val="center"/>
          </w:tcPr>
          <w:p>
            <w:pPr>
              <w:widowControl/>
              <w:jc w:val="left"/>
              <w:rPr>
                <w:rFonts w:eastAsia="仿宋_GB2312"/>
                <w:color w:val="000000"/>
                <w:sz w:val="24"/>
                <w:szCs w:val="24"/>
              </w:rPr>
            </w:pP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9</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eastAsia="仿宋_GB2312"/>
                <w:color w:val="000000"/>
                <w:sz w:val="24"/>
                <w:szCs w:val="24"/>
              </w:rPr>
              <w:t>农村黑臭水体整治率（%）</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eastAsia="仿宋_GB2312"/>
                <w:color w:val="000000"/>
                <w:sz w:val="24"/>
                <w:szCs w:val="24"/>
              </w:rPr>
              <w:t>全面消除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continue"/>
            <w:tcBorders>
              <w:left w:val="single" w:color="000000" w:sz="6" w:space="0"/>
              <w:right w:val="single" w:color="000000" w:sz="6" w:space="0"/>
            </w:tcBorders>
            <w:vAlign w:val="center"/>
          </w:tcPr>
          <w:p>
            <w:pPr>
              <w:widowControl/>
              <w:jc w:val="left"/>
              <w:rPr>
                <w:rFonts w:eastAsia="仿宋_GB2312"/>
                <w:color w:val="000000"/>
                <w:sz w:val="24"/>
                <w:szCs w:val="24"/>
              </w:rPr>
            </w:pP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10</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“美丽河湖”建成数量（个）</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eastAsia="仿宋_GB2312"/>
                <w:color w:val="000000"/>
                <w:sz w:val="24"/>
                <w:szCs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639" w:type="pct"/>
            <w:vMerge w:val="continue"/>
            <w:tcBorders>
              <w:left w:val="single" w:color="000000" w:sz="6" w:space="0"/>
              <w:bottom w:val="single" w:color="000000" w:sz="6" w:space="0"/>
              <w:right w:val="single" w:color="000000" w:sz="6" w:space="0"/>
            </w:tcBorders>
            <w:vAlign w:val="center"/>
          </w:tcPr>
          <w:p>
            <w:pPr>
              <w:widowControl/>
              <w:jc w:val="left"/>
              <w:rPr>
                <w:rFonts w:eastAsia="仿宋_GB2312"/>
                <w:color w:val="000000"/>
                <w:sz w:val="24"/>
                <w:szCs w:val="24"/>
              </w:rPr>
            </w:pPr>
          </w:p>
        </w:tc>
        <w:tc>
          <w:tcPr>
            <w:tcW w:w="370" w:type="pct"/>
            <w:tcBorders>
              <w:top w:val="single" w:color="000000" w:sz="6" w:space="0"/>
              <w:left w:val="single" w:color="000000" w:sz="6" w:space="0"/>
              <w:bottom w:val="single" w:color="000000" w:sz="6" w:space="0"/>
              <w:right w:val="single" w:color="auto" w:sz="4" w:space="0"/>
            </w:tcBorders>
            <w:tcMar>
              <w:top w:w="6" w:type="dxa"/>
              <w:left w:w="6" w:type="dxa"/>
              <w:bottom w:w="0" w:type="dxa"/>
              <w:right w:w="6" w:type="dxa"/>
            </w:tcMar>
            <w:vAlign w:val="center"/>
          </w:tcPr>
          <w:p>
            <w:pPr>
              <w:spacing w:line="0" w:lineRule="atLeast"/>
              <w:jc w:val="center"/>
              <w:rPr>
                <w:rFonts w:eastAsia="仿宋_GB2312"/>
                <w:color w:val="000000"/>
                <w:sz w:val="24"/>
                <w:szCs w:val="24"/>
              </w:rPr>
            </w:pPr>
            <w:r>
              <w:rPr>
                <w:rFonts w:hint="eastAsia" w:eastAsia="仿宋_GB2312"/>
                <w:color w:val="000000"/>
                <w:sz w:val="24"/>
                <w:szCs w:val="24"/>
              </w:rPr>
              <w:t>11</w:t>
            </w:r>
          </w:p>
        </w:tc>
        <w:tc>
          <w:tcPr>
            <w:tcW w:w="2329" w:type="pct"/>
            <w:tcBorders>
              <w:top w:val="single" w:color="000000" w:sz="6" w:space="0"/>
              <w:left w:val="single" w:color="auto" w:sz="4"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eastAsia="仿宋_GB2312"/>
                <w:color w:val="000000"/>
                <w:sz w:val="24"/>
                <w:szCs w:val="24"/>
              </w:rPr>
              <w:t>城乡居民亲水便捷覆盖率(%)</w:t>
            </w:r>
          </w:p>
        </w:tc>
        <w:tc>
          <w:tcPr>
            <w:tcW w:w="908"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eastAsia="仿宋_GB2312"/>
                <w:color w:val="000000"/>
                <w:sz w:val="24"/>
                <w:szCs w:val="24"/>
              </w:rPr>
              <w:t>-</w:t>
            </w:r>
          </w:p>
        </w:tc>
        <w:tc>
          <w:tcPr>
            <w:tcW w:w="751" w:type="pct"/>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eastAsia="仿宋_GB2312"/>
                <w:color w:val="000000"/>
                <w:sz w:val="24"/>
                <w:szCs w:val="24"/>
              </w:rPr>
            </w:pPr>
            <w:r>
              <w:rPr>
                <w:rFonts w:hint="eastAsia" w:ascii="仿宋_GB2312" w:hAnsi="仿宋_GB2312" w:eastAsia="仿宋_GB2312"/>
                <w:color w:val="000000"/>
                <w:sz w:val="24"/>
                <w:szCs w:val="24"/>
              </w:rPr>
              <w:t>&gt;</w:t>
            </w:r>
            <w:r>
              <w:rPr>
                <w:rFonts w:hint="eastAsia" w:eastAsia="仿宋_GB2312"/>
                <w:color w:val="000000"/>
                <w:sz w:val="24"/>
                <w:szCs w:val="24"/>
              </w:rPr>
              <w:t>85</w:t>
            </w:r>
          </w:p>
        </w:tc>
      </w:tr>
    </w:tbl>
    <w:p>
      <w:pPr>
        <w:rPr>
          <w:rFonts w:eastAsia="仿宋_GB2312"/>
          <w:sz w:val="30"/>
          <w:szCs w:val="30"/>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ind w:firstLine="640" w:firstLineChars="200"/>
      </w:pPr>
      <w:bookmarkStart w:id="46" w:name="_Toc71899944"/>
      <w:bookmarkStart w:id="47" w:name="_Toc29358"/>
      <w:r>
        <w:t>规划任务</w:t>
      </w:r>
      <w:bookmarkEnd w:id="46"/>
      <w:bookmarkEnd w:id="47"/>
    </w:p>
    <w:p>
      <w:pPr>
        <w:pStyle w:val="3"/>
        <w:keepNext/>
        <w:keepLines/>
        <w:numPr>
          <w:ilvl w:val="0"/>
          <w:numId w:val="13"/>
        </w:numPr>
        <w:spacing w:line="560" w:lineRule="exact"/>
        <w:rPr>
          <w:rFonts w:eastAsia="楷体"/>
          <w:b/>
        </w:rPr>
      </w:pPr>
      <w:bookmarkStart w:id="48" w:name="_Toc71899945"/>
      <w:r>
        <w:rPr>
          <w:rFonts w:eastAsia="楷体"/>
          <w:b/>
        </w:rPr>
        <w:t>强化水污染防治</w:t>
      </w:r>
      <w:bookmarkEnd w:id="48"/>
    </w:p>
    <w:p>
      <w:pPr>
        <w:spacing w:line="560" w:lineRule="exact"/>
        <w:ind w:firstLine="602" w:firstLineChars="200"/>
        <w:rPr>
          <w:rFonts w:eastAsia="仿宋_GB2312"/>
          <w:b/>
          <w:bCs/>
          <w:sz w:val="30"/>
          <w:szCs w:val="30"/>
        </w:rPr>
      </w:pPr>
      <w:r>
        <w:rPr>
          <w:rFonts w:eastAsia="仿宋_GB2312"/>
          <w:b/>
          <w:bCs/>
          <w:sz w:val="30"/>
          <w:szCs w:val="30"/>
        </w:rPr>
        <w:t>1、</w:t>
      </w:r>
      <w:r>
        <w:rPr>
          <w:rFonts w:hint="eastAsia" w:eastAsia="仿宋_GB2312"/>
          <w:b/>
          <w:bCs/>
          <w:sz w:val="30"/>
          <w:szCs w:val="30"/>
        </w:rPr>
        <w:t>强化</w:t>
      </w:r>
      <w:r>
        <w:rPr>
          <w:rFonts w:eastAsia="仿宋_GB2312"/>
          <w:b/>
          <w:bCs/>
          <w:sz w:val="30"/>
          <w:szCs w:val="30"/>
        </w:rPr>
        <w:t>入河排污口监督管理</w:t>
      </w:r>
    </w:p>
    <w:p>
      <w:pPr>
        <w:pStyle w:val="56"/>
        <w:spacing w:line="560" w:lineRule="exact"/>
        <w:ind w:firstLine="600"/>
        <w:rPr>
          <w:rFonts w:ascii="Times New Roman" w:hAnsi="Times New Roman" w:eastAsia="仿宋_GB2312" w:cs="Times New Roman"/>
          <w:sz w:val="32"/>
          <w:szCs w:val="32"/>
        </w:rPr>
      </w:pPr>
      <w:r>
        <w:rPr>
          <w:rFonts w:ascii="Times New Roman" w:hAnsi="Times New Roman" w:eastAsia="楷体" w:cs="Times New Roman"/>
          <w:sz w:val="30"/>
          <w:szCs w:val="30"/>
        </w:rPr>
        <w:t>开展入河排污口排查溯源。</w:t>
      </w:r>
      <w:r>
        <w:rPr>
          <w:rFonts w:ascii="Times New Roman" w:hAnsi="Times New Roman" w:eastAsia="仿宋_GB2312" w:cs="Times New Roman"/>
          <w:sz w:val="30"/>
          <w:szCs w:val="30"/>
        </w:rPr>
        <w:t>充分发挥各类遥感监测、水面航测、水下探测、管线排查等高科技技术手段的优势，按照“有口皆查、应查尽查”要求，组织开展深入排查，摸清掌握各类入河排污口的分布及数量、污水排放特征和去向、排污单位基本情况等信息，建立入河排污口台账。</w:t>
      </w:r>
    </w:p>
    <w:p>
      <w:pPr>
        <w:pStyle w:val="56"/>
        <w:spacing w:line="560" w:lineRule="exact"/>
        <w:ind w:firstLine="600"/>
        <w:rPr>
          <w:rFonts w:ascii="Times New Roman" w:hAnsi="Times New Roman" w:eastAsia="仿宋_GB2312" w:cs="Times New Roman"/>
          <w:sz w:val="30"/>
          <w:szCs w:val="30"/>
        </w:rPr>
      </w:pPr>
      <w:r>
        <w:rPr>
          <w:rFonts w:ascii="Times New Roman" w:hAnsi="Times New Roman" w:eastAsia="楷体" w:cs="Times New Roman"/>
          <w:sz w:val="30"/>
          <w:szCs w:val="30"/>
        </w:rPr>
        <w:t>实施排污口分类整治。</w:t>
      </w:r>
      <w:r>
        <w:rPr>
          <w:rFonts w:ascii="Times New Roman" w:hAnsi="Times New Roman" w:eastAsia="仿宋_GB2312" w:cs="Times New Roman"/>
          <w:sz w:val="30"/>
          <w:szCs w:val="30"/>
        </w:rPr>
        <w:t>按照“取缔一批、合并一批、规范一批”的要求，实施分类整治。依法依规取缔生态保护红线内设置的排污口和不符合水功能区划等其他相关规划要求设置的排污口，对上述区域划定前已经存在、暂时难以迁建的排污口，制定实施整治措施，确保水生态环境安全。城镇污水收集管网覆盖范围内的排污口强化截污纳管和集中处理。清理存在私搭乱接、借道排污等情况的排污口，整治雨污混接、农雨混接的入河排污口。对存在布局不合理、设施老化破损、排水不畅、检修维护难等问题的排污口和排污管线，应针对性地采取调整排污口位置、排污管线走向、更新维护设施、设置必要的检查井等措施进行整治。规范设置排污口标志牌，便于现场监测和监督检查。</w:t>
      </w:r>
    </w:p>
    <w:p>
      <w:pPr>
        <w:spacing w:line="560" w:lineRule="exact"/>
        <w:ind w:firstLine="600" w:firstLineChars="200"/>
        <w:rPr>
          <w:rFonts w:eastAsia="仿宋_GB2312"/>
          <w:sz w:val="30"/>
          <w:szCs w:val="30"/>
        </w:rPr>
      </w:pPr>
      <w:r>
        <w:rPr>
          <w:rFonts w:eastAsia="楷体"/>
          <w:sz w:val="30"/>
          <w:szCs w:val="30"/>
        </w:rPr>
        <w:t>严格排污口监督管理。</w:t>
      </w:r>
      <w:r>
        <w:rPr>
          <w:rFonts w:eastAsia="仿宋_GB2312"/>
          <w:sz w:val="30"/>
          <w:szCs w:val="30"/>
        </w:rPr>
        <w:t>充分考虑排污口布局和管控要求，加强规划引领，严格落实相关法律法规关于排污口设置的规定，明确禁止设置、限制设置的具体范围。将排污口设置规定落实情况作为规划环评重要内容，严格审核把关，源头防止无序设置。经排查确认的排污口应按管理要求建立“一口一档一手续”、“一口一牌一标准”；实现审核、备案、退出制度，标牌设置应符合标准。排查的排污口均纳入湖州市治水智慧平台进行统一管理，实施动态更新。强化行业主管部门的监管职责，监督排污单位做好相关排污口整治和日常管理工作。压实好河湖长责任，落实到日常巡河工作。加大排污口环境执法力度。</w:t>
      </w:r>
    </w:p>
    <w:p>
      <w:pPr>
        <w:spacing w:line="560" w:lineRule="exact"/>
        <w:ind w:firstLine="602" w:firstLineChars="200"/>
        <w:rPr>
          <w:rFonts w:eastAsia="仿宋_GB2312"/>
          <w:b/>
          <w:bCs/>
          <w:sz w:val="30"/>
          <w:szCs w:val="30"/>
        </w:rPr>
      </w:pPr>
      <w:r>
        <w:rPr>
          <w:rFonts w:eastAsia="仿宋_GB2312"/>
          <w:b/>
          <w:bCs/>
          <w:sz w:val="30"/>
          <w:szCs w:val="30"/>
        </w:rPr>
        <w:t>2、全面提升城镇污染治理</w:t>
      </w:r>
    </w:p>
    <w:p>
      <w:pPr>
        <w:spacing w:line="560" w:lineRule="exact"/>
        <w:ind w:firstLine="600" w:firstLineChars="200"/>
        <w:rPr>
          <w:rFonts w:eastAsia="仿宋_GB2312"/>
          <w:sz w:val="30"/>
          <w:szCs w:val="30"/>
        </w:rPr>
      </w:pPr>
      <w:r>
        <w:rPr>
          <w:rFonts w:eastAsia="楷体"/>
          <w:sz w:val="30"/>
          <w:szCs w:val="30"/>
        </w:rPr>
        <w:t>持续推进城镇生活小区“污水零直排区”建设。</w:t>
      </w:r>
      <w:r>
        <w:rPr>
          <w:rFonts w:eastAsia="仿宋_GB2312"/>
          <w:sz w:val="30"/>
          <w:szCs w:val="30"/>
        </w:rPr>
        <w:t>结合美丽城镇、老旧小区建设等载体，严格按照《污水零直排建设与管理规范》（浙江省湖州市地方标准DB3305）建设标准，开展建成区的住宅区块雨污分流改造，做到“能分则分、难分必截”，对前期采用截流井建设的小区必须通过雨污分流纳管改造；深化城镇“污水零直排区”建设，加强对已完成“污水零直排区”建设区域的提升与巩固，对三年内已建成的中心城区、中心镇区等“污水零直排区”开展“回头看”，查漏补缺，落实巩固提升项目。全面开展市政管网排查、修复、改造工作，修复改造混接错节、淤积堵塞、破损渗漏等问题管网。到2025年，新</w:t>
      </w:r>
      <w:r>
        <w:rPr>
          <w:rFonts w:hint="eastAsia" w:eastAsia="仿宋_GB2312"/>
          <w:sz w:val="30"/>
          <w:szCs w:val="30"/>
        </w:rPr>
        <w:t>改</w:t>
      </w:r>
      <w:r>
        <w:rPr>
          <w:rFonts w:eastAsia="仿宋_GB2312"/>
          <w:sz w:val="30"/>
          <w:szCs w:val="30"/>
        </w:rPr>
        <w:t>建污水</w:t>
      </w:r>
      <w:r>
        <w:rPr>
          <w:rFonts w:hint="eastAsia" w:eastAsia="仿宋_GB2312"/>
          <w:sz w:val="30"/>
          <w:szCs w:val="30"/>
        </w:rPr>
        <w:t>管网100公</w:t>
      </w:r>
      <w:r>
        <w:rPr>
          <w:rFonts w:eastAsia="仿宋_GB2312"/>
          <w:sz w:val="30"/>
          <w:szCs w:val="30"/>
        </w:rPr>
        <w:t>里及污水提升泵站1座。</w:t>
      </w:r>
    </w:p>
    <w:p>
      <w:pPr>
        <w:spacing w:line="560" w:lineRule="exact"/>
        <w:ind w:firstLine="600" w:firstLineChars="200"/>
        <w:rPr>
          <w:rFonts w:eastAsia="仿宋_GB2312"/>
          <w:sz w:val="30"/>
          <w:szCs w:val="30"/>
        </w:rPr>
      </w:pPr>
      <w:r>
        <w:rPr>
          <w:rFonts w:eastAsia="楷体"/>
          <w:sz w:val="30"/>
          <w:szCs w:val="30"/>
        </w:rPr>
        <w:t>推进城镇污水厂提质增效改造。</w:t>
      </w:r>
      <w:r>
        <w:rPr>
          <w:rFonts w:eastAsia="仿宋_GB2312"/>
          <w:sz w:val="30"/>
          <w:szCs w:val="30"/>
        </w:rPr>
        <w:t>提升城镇污水处理能力，新建南浔开发区污水处理厂，扩建湖州南浔和孚污水处理有限公司、湖州浙环污水处理有限公司和湖州环谐污水处理有限公司。落实《关于推进城镇污水处理厂清洁排放标准技术改造的指导意见》，推进城镇生活污水处理厂清洁化改造。到2022年，</w:t>
      </w:r>
      <w:r>
        <w:rPr>
          <w:rFonts w:hint="eastAsia" w:eastAsia="仿宋_GB2312"/>
          <w:sz w:val="30"/>
          <w:szCs w:val="30"/>
        </w:rPr>
        <w:t>全面</w:t>
      </w:r>
      <w:r>
        <w:rPr>
          <w:rFonts w:eastAsia="仿宋_GB2312"/>
          <w:sz w:val="30"/>
          <w:szCs w:val="30"/>
        </w:rPr>
        <w:t>完成城镇生活污水处理厂清洁化改造；到2025年，新增污水处理能力6.95万吨。</w:t>
      </w:r>
    </w:p>
    <w:p>
      <w:pPr>
        <w:spacing w:line="560" w:lineRule="exact"/>
        <w:ind w:firstLine="600" w:firstLineChars="200"/>
        <w:rPr>
          <w:rFonts w:eastAsia="仿宋_GB2312"/>
          <w:sz w:val="30"/>
          <w:szCs w:val="30"/>
        </w:rPr>
      </w:pPr>
      <w:r>
        <w:rPr>
          <w:rFonts w:eastAsia="楷体"/>
          <w:sz w:val="30"/>
          <w:szCs w:val="30"/>
        </w:rPr>
        <w:t>构建“污水零直排区”数字化管理系统</w:t>
      </w:r>
      <w:r>
        <w:rPr>
          <w:rFonts w:eastAsia="仿宋_GB2312"/>
          <w:sz w:val="30"/>
          <w:szCs w:val="30"/>
        </w:rPr>
        <w:t>。建立健全管网档案管理和运行维护等长效管理制度体系，建立常态化的污水管网排查机制，保障“污水零直排区”建设成效。</w:t>
      </w:r>
    </w:p>
    <w:p>
      <w:pPr>
        <w:spacing w:line="560" w:lineRule="exact"/>
        <w:ind w:firstLine="600" w:firstLineChars="200"/>
        <w:rPr>
          <w:rFonts w:eastAsia="仿宋_GB2312"/>
          <w:sz w:val="30"/>
          <w:szCs w:val="30"/>
        </w:rPr>
      </w:pPr>
      <w:r>
        <w:rPr>
          <w:rFonts w:eastAsia="楷体"/>
          <w:sz w:val="30"/>
          <w:szCs w:val="30"/>
        </w:rPr>
        <w:t>控制初期雨水污染</w:t>
      </w:r>
      <w:r>
        <w:rPr>
          <w:rFonts w:eastAsia="仿宋_GB2312"/>
          <w:sz w:val="30"/>
          <w:szCs w:val="30"/>
        </w:rPr>
        <w:t>。借助海绵城市建设加强初期雨水处理，探索开展雨水治理，因地制宜提出初期雨水截留纳管、初期雨水处理设施建设等任务。</w:t>
      </w:r>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3、持续推进工业污染防治</w:t>
      </w:r>
    </w:p>
    <w:p>
      <w:pPr>
        <w:spacing w:line="560" w:lineRule="exact"/>
        <w:ind w:firstLine="600" w:firstLineChars="200"/>
        <w:rPr>
          <w:rFonts w:eastAsia="仿宋_GB2312"/>
          <w:sz w:val="30"/>
          <w:szCs w:val="30"/>
        </w:rPr>
      </w:pPr>
      <w:r>
        <w:rPr>
          <w:rFonts w:eastAsia="楷体"/>
          <w:sz w:val="30"/>
          <w:szCs w:val="30"/>
        </w:rPr>
        <w:t>加强项目准入管控与清洁化改造。</w:t>
      </w:r>
      <w:r>
        <w:rPr>
          <w:rFonts w:eastAsia="仿宋_GB2312"/>
          <w:sz w:val="30"/>
          <w:szCs w:val="30"/>
        </w:rPr>
        <w:t>落实“三线一单”生态环境分区管控，严格涉水项目生态环境准入。注重运用市场化、法治化手段，依法依规淘汰落后产能和过剩产能。持续推行清洁生产，强化纺织、化纤、化工、金属制品等传统行业绿色化技术改造。全面出清有关法律法规和国家、省产业政策明令淘汰的落后产能。</w:t>
      </w:r>
    </w:p>
    <w:p>
      <w:pPr>
        <w:spacing w:line="560" w:lineRule="exact"/>
        <w:ind w:firstLine="600" w:firstLineChars="200"/>
        <w:rPr>
          <w:rFonts w:eastAsia="仿宋_GB2312"/>
          <w:sz w:val="30"/>
          <w:szCs w:val="30"/>
        </w:rPr>
      </w:pPr>
      <w:r>
        <w:rPr>
          <w:rFonts w:eastAsia="楷体"/>
          <w:sz w:val="30"/>
          <w:szCs w:val="30"/>
        </w:rPr>
        <w:t>狠抓涉水行业整治。</w:t>
      </w:r>
      <w:r>
        <w:rPr>
          <w:rFonts w:eastAsia="仿宋_GB2312"/>
          <w:sz w:val="30"/>
          <w:szCs w:val="30"/>
        </w:rPr>
        <w:t>开展喷水织机行业整治提升，严格实施总量控制管理，原则上不再单独新批喷水织机项目，在不新增排污前提下按照“整合集聚一批、整治提升一批、关停淘汰一批”实施产能集聚。深化印染行业整治，推进印染企业搬迁集聚。巩固化工、电镀等重点行业企业整治成效，建立长效管理机制。</w:t>
      </w:r>
    </w:p>
    <w:p>
      <w:pPr>
        <w:spacing w:line="560" w:lineRule="exact"/>
        <w:ind w:firstLine="600" w:firstLineChars="200"/>
        <w:rPr>
          <w:rFonts w:eastAsia="仿宋_GB2312"/>
          <w:sz w:val="30"/>
          <w:szCs w:val="30"/>
        </w:rPr>
      </w:pPr>
      <w:r>
        <w:rPr>
          <w:rFonts w:eastAsia="楷体"/>
          <w:sz w:val="30"/>
          <w:szCs w:val="30"/>
        </w:rPr>
        <w:t>巩固提升工业园区“污水零直排区”建设。</w:t>
      </w:r>
      <w:r>
        <w:rPr>
          <w:rFonts w:eastAsia="仿宋_GB2312"/>
          <w:sz w:val="30"/>
          <w:szCs w:val="30"/>
        </w:rPr>
        <w:t>持续推动企业搬迁入园。工业企业加强厂区初期雨水、事故污水收集处理，加强园区企业纳管废水监测，强化企业特征污染物监测，严厉查处超标、超量排放或偷排工业废水等影响城镇污水处理厂安全稳定运行的行为。继续推进重污染工业企业明管化改造，加强菱湖镇、和孚镇等工业园区管网改造，开展排污口规范化建设和智慧化监管。</w:t>
      </w:r>
      <w:r>
        <w:rPr>
          <w:rFonts w:hint="eastAsia" w:eastAsia="仿宋_GB2312"/>
          <w:sz w:val="30"/>
          <w:szCs w:val="30"/>
        </w:rPr>
        <w:t>以南浔菱湖化工园区为试点，开发园区水环境管理一键式平台。运用智能传感、AI视频监控、云计算等高新技术，实时采集污染源监测、管网排水状况监测、重点入河排水口监测监控等信息，掌握园区各企业雨水、污水排放状况，打造工业园区“污水零直排”的“智”“治”“制”管控模式。</w:t>
      </w:r>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4、强化农业农村污染防治</w:t>
      </w:r>
    </w:p>
    <w:p>
      <w:pPr>
        <w:spacing w:line="560" w:lineRule="exact"/>
        <w:ind w:firstLine="600" w:firstLineChars="200"/>
        <w:rPr>
          <w:rFonts w:eastAsia="仿宋_GB2312"/>
          <w:sz w:val="30"/>
          <w:szCs w:val="30"/>
        </w:rPr>
      </w:pPr>
      <w:r>
        <w:rPr>
          <w:rFonts w:eastAsia="楷体"/>
          <w:sz w:val="30"/>
          <w:szCs w:val="30"/>
        </w:rPr>
        <w:t>提升农村生活污染治理水平。</w:t>
      </w:r>
      <w:r>
        <w:rPr>
          <w:rFonts w:eastAsia="仿宋_GB2312"/>
          <w:sz w:val="30"/>
          <w:szCs w:val="30"/>
        </w:rPr>
        <w:t>实施农村生活污水治理“强基增效双提标”行动，高标准推进农村生活污水治理，全面推进处理设施建设改造和标准化运维，选取与污水处理规模和排水特征相适应的污水处理工艺，推进终端-管网一体化运营。加强农村生活污水处理设施排水监测监控。到2025年，新建、改造处理设施563座，农村生活污水处理设施行政村覆盖率达到100%，达标排放率达到95%。</w:t>
      </w:r>
    </w:p>
    <w:p>
      <w:pPr>
        <w:spacing w:line="560" w:lineRule="exact"/>
        <w:ind w:firstLine="600" w:firstLineChars="200"/>
        <w:rPr>
          <w:rFonts w:eastAsia="仿宋_GB2312"/>
          <w:sz w:val="30"/>
          <w:szCs w:val="30"/>
        </w:rPr>
      </w:pPr>
      <w:r>
        <w:rPr>
          <w:rFonts w:eastAsia="楷体"/>
          <w:sz w:val="30"/>
          <w:szCs w:val="30"/>
        </w:rPr>
        <w:t>强化水产养殖尾水治理设施长效运行监管。</w:t>
      </w:r>
      <w:r>
        <w:rPr>
          <w:rFonts w:eastAsia="仿宋_GB2312"/>
          <w:sz w:val="30"/>
          <w:szCs w:val="30"/>
        </w:rPr>
        <w:t>以渔业养殖健康示范创建为抓手，以加州鲈、黄颡鱼、青虾等主导特色品种为重点，推行绿色养殖、生态防控、精准用药和统筹监管，建设一批减量用药示范点，采取设施改造、调水改底、幼杂鱼替代、尾水治理、以渔净水等生态减药技术，因地制宜示范推广稻渔综合种养、池塘内循环推水养殖、多营养层次养殖等生态养殖模式，有效健全管理制度和标准，全面提高行业管理规范化水平。</w:t>
      </w:r>
      <w:r>
        <w:rPr>
          <w:rFonts w:hint="eastAsia" w:eastAsia="仿宋_GB2312"/>
          <w:sz w:val="30"/>
          <w:szCs w:val="30"/>
        </w:rPr>
        <w:t>聚力推进渔业设施化和机械化，实施水产养殖“机器换人”。</w:t>
      </w:r>
      <w:r>
        <w:rPr>
          <w:rFonts w:eastAsia="仿宋_GB2312"/>
          <w:sz w:val="30"/>
          <w:szCs w:val="30"/>
        </w:rPr>
        <w:t>全力推进尾水治理长效机制和实效机制构建，</w:t>
      </w:r>
      <w:r>
        <w:rPr>
          <w:rFonts w:hint="eastAsia" w:eastAsia="仿宋_GB2312"/>
          <w:sz w:val="30"/>
          <w:szCs w:val="30"/>
        </w:rPr>
        <w:t>探索</w:t>
      </w:r>
      <w:r>
        <w:rPr>
          <w:rFonts w:eastAsia="仿宋_GB2312"/>
          <w:sz w:val="30"/>
          <w:szCs w:val="30"/>
        </w:rPr>
        <w:t>推广尾水治理“塘长制”模式。严格按照《湖州市淡水池塘养殖尾水排放要求》，规范建设规模化水产养殖排污口，加强对水产养殖集中区域和集中排放期的尾水监测与评估。</w:t>
      </w:r>
    </w:p>
    <w:p>
      <w:pPr>
        <w:spacing w:line="560" w:lineRule="exact"/>
        <w:ind w:firstLine="600" w:firstLineChars="200"/>
        <w:rPr>
          <w:rFonts w:eastAsia="仿宋_GB2312"/>
          <w:sz w:val="30"/>
          <w:szCs w:val="30"/>
        </w:rPr>
      </w:pPr>
      <w:r>
        <w:rPr>
          <w:rFonts w:eastAsia="楷体"/>
          <w:sz w:val="30"/>
          <w:szCs w:val="30"/>
        </w:rPr>
        <w:t>提高畜禽养殖废弃物资源化利用水平。</w:t>
      </w:r>
      <w:r>
        <w:rPr>
          <w:rFonts w:hint="eastAsia" w:eastAsia="仿宋_GB2312"/>
          <w:sz w:val="30"/>
          <w:szCs w:val="30"/>
        </w:rPr>
        <w:t>以标准化、绿色化、规模化、循环化、数字化、基地化“六化”为引领，加快建设一批农牧紧密对接的畜禽养殖标准化示范场和美丽牧场，引导推动畜牧业高质量发展。支持大型养殖场废水纳管排放。</w:t>
      </w:r>
      <w:r>
        <w:rPr>
          <w:rFonts w:eastAsia="仿宋_GB2312"/>
          <w:sz w:val="30"/>
          <w:szCs w:val="30"/>
        </w:rPr>
        <w:t>重点强化粪污收运还田体系建设，因地制宜选择粪污肥料化、燃料化、基质化等资源化利用模式，完善粪污存储、运输和还田设施建设。开展养殖场排污口定期监测，</w:t>
      </w:r>
      <w:r>
        <w:rPr>
          <w:rFonts w:hint="eastAsia" w:eastAsia="仿宋_GB2312"/>
          <w:sz w:val="30"/>
          <w:szCs w:val="30"/>
        </w:rPr>
        <w:t>确保</w:t>
      </w:r>
      <w:r>
        <w:rPr>
          <w:rFonts w:eastAsia="仿宋_GB2312"/>
          <w:sz w:val="30"/>
          <w:szCs w:val="30"/>
        </w:rPr>
        <w:t>处理设施正常运转和稳定达标排放。指导规模以下养殖场户建设粪污存储、还田设施，鼓励在养殖密集区域建立粪污集中处理中心，推行第三方治理运作模式。到2025年，全区畜禽粪污资源化利用和无害化处理率达到</w:t>
      </w:r>
      <w:r>
        <w:rPr>
          <w:rFonts w:hint="eastAsia" w:eastAsia="仿宋_GB2312"/>
          <w:sz w:val="30"/>
          <w:szCs w:val="30"/>
        </w:rPr>
        <w:t>99</w:t>
      </w:r>
      <w:r>
        <w:rPr>
          <w:rFonts w:eastAsia="仿宋_GB2312"/>
          <w:sz w:val="30"/>
          <w:szCs w:val="30"/>
        </w:rPr>
        <w:t xml:space="preserve">%以上，规模养殖场粪污处理设施装备配套率保持100%。 </w:t>
      </w:r>
    </w:p>
    <w:p>
      <w:pPr>
        <w:spacing w:line="560" w:lineRule="exact"/>
        <w:ind w:firstLine="600" w:firstLineChars="200"/>
        <w:rPr>
          <w:rFonts w:eastAsia="仿宋_GB2312"/>
          <w:sz w:val="30"/>
          <w:szCs w:val="30"/>
        </w:rPr>
      </w:pPr>
      <w:r>
        <w:rPr>
          <w:rFonts w:eastAsia="楷体"/>
          <w:sz w:val="30"/>
          <w:szCs w:val="30"/>
        </w:rPr>
        <w:t>严格控制农业面源污染。</w:t>
      </w:r>
      <w:r>
        <w:rPr>
          <w:rFonts w:eastAsia="仿宋_GB2312"/>
          <w:sz w:val="30"/>
          <w:szCs w:val="30"/>
        </w:rPr>
        <w:t>强化农业面源污染防控标准化体系建设，执行测土配方、控药减肥等技术规范。</w:t>
      </w:r>
      <w:r>
        <w:rPr>
          <w:rFonts w:hint="eastAsia" w:eastAsia="仿宋_GB2312"/>
          <w:sz w:val="30"/>
          <w:szCs w:val="30"/>
        </w:rPr>
        <w:t>深化</w:t>
      </w:r>
      <w:r>
        <w:rPr>
          <w:rFonts w:eastAsia="仿宋_GB2312"/>
          <w:sz w:val="30"/>
          <w:szCs w:val="30"/>
        </w:rPr>
        <w:t>“肥药两制”改革，</w:t>
      </w:r>
      <w:r>
        <w:rPr>
          <w:rFonts w:hint="eastAsia" w:eastAsia="仿宋_GB2312"/>
          <w:sz w:val="30"/>
          <w:szCs w:val="30"/>
        </w:rPr>
        <w:t>推行</w:t>
      </w:r>
      <w:r>
        <w:rPr>
          <w:rFonts w:eastAsia="仿宋_GB2312"/>
          <w:sz w:val="30"/>
          <w:szCs w:val="30"/>
        </w:rPr>
        <w:t>化肥农药实名制购买和定额制施用，推广水肥一体化、种肥同播、机械施肥等高效施肥技术，加快技术集成与推广应用，保持水稻等主要农作物化肥施用量零增长。实施绿色农业行动，推进综合种养、农作物病虫害绿色防控和农业废弃物资源化利用。</w:t>
      </w:r>
      <w:r>
        <w:rPr>
          <w:rFonts w:hint="eastAsia" w:eastAsia="仿宋_GB2312"/>
          <w:sz w:val="30"/>
          <w:szCs w:val="30"/>
        </w:rPr>
        <w:t>到2025年，全区单位播种面积农药使用强度控制在0.17千克/亩。</w:t>
      </w:r>
    </w:p>
    <w:p>
      <w:pPr>
        <w:spacing w:line="560" w:lineRule="exact"/>
        <w:ind w:firstLine="600" w:firstLineChars="200"/>
        <w:rPr>
          <w:rFonts w:hint="eastAsia" w:eastAsia="仿宋_GB2312"/>
          <w:sz w:val="30"/>
          <w:szCs w:val="30"/>
        </w:rPr>
      </w:pPr>
      <w:r>
        <w:rPr>
          <w:rFonts w:hint="eastAsia" w:eastAsia="楷体"/>
          <w:sz w:val="30"/>
          <w:szCs w:val="30"/>
        </w:rPr>
        <w:t>加强农田氮磷拦截生态系统建设</w:t>
      </w:r>
      <w:r>
        <w:rPr>
          <w:rFonts w:hint="eastAsia" w:eastAsia="仿宋_GB2312"/>
          <w:sz w:val="30"/>
          <w:szCs w:val="30"/>
        </w:rPr>
        <w:t>。推进农田尾水“零排放”，充分利用现有沟、塘、窖等，建设生态沟渠、地表径流集蓄与再利用设施，有效拦截和消纳农田退水和农村生活污水中各类有机污染物，净化农田退水及地表径流构建“源头减量-循环利用-过程拦截-末端治理”系统治理体系。加强灌溉水质监测与管理，严禁用未经处理的工业和城市污水灌溉农田。</w:t>
      </w:r>
    </w:p>
    <w:p>
      <w:pPr>
        <w:spacing w:line="560" w:lineRule="exact"/>
        <w:ind w:firstLine="602" w:firstLineChars="200"/>
        <w:rPr>
          <w:rFonts w:eastAsia="仿宋_GB2312"/>
          <w:sz w:val="30"/>
          <w:szCs w:val="30"/>
        </w:rPr>
      </w:pPr>
      <w:r>
        <w:rPr>
          <w:rFonts w:hint="eastAsia" w:ascii="仿宋_GB2312" w:hAnsi="仿宋_GB2312" w:eastAsia="仿宋_GB2312" w:cs="仿宋_GB2312"/>
          <w:b/>
          <w:bCs/>
          <w:sz w:val="30"/>
          <w:szCs w:val="30"/>
        </w:rPr>
        <w:t>5、加强船舶码头污染防治</w:t>
      </w:r>
    </w:p>
    <w:p>
      <w:pPr>
        <w:spacing w:line="560" w:lineRule="exact"/>
        <w:ind w:firstLine="600" w:firstLineChars="200"/>
        <w:rPr>
          <w:u w:val="single"/>
        </w:rPr>
      </w:pPr>
      <w:r>
        <w:rPr>
          <w:rFonts w:eastAsia="楷体"/>
          <w:sz w:val="30"/>
          <w:szCs w:val="30"/>
        </w:rPr>
        <w:t>加强码头污水垃圾收集转运设施建设与运营监管。</w:t>
      </w:r>
      <w:r>
        <w:rPr>
          <w:rFonts w:eastAsia="仿宋_GB2312"/>
          <w:sz w:val="30"/>
          <w:szCs w:val="30"/>
        </w:rPr>
        <w:t>健全航道岸线污水垃圾收集转运体系，推行船舶污染物集中接收转运和小型船舶“船上储存、交岸处置”为主的治理模式。推进污水、垃圾收集转运装置建设，重点排查并规范京杭运河沿线企业自用码头。建立码头台账，不定期抽查抽测污水、垃圾收集转运和排放情况。</w:t>
      </w:r>
    </w:p>
    <w:p>
      <w:pPr>
        <w:spacing w:line="560" w:lineRule="exact"/>
        <w:ind w:firstLine="600" w:firstLineChars="200"/>
        <w:rPr>
          <w:rFonts w:eastAsia="仿宋_GB2312"/>
          <w:sz w:val="30"/>
          <w:szCs w:val="30"/>
        </w:rPr>
      </w:pPr>
      <w:r>
        <w:rPr>
          <w:rFonts w:eastAsia="楷体"/>
          <w:sz w:val="30"/>
          <w:szCs w:val="30"/>
        </w:rPr>
        <w:t>规范港口码头雨污分流建设。</w:t>
      </w:r>
      <w:r>
        <w:rPr>
          <w:rFonts w:eastAsia="仿宋_GB2312"/>
          <w:sz w:val="30"/>
          <w:szCs w:val="30"/>
        </w:rPr>
        <w:t>排查整治京杭运河等航道沿线临时堆场、散货码头、砂石码头等雨污分流情况，实施清单化管理。推行码头现代化建设，严格排查物料散货沿岸散堆现象，强化扬尘管控，杜绝船舶装卸过程中的物料撒漏现象。</w:t>
      </w:r>
    </w:p>
    <w:p>
      <w:pPr>
        <w:spacing w:line="560" w:lineRule="exact"/>
        <w:ind w:firstLine="600" w:firstLineChars="200"/>
        <w:rPr>
          <w:rFonts w:eastAsia="仿宋_GB2312"/>
          <w:sz w:val="30"/>
          <w:szCs w:val="30"/>
        </w:rPr>
      </w:pPr>
      <w:r>
        <w:rPr>
          <w:rFonts w:eastAsia="楷体"/>
          <w:sz w:val="30"/>
          <w:szCs w:val="30"/>
        </w:rPr>
        <w:t>强化船舶污染依法治理与监管教育。</w:t>
      </w:r>
      <w:r>
        <w:rPr>
          <w:rFonts w:eastAsia="仿宋_GB2312"/>
          <w:sz w:val="30"/>
          <w:szCs w:val="30"/>
        </w:rPr>
        <w:t>严格执行《船舶水污染物排放控制标准》，推进不达标船舶升级改造。持续推进船舶污水柜安装，推进液化天然气、电能等清洁能源或新能源使用。开展船主污水垃圾收集转运培训及宣传教育。完善船舶注册登记台账，扎实做好长江经济带船舶水污染物联合监管与服务信息系统推广应用。强化航道限速、限载及污水垃圾倾倒行为监管。各航道严格控制航行船舶等级，对过往货船实行严格监控，严禁船舶超载、超航区、超航线航行。提升重点航道“智慧港航”覆盖度，强化航道限速管控和执法监管。</w:t>
      </w:r>
    </w:p>
    <w:p>
      <w:pPr>
        <w:pStyle w:val="3"/>
        <w:keepNext/>
        <w:keepLines/>
        <w:numPr>
          <w:ilvl w:val="0"/>
          <w:numId w:val="13"/>
        </w:numPr>
        <w:rPr>
          <w:rFonts w:eastAsia="楷体"/>
          <w:b/>
        </w:rPr>
      </w:pPr>
      <w:bookmarkStart w:id="49" w:name="_Toc71899946"/>
      <w:r>
        <w:rPr>
          <w:rFonts w:eastAsia="楷体"/>
          <w:b/>
        </w:rPr>
        <w:t>推进水生态修复</w:t>
      </w:r>
      <w:bookmarkEnd w:id="49"/>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1、强化河湖岸线保护修复</w:t>
      </w:r>
    </w:p>
    <w:p>
      <w:pPr>
        <w:spacing w:line="560" w:lineRule="exact"/>
        <w:ind w:firstLine="600" w:firstLineChars="200"/>
        <w:rPr>
          <w:rFonts w:eastAsia="仿宋_GB2312"/>
          <w:sz w:val="30"/>
          <w:szCs w:val="30"/>
        </w:rPr>
      </w:pPr>
      <w:r>
        <w:rPr>
          <w:rFonts w:eastAsia="楷体"/>
          <w:sz w:val="30"/>
          <w:szCs w:val="30"/>
        </w:rPr>
        <w:t>严格河湖生态空间管控。</w:t>
      </w:r>
      <w:r>
        <w:rPr>
          <w:rFonts w:eastAsia="仿宋_GB2312"/>
          <w:sz w:val="30"/>
          <w:szCs w:val="30"/>
        </w:rPr>
        <w:t>建立完善河湖空间管理制度，推行河湖水域岸线规划刚性约束、河湖健康评价、河湖水域常态化监管、涉河项目批后监管等制度。严格大运河岸线生态空间准入，实行空间准入负面清单管理制度，严格控制大运河沿线景区景点、历史文化名镇名村和传统村落、特色小镇等周边生态空间占用。严格河湖水域保护，禁止非法侵占河湖水域。科学划定河湖管理范围，在完成河湖水域调查的基础上，加快完成重要河湖岸线保护与利用规划编制，科学划分功能分区。深化河湖库保护数字化建设，强化水域岸线监管。到2025年，</w:t>
      </w:r>
      <w:r>
        <w:rPr>
          <w:rFonts w:hint="eastAsia" w:eastAsia="仿宋_GB2312"/>
          <w:sz w:val="30"/>
          <w:szCs w:val="30"/>
        </w:rPr>
        <w:t>水域面积率达到13.52%</w:t>
      </w:r>
      <w:r>
        <w:rPr>
          <w:rFonts w:eastAsia="仿宋_GB2312"/>
          <w:sz w:val="30"/>
          <w:szCs w:val="30"/>
        </w:rPr>
        <w:t>。</w:t>
      </w:r>
    </w:p>
    <w:p>
      <w:pPr>
        <w:spacing w:line="560" w:lineRule="exact"/>
        <w:ind w:firstLine="600" w:firstLineChars="200"/>
        <w:rPr>
          <w:rFonts w:eastAsia="仿宋_GB2312"/>
          <w:sz w:val="30"/>
          <w:szCs w:val="30"/>
        </w:rPr>
      </w:pPr>
      <w:r>
        <w:rPr>
          <w:rFonts w:eastAsia="楷体"/>
          <w:sz w:val="30"/>
          <w:szCs w:val="30"/>
        </w:rPr>
        <w:t>实施生态缓冲带划定和保护修复。</w:t>
      </w:r>
      <w:r>
        <w:rPr>
          <w:rFonts w:eastAsia="仿宋_GB2312"/>
          <w:sz w:val="30"/>
          <w:szCs w:val="30"/>
        </w:rPr>
        <w:t>开展河湖岸线保护与利用现状调查评估，优先将河湖生态缓冲带纳入岸线保护区和保留区。参照浙江省河流、湖泊生态缓冲带划分与生态修复技术指南，保护生态缓冲带现有林地、草地、滩地，因地制宜实施生态修复措施。城镇、农业面源突出区域实施多梯度生态缓冲带。以省控以上断面所在水体为重点开展生态缓冲带建设，重点建设</w:t>
      </w:r>
      <w:r>
        <w:rPr>
          <w:rFonts w:hint="eastAsia" w:eastAsia="仿宋_GB2312"/>
          <w:sz w:val="30"/>
          <w:szCs w:val="30"/>
        </w:rPr>
        <w:t>南浔经济开发区北部</w:t>
      </w:r>
      <w:r>
        <w:rPr>
          <w:rFonts w:eastAsia="仿宋_GB2312"/>
          <w:sz w:val="30"/>
          <w:szCs w:val="30"/>
        </w:rPr>
        <w:t>及菱湖镇片区、善琏镇片区、南浔镇片区生态缓冲带。每三至五年开展一次缓冲带生态状况监测与评估。到2025年，建设、修复河湖生态缓冲带不少于36公里。</w:t>
      </w:r>
    </w:p>
    <w:p>
      <w:pPr>
        <w:spacing w:line="560" w:lineRule="exact"/>
        <w:ind w:firstLine="602" w:firstLineChars="200"/>
        <w:rPr>
          <w:rFonts w:eastAsia="仿宋_GB2312"/>
          <w:sz w:val="30"/>
          <w:szCs w:val="30"/>
        </w:rPr>
      </w:pPr>
      <w:r>
        <w:rPr>
          <w:rFonts w:hint="eastAsia" w:ascii="仿宋_GB2312" w:hAnsi="仿宋_GB2312" w:eastAsia="仿宋_GB2312" w:cs="仿宋_GB2312"/>
          <w:b/>
          <w:bCs/>
          <w:sz w:val="30"/>
          <w:szCs w:val="30"/>
        </w:rPr>
        <w:t>2、推进湿地生态系统恢复</w:t>
      </w:r>
    </w:p>
    <w:p>
      <w:pPr>
        <w:spacing w:line="560" w:lineRule="exact"/>
        <w:ind w:firstLine="600" w:firstLineChars="200"/>
        <w:rPr>
          <w:rFonts w:eastAsia="仿宋_GB2312"/>
          <w:sz w:val="30"/>
          <w:szCs w:val="30"/>
        </w:rPr>
      </w:pPr>
      <w:r>
        <w:rPr>
          <w:rFonts w:eastAsia="楷体"/>
          <w:sz w:val="30"/>
          <w:szCs w:val="30"/>
        </w:rPr>
        <w:t>实施湿地面积总量管控</w:t>
      </w:r>
      <w:r>
        <w:rPr>
          <w:rFonts w:eastAsia="仿宋_GB2312"/>
          <w:sz w:val="30"/>
          <w:szCs w:val="30"/>
        </w:rPr>
        <w:t>。严管建设开发侵占自然湿地，保证湿地生态系统完整性。在符合国土空间规划的前提下，采取湿地封育保护、退耕还湿、湿地生态补水、生物栖息地恢复与重建等恢复重点湖库、河流沿岸湿地面积，恢复湿地生态功能，保护原生特色湿地景观。</w:t>
      </w:r>
    </w:p>
    <w:p>
      <w:pPr>
        <w:spacing w:line="560" w:lineRule="exact"/>
        <w:ind w:firstLine="600" w:firstLineChars="200"/>
        <w:rPr>
          <w:rFonts w:eastAsia="仿宋_GB2312"/>
          <w:sz w:val="30"/>
          <w:szCs w:val="30"/>
        </w:rPr>
      </w:pPr>
      <w:r>
        <w:rPr>
          <w:rFonts w:eastAsia="楷体"/>
          <w:sz w:val="30"/>
          <w:szCs w:val="30"/>
        </w:rPr>
        <w:t>加强湿地生态系统分级管控</w:t>
      </w:r>
      <w:r>
        <w:rPr>
          <w:rFonts w:eastAsia="仿宋_GB2312"/>
          <w:sz w:val="30"/>
          <w:szCs w:val="30"/>
        </w:rPr>
        <w:t>。对重要湿地和一般湿地实行分级管控，系统保护湿地景观及野生动植物物种，维护湿地生态系统生物多样性。</w:t>
      </w:r>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3、恢复河湖水下生态系统</w:t>
      </w:r>
    </w:p>
    <w:p>
      <w:pPr>
        <w:spacing w:line="560" w:lineRule="exact"/>
        <w:ind w:firstLine="600" w:firstLineChars="200"/>
        <w:rPr>
          <w:rFonts w:eastAsia="仿宋_GB2312"/>
          <w:sz w:val="30"/>
          <w:szCs w:val="30"/>
        </w:rPr>
      </w:pPr>
      <w:r>
        <w:rPr>
          <w:rFonts w:eastAsia="楷体"/>
          <w:sz w:val="30"/>
          <w:szCs w:val="30"/>
        </w:rPr>
        <w:t>大力恢复水生植被。</w:t>
      </w:r>
      <w:r>
        <w:rPr>
          <w:rFonts w:eastAsia="仿宋_GB2312"/>
          <w:sz w:val="30"/>
          <w:szCs w:val="30"/>
        </w:rPr>
        <w:t>因地制宜培育与恢复河湖沉水植物、挺水植物、浮水植物，着力提升马来眼子菜、金鱼藻等土著水生植物数量，恢复水生植物多样性和覆盖度。重点开展</w:t>
      </w:r>
      <w:r>
        <w:rPr>
          <w:rFonts w:hint="eastAsia" w:eastAsia="仿宋_GB2312"/>
          <w:sz w:val="30"/>
          <w:szCs w:val="30"/>
        </w:rPr>
        <w:t>南浔经济开发区北部、</w:t>
      </w:r>
      <w:r>
        <w:rPr>
          <w:rFonts w:eastAsia="仿宋_GB2312"/>
          <w:sz w:val="30"/>
          <w:szCs w:val="30"/>
        </w:rPr>
        <w:t>南浔古镇片区</w:t>
      </w:r>
      <w:r>
        <w:rPr>
          <w:rFonts w:hint="eastAsia" w:eastAsia="仿宋_GB2312"/>
          <w:sz w:val="30"/>
          <w:szCs w:val="30"/>
        </w:rPr>
        <w:t>、双林古镇片区</w:t>
      </w:r>
      <w:r>
        <w:rPr>
          <w:rFonts w:eastAsia="仿宋_GB2312"/>
          <w:sz w:val="30"/>
          <w:szCs w:val="30"/>
        </w:rPr>
        <w:t>水系等水生植被修复。</w:t>
      </w:r>
    </w:p>
    <w:p>
      <w:pPr>
        <w:spacing w:line="560" w:lineRule="exact"/>
        <w:ind w:firstLine="600" w:firstLineChars="200"/>
        <w:rPr>
          <w:color w:val="3D3D3D"/>
          <w:szCs w:val="21"/>
        </w:rPr>
      </w:pPr>
      <w:r>
        <w:rPr>
          <w:rFonts w:eastAsia="楷体"/>
          <w:sz w:val="30"/>
          <w:szCs w:val="30"/>
        </w:rPr>
        <w:t>加强生物多样性保护</w:t>
      </w:r>
      <w:r>
        <w:rPr>
          <w:rFonts w:eastAsia="仿宋_GB2312"/>
          <w:sz w:val="30"/>
          <w:szCs w:val="30"/>
        </w:rPr>
        <w:t>。</w:t>
      </w:r>
      <w:r>
        <w:rPr>
          <w:rFonts w:hint="eastAsia" w:eastAsia="仿宋_GB2312"/>
          <w:sz w:val="30"/>
          <w:szCs w:val="30"/>
        </w:rPr>
        <w:t>以和孚漾为试点，开展平原水乡水生生物多样性调查，进一步探索水生生物多样性现状、存在的问题及保护措施</w:t>
      </w:r>
      <w:r>
        <w:rPr>
          <w:rFonts w:eastAsia="仿宋_GB2312"/>
          <w:sz w:val="30"/>
          <w:szCs w:val="30"/>
        </w:rPr>
        <w:t>。</w:t>
      </w:r>
      <w:r>
        <w:rPr>
          <w:rFonts w:hint="eastAsia" w:eastAsia="仿宋_GB2312"/>
          <w:sz w:val="30"/>
          <w:szCs w:val="30"/>
        </w:rPr>
        <w:t>加强对生物多样性维护类保护红线区域的管理，严格落实负面清单管控，进一步减轻生态系统受到的来自城镇化和工业化的压力，减缓生物多样性丧失，为生物多样性维护和稳定创造条件。建立多部门、跨区域协调联动的水生生物资源保护机制，实现数据共享，构建生物多样性监测、评估和决策支持系统。推进水葫芦、福寿螺等水生态外来入侵物种综合治理，科学开展增殖放流。</w:t>
      </w:r>
    </w:p>
    <w:p>
      <w:pPr>
        <w:pStyle w:val="3"/>
        <w:keepNext/>
        <w:keepLines/>
        <w:numPr>
          <w:ilvl w:val="0"/>
          <w:numId w:val="13"/>
        </w:numPr>
        <w:rPr>
          <w:rFonts w:eastAsia="楷体"/>
          <w:b/>
        </w:rPr>
      </w:pPr>
      <w:bookmarkStart w:id="50" w:name="_Toc71899947"/>
      <w:r>
        <w:rPr>
          <w:rFonts w:eastAsia="楷体"/>
          <w:b/>
        </w:rPr>
        <w:t>深化水资源保障</w:t>
      </w:r>
      <w:bookmarkEnd w:id="50"/>
    </w:p>
    <w:p>
      <w:pPr>
        <w:spacing w:line="560" w:lineRule="exact"/>
        <w:ind w:firstLine="602" w:firstLineChars="200"/>
        <w:rPr>
          <w:rFonts w:eastAsia="仿宋_GB2312"/>
          <w:sz w:val="30"/>
          <w:szCs w:val="30"/>
        </w:rPr>
      </w:pPr>
      <w:r>
        <w:rPr>
          <w:rFonts w:hint="eastAsia" w:ascii="仿宋_GB2312" w:hAnsi="仿宋_GB2312" w:eastAsia="仿宋_GB2312" w:cs="仿宋_GB2312"/>
          <w:b/>
          <w:bCs/>
          <w:sz w:val="30"/>
          <w:szCs w:val="30"/>
        </w:rPr>
        <w:t>1、完善生态水量保障体系</w:t>
      </w:r>
    </w:p>
    <w:p>
      <w:pPr>
        <w:spacing w:line="560" w:lineRule="exact"/>
        <w:ind w:firstLine="600" w:firstLineChars="200"/>
        <w:rPr>
          <w:rFonts w:eastAsia="仿宋_GB2312"/>
          <w:sz w:val="30"/>
          <w:szCs w:val="30"/>
        </w:rPr>
      </w:pPr>
      <w:r>
        <w:rPr>
          <w:rFonts w:eastAsia="楷体"/>
          <w:sz w:val="30"/>
          <w:szCs w:val="30"/>
        </w:rPr>
        <w:t>建立生态水量目标及达标考核机制</w:t>
      </w:r>
      <w:r>
        <w:rPr>
          <w:rFonts w:eastAsia="仿宋_GB2312"/>
          <w:sz w:val="30"/>
          <w:szCs w:val="30"/>
        </w:rPr>
        <w:t>。制定重点河流生态水量目标，明确考核断面。制定生态水量考核要求与考核办法，提升生态流量监测能力，健全生态流量保障机制，定期开展生态流量监测。</w:t>
      </w:r>
    </w:p>
    <w:p>
      <w:pPr>
        <w:spacing w:line="560" w:lineRule="exact"/>
        <w:ind w:firstLine="600" w:firstLineChars="200"/>
        <w:rPr>
          <w:rFonts w:eastAsia="仿宋_GB2312"/>
          <w:sz w:val="30"/>
          <w:szCs w:val="30"/>
        </w:rPr>
      </w:pPr>
      <w:r>
        <w:rPr>
          <w:rFonts w:eastAsia="楷体"/>
          <w:sz w:val="30"/>
          <w:szCs w:val="30"/>
        </w:rPr>
        <w:t>加强河湖水系连通</w:t>
      </w:r>
      <w:r>
        <w:rPr>
          <w:rFonts w:eastAsia="仿宋_GB2312"/>
          <w:sz w:val="30"/>
          <w:szCs w:val="30"/>
        </w:rPr>
        <w:t>。按照“三洁、四点、五性”的要求，全面构建河湖自然连通的水网格局。持续开展河网水系综合治理，重点实施南浔古镇水系连通，推进嘉业河、草荡漾、金象湖等水系河道疏浚工程，增强平原地区水体流动，提高水体自净能力和水环境承载力。开展南浔区活水畅流研究，启动全区大循环、城区中循环、农村圩区小循环的活水体系建设。</w:t>
      </w:r>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2、提高再生水利用水平</w:t>
      </w:r>
    </w:p>
    <w:p>
      <w:pPr>
        <w:spacing w:line="560" w:lineRule="exact"/>
        <w:ind w:firstLine="600" w:firstLineChars="200"/>
        <w:rPr>
          <w:rFonts w:eastAsia="仿宋_GB2312"/>
          <w:sz w:val="30"/>
          <w:szCs w:val="30"/>
        </w:rPr>
      </w:pPr>
      <w:r>
        <w:rPr>
          <w:rFonts w:eastAsia="楷体"/>
          <w:sz w:val="30"/>
          <w:szCs w:val="30"/>
        </w:rPr>
        <w:t>提高再生水利用水平</w:t>
      </w:r>
      <w:r>
        <w:rPr>
          <w:rFonts w:eastAsia="仿宋_GB2312"/>
          <w:sz w:val="30"/>
          <w:szCs w:val="30"/>
        </w:rPr>
        <w:t>。加快推进污水处理厂尾水再生利用设施建设和工业再生水利用，鼓励污水处理厂高质量尾水作为生态补水，推进人工湿地水质净化工程和再生水调蓄设施建设任务，构建“截、蓄、导、用”并举的区域再生水循环利用体系。推动非常规水纳入水资源统一配置，鼓励河道微污染水体进一步改善后作为生态、生产、生活补充用水，纳入水资源调配管理体系。</w:t>
      </w:r>
    </w:p>
    <w:p>
      <w:pPr>
        <w:spacing w:line="560" w:lineRule="exact"/>
        <w:ind w:firstLine="602" w:firstLineChars="200"/>
        <w:rPr>
          <w:rFonts w:eastAsia="仿宋_GB2312"/>
          <w:sz w:val="30"/>
          <w:szCs w:val="30"/>
        </w:rPr>
      </w:pPr>
      <w:r>
        <w:rPr>
          <w:rFonts w:hint="eastAsia" w:ascii="仿宋_GB2312" w:hAnsi="仿宋_GB2312" w:eastAsia="仿宋_GB2312" w:cs="仿宋_GB2312"/>
          <w:b/>
          <w:bCs/>
          <w:sz w:val="30"/>
          <w:szCs w:val="30"/>
        </w:rPr>
        <w:t>3、推进全域节水</w:t>
      </w:r>
    </w:p>
    <w:p>
      <w:pPr>
        <w:spacing w:line="560" w:lineRule="exact"/>
        <w:ind w:firstLine="600" w:firstLineChars="200"/>
        <w:rPr>
          <w:rFonts w:eastAsia="仿宋_GB2312"/>
          <w:sz w:val="30"/>
          <w:szCs w:val="30"/>
        </w:rPr>
      </w:pPr>
      <w:r>
        <w:rPr>
          <w:rFonts w:eastAsia="楷体"/>
          <w:sz w:val="30"/>
          <w:szCs w:val="30"/>
        </w:rPr>
        <w:t>实施南浔区节水行动。</w:t>
      </w:r>
      <w:r>
        <w:rPr>
          <w:rFonts w:eastAsia="仿宋_GB2312"/>
          <w:sz w:val="30"/>
          <w:szCs w:val="30"/>
        </w:rPr>
        <w:t>推进“六大行动”，开展“五项改革”，完善“三大保障”，通过标杆引领和宣传教育，增强全社会节水意识，促进用水方式由粗放向节约集约转变，争创实施国家节水行动的标杆县域，到2025年，全区用水总量控制在</w:t>
      </w:r>
      <w:r>
        <w:rPr>
          <w:rFonts w:hint="eastAsia" w:eastAsia="仿宋_GB2312"/>
          <w:sz w:val="30"/>
          <w:szCs w:val="30"/>
        </w:rPr>
        <w:t>3.9</w:t>
      </w:r>
      <w:r>
        <w:rPr>
          <w:rFonts w:eastAsia="仿宋_GB2312"/>
          <w:sz w:val="30"/>
          <w:szCs w:val="30"/>
        </w:rPr>
        <w:t>亿立方米，万元地区生产总值用水量、万元工业增加值用水量较2020年分别下降</w:t>
      </w:r>
      <w:r>
        <w:rPr>
          <w:rFonts w:hint="eastAsia" w:eastAsia="仿宋_GB2312"/>
          <w:sz w:val="30"/>
          <w:szCs w:val="30"/>
        </w:rPr>
        <w:t>10</w:t>
      </w:r>
      <w:r>
        <w:rPr>
          <w:rFonts w:eastAsia="仿宋_GB2312"/>
          <w:sz w:val="30"/>
          <w:szCs w:val="30"/>
        </w:rPr>
        <w:t>%和</w:t>
      </w:r>
      <w:r>
        <w:rPr>
          <w:rFonts w:hint="eastAsia" w:eastAsia="仿宋_GB2312"/>
          <w:sz w:val="30"/>
          <w:szCs w:val="30"/>
        </w:rPr>
        <w:t>10</w:t>
      </w:r>
      <w:r>
        <w:rPr>
          <w:rFonts w:eastAsia="仿宋_GB2312"/>
          <w:sz w:val="30"/>
          <w:szCs w:val="30"/>
        </w:rPr>
        <w:t>%以上。实施工业节水改造</w:t>
      </w:r>
      <w:r>
        <w:rPr>
          <w:rFonts w:hint="eastAsia" w:eastAsia="仿宋_GB2312"/>
          <w:sz w:val="30"/>
          <w:szCs w:val="30"/>
        </w:rPr>
        <w:t>，</w:t>
      </w:r>
      <w:r>
        <w:rPr>
          <w:rFonts w:eastAsia="仿宋_GB2312"/>
          <w:sz w:val="30"/>
          <w:szCs w:val="30"/>
        </w:rPr>
        <w:t>推行水循环梯级利用</w:t>
      </w:r>
      <w:r>
        <w:rPr>
          <w:rFonts w:hint="eastAsia" w:eastAsia="仿宋_GB2312"/>
          <w:sz w:val="30"/>
          <w:szCs w:val="30"/>
        </w:rPr>
        <w:t>。</w:t>
      </w:r>
      <w:r>
        <w:rPr>
          <w:rFonts w:eastAsia="仿宋_GB2312"/>
          <w:sz w:val="30"/>
          <w:szCs w:val="30"/>
        </w:rPr>
        <w:t>推进农业节水增效，推广管灌、喷灌、薄露灌溉等高效节水灌溉和水肥一体化灌溉技术，推进中型灌区节水改造，因地制宜优化调整农业种植结构。推进规模化畜禽、水产养殖场节水改造，推广节水型饲喂装置、机械干清粪等技术和稻鱼综合种养、池塘内循环跑道养鱼等模式。逐步规范种植和养殖生产取水用水和计量监测，到2025年，农田灌溉水有效利用系数提高到</w:t>
      </w:r>
      <w:r>
        <w:rPr>
          <w:rFonts w:hint="eastAsia" w:eastAsia="仿宋_GB2312"/>
          <w:sz w:val="30"/>
          <w:szCs w:val="30"/>
        </w:rPr>
        <w:t>0.62</w:t>
      </w:r>
      <w:r>
        <w:rPr>
          <w:rFonts w:eastAsia="仿宋_GB2312"/>
          <w:sz w:val="30"/>
          <w:szCs w:val="30"/>
        </w:rPr>
        <w:t>以上。</w:t>
      </w:r>
    </w:p>
    <w:p>
      <w:pPr>
        <w:pStyle w:val="3"/>
        <w:keepNext/>
        <w:keepLines/>
        <w:numPr>
          <w:ilvl w:val="0"/>
          <w:numId w:val="13"/>
        </w:numPr>
        <w:rPr>
          <w:rFonts w:eastAsia="楷体"/>
          <w:b/>
        </w:rPr>
      </w:pPr>
      <w:bookmarkStart w:id="51" w:name="_Toc71899948"/>
      <w:r>
        <w:rPr>
          <w:rFonts w:eastAsia="楷体"/>
          <w:b/>
        </w:rPr>
        <w:t>加强水环境风险防控</w:t>
      </w:r>
      <w:bookmarkEnd w:id="51"/>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1、加强风险评估预警</w:t>
      </w:r>
    </w:p>
    <w:p>
      <w:pPr>
        <w:spacing w:line="560" w:lineRule="exact"/>
        <w:ind w:firstLine="600" w:firstLineChars="200"/>
        <w:rPr>
          <w:rFonts w:eastAsia="仿宋_GB2312"/>
          <w:sz w:val="30"/>
          <w:szCs w:val="30"/>
        </w:rPr>
      </w:pPr>
      <w:r>
        <w:rPr>
          <w:rFonts w:eastAsia="楷体"/>
          <w:sz w:val="30"/>
          <w:szCs w:val="30"/>
        </w:rPr>
        <w:t>加强环境风险调查评估。</w:t>
      </w:r>
      <w:r>
        <w:rPr>
          <w:rFonts w:eastAsia="仿宋_GB2312"/>
          <w:sz w:val="30"/>
          <w:szCs w:val="30"/>
        </w:rPr>
        <w:t>开展全区环境风险评估，编制风险源清单。以电镀、金属加工、化工等涉重金属和危险废物重点企业、工业集聚区及污水处理厂为重点，开展受纳水体底泥重金属等有毒有害污染物或持久性有机污染物风险调查评估。到2025年，建立全区累积性风险基础数据库。</w:t>
      </w:r>
    </w:p>
    <w:p>
      <w:pPr>
        <w:spacing w:line="560" w:lineRule="exact"/>
        <w:ind w:firstLine="600" w:firstLineChars="200"/>
        <w:rPr>
          <w:rFonts w:eastAsia="仿宋_GB2312"/>
          <w:sz w:val="30"/>
          <w:szCs w:val="30"/>
        </w:rPr>
      </w:pPr>
      <w:r>
        <w:rPr>
          <w:rFonts w:eastAsia="楷体"/>
          <w:sz w:val="30"/>
          <w:szCs w:val="30"/>
        </w:rPr>
        <w:t>强化环境风险预警</w:t>
      </w:r>
      <w:r>
        <w:rPr>
          <w:rFonts w:eastAsia="仿宋_GB2312"/>
          <w:sz w:val="30"/>
          <w:szCs w:val="30"/>
        </w:rPr>
        <w:t>。强化重点排污单位风险防范措施落实情况监督检查，加强排放有毒有害污染物的企事业单位信息公开和环境风险预警体系建设。将涉环境风险物质运输载具和运输道路纳入环境风险源清单，提升风险源企业、运载车辆及船舶风险事故防范能力，加装运输工具卫星定位系统，登记报备运输路线及运输时段，加严运输人员资质要求和应急培训。</w:t>
      </w:r>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2、强化风险应急处置</w:t>
      </w:r>
    </w:p>
    <w:p>
      <w:pPr>
        <w:spacing w:line="560" w:lineRule="exact"/>
        <w:ind w:firstLine="600" w:firstLineChars="200"/>
        <w:rPr>
          <w:rFonts w:eastAsia="仿宋_GB2312"/>
          <w:sz w:val="30"/>
          <w:szCs w:val="30"/>
        </w:rPr>
      </w:pPr>
      <w:r>
        <w:rPr>
          <w:rFonts w:eastAsia="楷体"/>
          <w:sz w:val="30"/>
          <w:szCs w:val="30"/>
        </w:rPr>
        <w:t>提升环境应急处置能力。</w:t>
      </w:r>
      <w:r>
        <w:rPr>
          <w:rFonts w:eastAsia="仿宋_GB2312"/>
          <w:sz w:val="30"/>
          <w:szCs w:val="30"/>
        </w:rPr>
        <w:t>健全政府、企业和跨区域突发环境事件应急预案体系，加强应急演练，杜绝重、特大突发环境事件发生。加强环境应急处置规范化建设，探索建立环境应急专员制度，推进应急物资储备体系与专业化应急救援队伍建设。强化区域、企业环境应急演练和考核，开展“检验性拉练”演习。健全环境应急管理指挥体系，加强应急、公安、消防、水利、交通运输、城市建设、生态环境等部门间的应急联动，推进跨行政区域、跨流域上下游环境应急联动机制建设，提高信息互通、资源共享和协同处置能力。</w:t>
      </w:r>
    </w:p>
    <w:p>
      <w:pPr>
        <w:pStyle w:val="3"/>
        <w:keepNext/>
        <w:keepLines/>
        <w:numPr>
          <w:ilvl w:val="0"/>
          <w:numId w:val="13"/>
        </w:numPr>
        <w:rPr>
          <w:rFonts w:eastAsia="楷体"/>
          <w:b/>
        </w:rPr>
      </w:pPr>
      <w:bookmarkStart w:id="52" w:name="_Toc71899949"/>
      <w:r>
        <w:rPr>
          <w:rFonts w:eastAsia="楷体"/>
          <w:b/>
        </w:rPr>
        <w:t>丰富治水文化内涵</w:t>
      </w:r>
      <w:bookmarkEnd w:id="52"/>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1、培育、宣传治水文化。</w:t>
      </w:r>
    </w:p>
    <w:p>
      <w:pPr>
        <w:spacing w:line="560" w:lineRule="exact"/>
        <w:ind w:firstLine="600" w:firstLineChars="200"/>
        <w:rPr>
          <w:rFonts w:eastAsia="仿宋_GB2312"/>
          <w:sz w:val="30"/>
          <w:szCs w:val="30"/>
        </w:rPr>
      </w:pPr>
      <w:r>
        <w:rPr>
          <w:rFonts w:eastAsia="仿宋_GB2312"/>
          <w:sz w:val="30"/>
          <w:szCs w:val="30"/>
        </w:rPr>
        <w:t>开展治水物质与非物质文化挖掘整理与研究保护，研究河湖水系变迁规律，汲取传统治水智慧经验，传承河湖管理保护技术，实现传统水文化创造性转化和创新性发展。开展治水系列宣传教育，推进水文化宣传教育进机关、进乡村、进社区、进学校、进企业、进家庭，倡导绿色生活新风尚，推进公民爱水行为自我规范，践行绿色发展新理念，参与水生态环境保护公益活动，构建全民爱水节水护水行动体系。培育运河文化、桑基鱼塘等南浔特色的水生态文化，推动生态文化基地建设。</w:t>
      </w:r>
    </w:p>
    <w:p>
      <w:pPr>
        <w:spacing w:line="560" w:lineRule="exact"/>
        <w:ind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2、推进水生态产品价值实现。</w:t>
      </w:r>
    </w:p>
    <w:p>
      <w:pPr>
        <w:spacing w:line="560" w:lineRule="exact"/>
        <w:ind w:firstLine="600" w:firstLineChars="200"/>
        <w:rPr>
          <w:rFonts w:eastAsia="楷体_GB2312"/>
          <w:sz w:val="32"/>
          <w:szCs w:val="32"/>
          <w:highlight w:val="yellow"/>
        </w:rPr>
      </w:pPr>
      <w:r>
        <w:rPr>
          <w:rFonts w:eastAsia="仿宋_GB2312"/>
          <w:sz w:val="30"/>
          <w:szCs w:val="30"/>
        </w:rPr>
        <w:t>开发利用好南浔水域的独特资源，提高水资源转化“含金量”，深化内河水运、滨水旅游、智慧水产，形成绿水青山就是金山银山平原水乡转化典范。依托江蒋漾、沈庄漾、褚家漾等优美水生态环境，布局建设一批生态化、科技型、开放式的“众创苗圃”。加强桑基鱼塘、太湖</w:t>
      </w:r>
      <w:r>
        <w:rPr>
          <w:rFonts w:hint="eastAsia" w:ascii="宋体" w:hAnsi="宋体" w:cs="宋体"/>
          <w:sz w:val="30"/>
          <w:szCs w:val="30"/>
        </w:rPr>
        <w:t>溇</w:t>
      </w:r>
      <w:r>
        <w:rPr>
          <w:rFonts w:hint="eastAsia" w:ascii="仿宋_GB2312" w:hAnsi="仿宋_GB2312" w:eastAsia="仿宋_GB2312" w:cs="仿宋_GB2312"/>
          <w:sz w:val="30"/>
          <w:szCs w:val="30"/>
        </w:rPr>
        <w:t>港、大运河三大世界级文化遗产的科学保护和活态传承，</w:t>
      </w:r>
      <w:r>
        <w:rPr>
          <w:rFonts w:eastAsia="仿宋_GB2312"/>
          <w:sz w:val="30"/>
          <w:szCs w:val="30"/>
        </w:rPr>
        <w:t>推动生态文化基地建设。开发以“水”为特色的水生态文化系列产品，以“水晶晶的南浔”为形象定位，以高质量、竞争力、现代化为主线，通过深度融合各镇特色、挖掘人文和生态资源、整合水土资源和人力资源等，统筹乡村产业振兴、谋划重点产业布局，打造具有历史积淀和文化底蕴的南浔“水”品牌，逐步开展南浔小镇等10个乐水小镇、息塘村等50个水美乡村建设，再现“水晶晶南浔”诗韵，创新“水乡古镇”特色。</w:t>
      </w:r>
    </w:p>
    <w:p>
      <w:pPr>
        <w:rPr>
          <w:rFonts w:eastAsia="仿宋_GB2312"/>
          <w:sz w:val="32"/>
          <w:szCs w:val="32"/>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pPr>
      <w:bookmarkStart w:id="53" w:name="_Toc71899950"/>
      <w:r>
        <w:t>主要河流保护方案</w:t>
      </w:r>
      <w:bookmarkEnd w:id="53"/>
    </w:p>
    <w:p>
      <w:pPr>
        <w:spacing w:line="560" w:lineRule="exact"/>
        <w:ind w:firstLine="600" w:firstLineChars="200"/>
        <w:rPr>
          <w:rFonts w:eastAsia="仿宋_GB2312"/>
          <w:sz w:val="30"/>
          <w:szCs w:val="30"/>
        </w:rPr>
      </w:pPr>
      <w:r>
        <w:rPr>
          <w:rFonts w:hint="eastAsia" w:eastAsia="仿宋_GB2312"/>
          <w:sz w:val="30"/>
          <w:szCs w:val="30"/>
        </w:rPr>
        <w:t>根据国家流域空间管控体系，对北部頔塘水网、东部京杭运河和东苕溪等主要河流水系，按照分区管控要求，精准识别各区域水生态环境保护具体问题成因，统筹协调河流上下游、左右岸管理要求，分解规划目标，科学落实各水体保护规划任务和项目工程。</w:t>
      </w:r>
    </w:p>
    <w:p>
      <w:pPr>
        <w:jc w:val="center"/>
        <w:rPr>
          <w:rFonts w:eastAsia="黑体"/>
          <w:sz w:val="28"/>
          <w:szCs w:val="28"/>
        </w:rPr>
      </w:pPr>
      <w:r>
        <w:rPr>
          <w:rFonts w:hint="eastAsia" w:eastAsia="黑体"/>
          <w:sz w:val="28"/>
          <w:szCs w:val="28"/>
        </w:rPr>
        <w:t>表4-1南浔区分区管控目标表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2736"/>
        <w:gridCol w:w="1336"/>
        <w:gridCol w:w="653"/>
        <w:gridCol w:w="835"/>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blHeader/>
        </w:trPr>
        <w:tc>
          <w:tcPr>
            <w:tcW w:w="1117"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国控断面汇水范围</w:t>
            </w:r>
          </w:p>
        </w:tc>
        <w:tc>
          <w:tcPr>
            <w:tcW w:w="1605"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乡镇</w:t>
            </w:r>
          </w:p>
        </w:tc>
        <w:tc>
          <w:tcPr>
            <w:tcW w:w="784"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汇水范围内</w:t>
            </w:r>
          </w:p>
          <w:p>
            <w:pPr>
              <w:jc w:val="center"/>
              <w:rPr>
                <w:rFonts w:eastAsia="仿宋_GB2312"/>
                <w:b/>
                <w:color w:val="000000"/>
                <w:kern w:val="0"/>
                <w:szCs w:val="21"/>
              </w:rPr>
            </w:pPr>
            <w:r>
              <w:rPr>
                <w:rFonts w:eastAsia="仿宋_GB2312"/>
                <w:b/>
                <w:color w:val="000000"/>
                <w:kern w:val="0"/>
                <w:szCs w:val="21"/>
              </w:rPr>
              <w:t>断面</w:t>
            </w:r>
          </w:p>
        </w:tc>
        <w:tc>
          <w:tcPr>
            <w:tcW w:w="383" w:type="pct"/>
          </w:tcPr>
          <w:p>
            <w:pPr>
              <w:widowControl/>
              <w:jc w:val="center"/>
              <w:rPr>
                <w:rFonts w:eastAsia="仿宋_GB2312"/>
                <w:b/>
                <w:color w:val="000000"/>
                <w:kern w:val="0"/>
                <w:szCs w:val="21"/>
              </w:rPr>
            </w:pPr>
            <w:r>
              <w:rPr>
                <w:rFonts w:eastAsia="仿宋_GB2312"/>
                <w:b/>
                <w:color w:val="000000"/>
                <w:kern w:val="0"/>
                <w:szCs w:val="21"/>
              </w:rPr>
              <w:t>断面类别</w:t>
            </w:r>
          </w:p>
        </w:tc>
        <w:tc>
          <w:tcPr>
            <w:tcW w:w="490"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水质现状</w:t>
            </w:r>
          </w:p>
        </w:tc>
        <w:tc>
          <w:tcPr>
            <w:tcW w:w="621" w:type="pct"/>
            <w:shd w:val="clear" w:color="auto" w:fill="auto"/>
            <w:noWrap/>
            <w:vAlign w:val="center"/>
          </w:tcPr>
          <w:p>
            <w:pPr>
              <w:widowControl/>
              <w:jc w:val="center"/>
              <w:rPr>
                <w:rFonts w:eastAsia="仿宋_GB2312"/>
                <w:b/>
                <w:color w:val="000000"/>
                <w:kern w:val="0"/>
                <w:szCs w:val="21"/>
              </w:rPr>
            </w:pPr>
            <w:r>
              <w:rPr>
                <w:rFonts w:eastAsia="仿宋_GB2312"/>
                <w:b/>
                <w:color w:val="000000"/>
                <w:kern w:val="0"/>
                <w:szCs w:val="21"/>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17" w:type="pct"/>
            <w:vMerge w:val="restar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大钱/西山漾</w:t>
            </w:r>
          </w:p>
        </w:tc>
        <w:tc>
          <w:tcPr>
            <w:tcW w:w="1605" w:type="pct"/>
            <w:vMerge w:val="restar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菱湖镇、和孚镇、石淙镇</w:t>
            </w: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西山漾*</w:t>
            </w:r>
          </w:p>
        </w:tc>
        <w:tc>
          <w:tcPr>
            <w:tcW w:w="383" w:type="pct"/>
          </w:tcPr>
          <w:p>
            <w:pPr>
              <w:spacing w:line="0" w:lineRule="atLeast"/>
              <w:jc w:val="center"/>
              <w:rPr>
                <w:rFonts w:eastAsia="仿宋_GB2312"/>
                <w:color w:val="000000"/>
                <w:szCs w:val="21"/>
              </w:rPr>
            </w:pPr>
            <w:r>
              <w:rPr>
                <w:rFonts w:eastAsia="仿宋_GB2312"/>
                <w:color w:val="000000"/>
                <w:szCs w:val="21"/>
              </w:rPr>
              <w:t>国控</w:t>
            </w:r>
          </w:p>
        </w:tc>
        <w:tc>
          <w:tcPr>
            <w:tcW w:w="490"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Ⅱ</w:t>
            </w:r>
          </w:p>
        </w:tc>
        <w:tc>
          <w:tcPr>
            <w:tcW w:w="621"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17" w:type="pct"/>
            <w:vMerge w:val="continue"/>
            <w:shd w:val="clear" w:color="auto" w:fill="auto"/>
            <w:noWrap/>
            <w:vAlign w:val="center"/>
          </w:tcPr>
          <w:p>
            <w:pPr>
              <w:spacing w:line="0" w:lineRule="atLeast"/>
              <w:jc w:val="center"/>
              <w:rPr>
                <w:rFonts w:eastAsia="仿宋_GB2312"/>
                <w:color w:val="000000"/>
                <w:szCs w:val="21"/>
              </w:rPr>
            </w:pPr>
          </w:p>
        </w:tc>
        <w:tc>
          <w:tcPr>
            <w:tcW w:w="1605" w:type="pct"/>
            <w:vMerge w:val="continue"/>
            <w:shd w:val="clear" w:color="auto" w:fill="auto"/>
            <w:noWrap/>
            <w:vAlign w:val="center"/>
          </w:tcPr>
          <w:p>
            <w:pPr>
              <w:spacing w:line="0" w:lineRule="atLeast"/>
              <w:jc w:val="center"/>
              <w:rPr>
                <w:rFonts w:eastAsia="仿宋_GB2312"/>
                <w:color w:val="000000"/>
                <w:szCs w:val="21"/>
              </w:rPr>
            </w:pP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菱湖</w:t>
            </w:r>
          </w:p>
        </w:tc>
        <w:tc>
          <w:tcPr>
            <w:tcW w:w="383" w:type="pct"/>
          </w:tcPr>
          <w:p>
            <w:pPr>
              <w:spacing w:line="0" w:lineRule="atLeast"/>
              <w:jc w:val="center"/>
              <w:rPr>
                <w:rFonts w:eastAsia="仿宋_GB2312"/>
                <w:color w:val="000000"/>
                <w:szCs w:val="21"/>
              </w:rPr>
            </w:pPr>
            <w:r>
              <w:rPr>
                <w:rFonts w:eastAsia="仿宋_GB2312"/>
                <w:color w:val="000000"/>
                <w:szCs w:val="21"/>
              </w:rPr>
              <w:t>县控</w:t>
            </w:r>
          </w:p>
        </w:tc>
        <w:tc>
          <w:tcPr>
            <w:tcW w:w="490"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c>
          <w:tcPr>
            <w:tcW w:w="621"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17" w:type="pct"/>
            <w:vMerge w:val="continue"/>
            <w:shd w:val="clear" w:color="auto" w:fill="auto"/>
            <w:noWrap/>
            <w:vAlign w:val="center"/>
          </w:tcPr>
          <w:p>
            <w:pPr>
              <w:spacing w:line="0" w:lineRule="atLeast"/>
              <w:jc w:val="center"/>
              <w:rPr>
                <w:rFonts w:eastAsia="仿宋_GB2312"/>
                <w:color w:val="000000"/>
                <w:szCs w:val="21"/>
              </w:rPr>
            </w:pPr>
          </w:p>
        </w:tc>
        <w:tc>
          <w:tcPr>
            <w:tcW w:w="1605" w:type="pct"/>
            <w:vMerge w:val="continue"/>
            <w:shd w:val="clear" w:color="auto" w:fill="auto"/>
            <w:noWrap/>
            <w:vAlign w:val="center"/>
          </w:tcPr>
          <w:p>
            <w:pPr>
              <w:spacing w:line="0" w:lineRule="atLeast"/>
              <w:jc w:val="center"/>
              <w:rPr>
                <w:rFonts w:eastAsia="仿宋_GB2312"/>
                <w:color w:val="000000"/>
                <w:szCs w:val="21"/>
              </w:rPr>
            </w:pP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和孚漾</w:t>
            </w:r>
          </w:p>
        </w:tc>
        <w:tc>
          <w:tcPr>
            <w:tcW w:w="383" w:type="pct"/>
          </w:tcPr>
          <w:p>
            <w:pPr>
              <w:spacing w:line="0" w:lineRule="atLeast"/>
              <w:jc w:val="center"/>
              <w:rPr>
                <w:rFonts w:eastAsia="仿宋_GB2312"/>
                <w:color w:val="000000"/>
                <w:szCs w:val="21"/>
              </w:rPr>
            </w:pPr>
            <w:r>
              <w:rPr>
                <w:rFonts w:eastAsia="仿宋_GB2312"/>
                <w:color w:val="000000"/>
                <w:szCs w:val="21"/>
              </w:rPr>
              <w:t>市控</w:t>
            </w:r>
          </w:p>
        </w:tc>
        <w:tc>
          <w:tcPr>
            <w:tcW w:w="490"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c>
          <w:tcPr>
            <w:tcW w:w="621"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17" w:type="pct"/>
            <w:vMerge w:val="restar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南浔/双林</w:t>
            </w:r>
          </w:p>
        </w:tc>
        <w:tc>
          <w:tcPr>
            <w:tcW w:w="1605" w:type="pct"/>
            <w:vMerge w:val="restar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南浔镇、双林镇、旧馆街道</w:t>
            </w: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南浔</w:t>
            </w:r>
          </w:p>
        </w:tc>
        <w:tc>
          <w:tcPr>
            <w:tcW w:w="383" w:type="pct"/>
          </w:tcPr>
          <w:p>
            <w:pPr>
              <w:spacing w:line="0" w:lineRule="atLeast"/>
              <w:jc w:val="center"/>
              <w:rPr>
                <w:rFonts w:eastAsia="仿宋_GB2312"/>
                <w:color w:val="000000"/>
                <w:szCs w:val="21"/>
              </w:rPr>
            </w:pPr>
            <w:r>
              <w:rPr>
                <w:rFonts w:eastAsia="仿宋_GB2312"/>
                <w:color w:val="000000"/>
                <w:szCs w:val="21"/>
              </w:rPr>
              <w:t>国控</w:t>
            </w:r>
          </w:p>
        </w:tc>
        <w:tc>
          <w:tcPr>
            <w:tcW w:w="490"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c>
          <w:tcPr>
            <w:tcW w:w="621"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vMerge w:val="continue"/>
            <w:vAlign w:val="center"/>
          </w:tcPr>
          <w:p>
            <w:pPr>
              <w:spacing w:line="0" w:lineRule="atLeast"/>
              <w:jc w:val="center"/>
              <w:rPr>
                <w:rFonts w:eastAsia="仿宋_GB2312"/>
                <w:color w:val="000000"/>
                <w:szCs w:val="21"/>
              </w:rPr>
            </w:pPr>
          </w:p>
        </w:tc>
        <w:tc>
          <w:tcPr>
            <w:tcW w:w="1605" w:type="pct"/>
            <w:vMerge w:val="continue"/>
            <w:vAlign w:val="center"/>
          </w:tcPr>
          <w:p>
            <w:pPr>
              <w:spacing w:line="0" w:lineRule="atLeast"/>
              <w:jc w:val="center"/>
              <w:rPr>
                <w:rFonts w:eastAsia="仿宋_GB2312"/>
                <w:color w:val="000000"/>
                <w:szCs w:val="21"/>
              </w:rPr>
            </w:pP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双林</w:t>
            </w:r>
          </w:p>
        </w:tc>
        <w:tc>
          <w:tcPr>
            <w:tcW w:w="383" w:type="pct"/>
          </w:tcPr>
          <w:p>
            <w:pPr>
              <w:spacing w:line="0" w:lineRule="atLeast"/>
              <w:jc w:val="center"/>
              <w:rPr>
                <w:rFonts w:eastAsia="仿宋_GB2312"/>
                <w:color w:val="000000"/>
                <w:szCs w:val="21"/>
              </w:rPr>
            </w:pPr>
            <w:r>
              <w:rPr>
                <w:rFonts w:eastAsia="仿宋_GB2312"/>
                <w:color w:val="000000"/>
                <w:szCs w:val="21"/>
              </w:rPr>
              <w:t>国控</w:t>
            </w:r>
          </w:p>
        </w:tc>
        <w:tc>
          <w:tcPr>
            <w:tcW w:w="490"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c>
          <w:tcPr>
            <w:tcW w:w="621"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17" w:type="pct"/>
            <w:vMerge w:val="continue"/>
            <w:vAlign w:val="center"/>
          </w:tcPr>
          <w:p>
            <w:pPr>
              <w:spacing w:line="0" w:lineRule="atLeast"/>
              <w:jc w:val="center"/>
              <w:rPr>
                <w:rFonts w:eastAsia="仿宋_GB2312"/>
                <w:color w:val="000000"/>
                <w:szCs w:val="21"/>
              </w:rPr>
            </w:pPr>
          </w:p>
        </w:tc>
        <w:tc>
          <w:tcPr>
            <w:tcW w:w="1605" w:type="pct"/>
            <w:vMerge w:val="continue"/>
            <w:vAlign w:val="center"/>
          </w:tcPr>
          <w:p>
            <w:pPr>
              <w:spacing w:line="0" w:lineRule="atLeast"/>
              <w:jc w:val="center"/>
              <w:rPr>
                <w:rFonts w:eastAsia="仿宋_GB2312"/>
                <w:color w:val="000000"/>
                <w:szCs w:val="21"/>
              </w:rPr>
            </w:pP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古</w:t>
            </w:r>
            <w:r>
              <w:rPr>
                <w:rFonts w:hint="eastAsia" w:eastAsia="仿宋_GB2312"/>
                <w:color w:val="000000"/>
                <w:szCs w:val="21"/>
              </w:rPr>
              <w:t>溇港</w:t>
            </w:r>
          </w:p>
        </w:tc>
        <w:tc>
          <w:tcPr>
            <w:tcW w:w="383" w:type="pct"/>
          </w:tcPr>
          <w:p>
            <w:pPr>
              <w:spacing w:line="0" w:lineRule="atLeast"/>
              <w:jc w:val="center"/>
              <w:rPr>
                <w:rFonts w:eastAsia="仿宋_GB2312"/>
                <w:color w:val="000000"/>
                <w:szCs w:val="21"/>
              </w:rPr>
            </w:pPr>
            <w:r>
              <w:rPr>
                <w:rFonts w:eastAsia="仿宋_GB2312"/>
                <w:color w:val="000000"/>
                <w:szCs w:val="21"/>
              </w:rPr>
              <w:t>省控</w:t>
            </w:r>
          </w:p>
        </w:tc>
        <w:tc>
          <w:tcPr>
            <w:tcW w:w="490"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c>
          <w:tcPr>
            <w:tcW w:w="621"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17" w:type="pct"/>
            <w:vMerge w:val="continue"/>
            <w:vAlign w:val="center"/>
          </w:tcPr>
          <w:p>
            <w:pPr>
              <w:spacing w:line="0" w:lineRule="atLeast"/>
              <w:jc w:val="center"/>
              <w:rPr>
                <w:rFonts w:eastAsia="仿宋_GB2312"/>
                <w:color w:val="000000"/>
                <w:szCs w:val="21"/>
              </w:rPr>
            </w:pPr>
          </w:p>
        </w:tc>
        <w:tc>
          <w:tcPr>
            <w:tcW w:w="1605" w:type="pct"/>
            <w:vMerge w:val="continue"/>
            <w:vAlign w:val="center"/>
          </w:tcPr>
          <w:p>
            <w:pPr>
              <w:spacing w:line="0" w:lineRule="atLeast"/>
              <w:jc w:val="center"/>
              <w:rPr>
                <w:rFonts w:eastAsia="仿宋_GB2312"/>
                <w:color w:val="000000"/>
                <w:szCs w:val="21"/>
              </w:rPr>
            </w:pP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燕子桥</w:t>
            </w:r>
          </w:p>
        </w:tc>
        <w:tc>
          <w:tcPr>
            <w:tcW w:w="383" w:type="pct"/>
          </w:tcPr>
          <w:p>
            <w:pPr>
              <w:spacing w:line="0" w:lineRule="atLeast"/>
              <w:jc w:val="center"/>
              <w:rPr>
                <w:rFonts w:eastAsia="仿宋_GB2312"/>
                <w:color w:val="000000"/>
                <w:szCs w:val="21"/>
              </w:rPr>
            </w:pPr>
            <w:r>
              <w:rPr>
                <w:rFonts w:eastAsia="仿宋_GB2312"/>
                <w:color w:val="000000"/>
                <w:szCs w:val="21"/>
              </w:rPr>
              <w:t>县控</w:t>
            </w:r>
          </w:p>
        </w:tc>
        <w:tc>
          <w:tcPr>
            <w:tcW w:w="490"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c>
          <w:tcPr>
            <w:tcW w:w="621"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7" w:type="pct"/>
            <w:vMerge w:val="restar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乌镇北</w:t>
            </w:r>
          </w:p>
        </w:tc>
        <w:tc>
          <w:tcPr>
            <w:tcW w:w="1605" w:type="pct"/>
            <w:vMerge w:val="restar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练市镇、善琏镇、千金镇</w:t>
            </w: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乌镇北*</w:t>
            </w:r>
          </w:p>
        </w:tc>
        <w:tc>
          <w:tcPr>
            <w:tcW w:w="383" w:type="pct"/>
          </w:tcPr>
          <w:p>
            <w:pPr>
              <w:spacing w:line="0" w:lineRule="atLeast"/>
              <w:jc w:val="center"/>
              <w:rPr>
                <w:rFonts w:eastAsia="仿宋_GB2312"/>
                <w:color w:val="000000"/>
                <w:szCs w:val="21"/>
              </w:rPr>
            </w:pPr>
            <w:r>
              <w:rPr>
                <w:rFonts w:eastAsia="仿宋_GB2312"/>
                <w:color w:val="000000"/>
                <w:szCs w:val="21"/>
              </w:rPr>
              <w:t>国控</w:t>
            </w:r>
          </w:p>
        </w:tc>
        <w:tc>
          <w:tcPr>
            <w:tcW w:w="490"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w:t>
            </w:r>
          </w:p>
        </w:tc>
        <w:tc>
          <w:tcPr>
            <w:tcW w:w="621"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7" w:type="pct"/>
            <w:vMerge w:val="continue"/>
            <w:shd w:val="clear" w:color="auto" w:fill="auto"/>
            <w:noWrap/>
            <w:vAlign w:val="center"/>
          </w:tcPr>
          <w:p>
            <w:pPr>
              <w:spacing w:line="0" w:lineRule="atLeast"/>
              <w:jc w:val="center"/>
              <w:rPr>
                <w:rFonts w:eastAsia="仿宋_GB2312"/>
                <w:color w:val="000000"/>
                <w:szCs w:val="21"/>
              </w:rPr>
            </w:pPr>
          </w:p>
        </w:tc>
        <w:tc>
          <w:tcPr>
            <w:tcW w:w="1605" w:type="pct"/>
            <w:vMerge w:val="continue"/>
            <w:shd w:val="clear" w:color="auto" w:fill="auto"/>
            <w:noWrap/>
            <w:vAlign w:val="center"/>
          </w:tcPr>
          <w:p>
            <w:pPr>
              <w:spacing w:line="0" w:lineRule="atLeast"/>
              <w:jc w:val="center"/>
              <w:rPr>
                <w:rFonts w:eastAsia="仿宋_GB2312"/>
                <w:color w:val="000000"/>
                <w:szCs w:val="21"/>
              </w:rPr>
            </w:pPr>
          </w:p>
        </w:tc>
        <w:tc>
          <w:tcPr>
            <w:tcW w:w="784" w:type="pct"/>
            <w:shd w:val="clear" w:color="auto" w:fill="auto"/>
            <w:noWrap/>
            <w:vAlign w:val="center"/>
          </w:tcPr>
          <w:p>
            <w:pPr>
              <w:spacing w:line="0" w:lineRule="atLeast"/>
              <w:jc w:val="center"/>
              <w:rPr>
                <w:rFonts w:eastAsia="仿宋_GB2312"/>
                <w:color w:val="000000"/>
                <w:szCs w:val="21"/>
              </w:rPr>
            </w:pPr>
            <w:r>
              <w:rPr>
                <w:rFonts w:eastAsia="仿宋_GB2312"/>
                <w:color w:val="000000"/>
                <w:szCs w:val="21"/>
              </w:rPr>
              <w:t>乌镇</w:t>
            </w:r>
          </w:p>
        </w:tc>
        <w:tc>
          <w:tcPr>
            <w:tcW w:w="383" w:type="pct"/>
          </w:tcPr>
          <w:p>
            <w:pPr>
              <w:spacing w:line="0" w:lineRule="atLeast"/>
              <w:jc w:val="center"/>
              <w:rPr>
                <w:rFonts w:eastAsia="仿宋_GB2312"/>
                <w:color w:val="000000"/>
                <w:szCs w:val="21"/>
              </w:rPr>
            </w:pPr>
            <w:r>
              <w:rPr>
                <w:rFonts w:eastAsia="仿宋_GB2312"/>
                <w:color w:val="000000"/>
                <w:szCs w:val="21"/>
              </w:rPr>
              <w:t>市控</w:t>
            </w:r>
          </w:p>
        </w:tc>
        <w:tc>
          <w:tcPr>
            <w:tcW w:w="490"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c>
          <w:tcPr>
            <w:tcW w:w="621" w:type="pct"/>
            <w:shd w:val="clear" w:color="auto" w:fill="auto"/>
            <w:noWrap/>
            <w:vAlign w:val="center"/>
          </w:tcPr>
          <w:p>
            <w:pPr>
              <w:spacing w:line="0" w:lineRule="atLeast"/>
              <w:jc w:val="center"/>
              <w:rPr>
                <w:rFonts w:eastAsia="仿宋_GB2312"/>
                <w:color w:val="000000"/>
                <w:szCs w:val="21"/>
              </w:rPr>
            </w:pPr>
            <w:r>
              <w:rPr>
                <w:rFonts w:hint="eastAsia" w:eastAsia="仿宋_GB2312"/>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6"/>
          </w:tcPr>
          <w:p>
            <w:pPr>
              <w:widowControl/>
              <w:jc w:val="left"/>
              <w:rPr>
                <w:rFonts w:eastAsia="仿宋_GB2312"/>
                <w:color w:val="000000"/>
                <w:kern w:val="0"/>
                <w:szCs w:val="21"/>
              </w:rPr>
            </w:pPr>
            <w:r>
              <w:rPr>
                <w:rFonts w:eastAsia="仿宋_GB2312"/>
                <w:color w:val="000000"/>
                <w:kern w:val="0"/>
                <w:szCs w:val="21"/>
              </w:rPr>
              <w:t>注：带“*”非南浔区考核国控断面。</w:t>
            </w:r>
          </w:p>
        </w:tc>
      </w:tr>
    </w:tbl>
    <w:p>
      <w:pPr>
        <w:jc w:val="center"/>
        <w:rPr>
          <w:rFonts w:eastAsia="楷体"/>
          <w:b/>
        </w:rPr>
      </w:pPr>
      <w:r>
        <w:rPr>
          <w:rFonts w:eastAsia="楷体"/>
          <w:b/>
        </w:rPr>
        <w:drawing>
          <wp:inline distT="0" distB="0" distL="0" distR="0">
            <wp:extent cx="4566920" cy="3228975"/>
            <wp:effectExtent l="0" t="0" r="5080" b="0"/>
            <wp:docPr id="5" name="图片 5" descr="D:\personal\Desktop\微信图片_202105141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personal\Desktop\微信图片_20210514154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868" cy="3233176"/>
                    </a:xfrm>
                    <a:prstGeom prst="rect">
                      <a:avLst/>
                    </a:prstGeom>
                    <a:noFill/>
                    <a:ln>
                      <a:noFill/>
                    </a:ln>
                  </pic:spPr>
                </pic:pic>
              </a:graphicData>
            </a:graphic>
          </wp:inline>
        </w:drawing>
      </w:r>
    </w:p>
    <w:p>
      <w:pPr>
        <w:jc w:val="center"/>
        <w:rPr>
          <w:rFonts w:eastAsia="黑体"/>
          <w:sz w:val="28"/>
          <w:szCs w:val="28"/>
        </w:rPr>
      </w:pPr>
      <w:r>
        <w:rPr>
          <w:rFonts w:hint="eastAsia" w:eastAsia="黑体"/>
          <w:sz w:val="28"/>
          <w:szCs w:val="28"/>
        </w:rPr>
        <w:t xml:space="preserve">图4-1 </w:t>
      </w:r>
      <w:r>
        <w:rPr>
          <w:rFonts w:eastAsia="黑体"/>
          <w:sz w:val="28"/>
          <w:szCs w:val="28"/>
        </w:rPr>
        <w:t>南浔区汇水范围图</w:t>
      </w:r>
    </w:p>
    <w:p>
      <w:pPr>
        <w:pStyle w:val="3"/>
        <w:keepNext/>
        <w:keepLines/>
        <w:numPr>
          <w:ilvl w:val="0"/>
          <w:numId w:val="14"/>
        </w:numPr>
        <w:rPr>
          <w:rFonts w:eastAsia="楷体"/>
          <w:b/>
        </w:rPr>
      </w:pPr>
      <w:bookmarkStart w:id="54" w:name="_Toc71899951"/>
      <w:r>
        <w:rPr>
          <w:rFonts w:eastAsia="楷体"/>
          <w:b/>
        </w:rPr>
        <w:t>頔塘</w:t>
      </w:r>
      <w:bookmarkEnd w:id="54"/>
    </w:p>
    <w:p>
      <w:pPr>
        <w:spacing w:line="560" w:lineRule="exact"/>
        <w:ind w:firstLine="600" w:firstLineChars="200"/>
        <w:rPr>
          <w:rFonts w:eastAsia="仿宋_GB2312"/>
          <w:sz w:val="30"/>
          <w:szCs w:val="30"/>
        </w:rPr>
      </w:pPr>
      <w:r>
        <w:rPr>
          <w:rFonts w:eastAsia="仿宋_GB2312"/>
          <w:sz w:val="30"/>
          <w:szCs w:val="30"/>
        </w:rPr>
        <w:t>南浔/双林断面汇水范围涉及南浔镇、双林镇、旧馆街道三个镇</w:t>
      </w:r>
      <w:r>
        <w:rPr>
          <w:rFonts w:hint="eastAsia" w:eastAsia="仿宋_GB2312"/>
          <w:sz w:val="30"/>
          <w:szCs w:val="30"/>
        </w:rPr>
        <w:t>，共有南浔、双林2个国控断面、古溇港省控断面和燕子桥县控断面</w:t>
      </w:r>
      <w:r>
        <w:rPr>
          <w:rFonts w:eastAsia="仿宋_GB2312"/>
          <w:sz w:val="30"/>
          <w:szCs w:val="30"/>
        </w:rPr>
        <w:t>。“十三五</w:t>
      </w:r>
      <w:r>
        <w:rPr>
          <w:rFonts w:hint="eastAsia" w:eastAsia="仿宋_GB2312"/>
          <w:sz w:val="30"/>
          <w:szCs w:val="30"/>
          <w:lang w:eastAsia="zh-CN"/>
        </w:rPr>
        <w:t>”</w:t>
      </w:r>
      <w:r>
        <w:rPr>
          <w:rFonts w:eastAsia="仿宋_GB2312"/>
          <w:sz w:val="30"/>
          <w:szCs w:val="30"/>
        </w:rPr>
        <w:t>期间，南浔/双林断面汇水范围主要问题为南浔、古</w:t>
      </w:r>
      <w:r>
        <w:rPr>
          <w:rFonts w:hint="eastAsia" w:ascii="宋体" w:hAnsi="宋体" w:cs="宋体"/>
          <w:sz w:val="30"/>
          <w:szCs w:val="30"/>
        </w:rPr>
        <w:t>溇</w:t>
      </w:r>
      <w:r>
        <w:rPr>
          <w:rFonts w:hint="eastAsia" w:ascii="仿宋_GB2312" w:hAnsi="仿宋_GB2312" w:eastAsia="仿宋_GB2312" w:cs="仿宋_GB2312"/>
          <w:sz w:val="30"/>
          <w:szCs w:val="30"/>
        </w:rPr>
        <w:t>港断面总磷、高锰酸盐指数、化学需氧量不稳定达标；</w:t>
      </w:r>
      <w:r>
        <w:rPr>
          <w:rFonts w:hint="eastAsia" w:ascii="宋体" w:hAnsi="宋体" w:cs="宋体"/>
          <w:sz w:val="30"/>
          <w:szCs w:val="30"/>
        </w:rPr>
        <w:t>頔</w:t>
      </w:r>
      <w:r>
        <w:rPr>
          <w:rFonts w:hint="eastAsia" w:ascii="仿宋_GB2312" w:hAnsi="仿宋_GB2312" w:eastAsia="仿宋_GB2312" w:cs="仿宋_GB2312"/>
          <w:sz w:val="30"/>
          <w:szCs w:val="30"/>
        </w:rPr>
        <w:t>塘及支流水体透明度低。成因包括：一是阳安塘、东市河沿线雨污混排问题严重，南浔镇等管网不健全；二是水产养殖尾水治理设施</w:t>
      </w:r>
      <w:r>
        <w:rPr>
          <w:rFonts w:eastAsia="仿宋_GB2312"/>
          <w:sz w:val="30"/>
          <w:szCs w:val="30"/>
        </w:rPr>
        <w:t>运行管理不到位</w:t>
      </w:r>
      <w:r>
        <w:rPr>
          <w:rFonts w:hint="eastAsia" w:eastAsia="仿宋_GB2312"/>
          <w:sz w:val="30"/>
          <w:szCs w:val="30"/>
        </w:rPr>
        <w:t>；</w:t>
      </w:r>
      <w:r>
        <w:rPr>
          <w:rFonts w:hint="eastAsia" w:ascii="仿宋_GB2312" w:hAnsi="仿宋_GB2312" w:eastAsia="仿宋_GB2312" w:cs="仿宋_GB2312"/>
          <w:sz w:val="30"/>
          <w:szCs w:val="30"/>
        </w:rPr>
        <w:t>三是</w:t>
      </w:r>
      <w:r>
        <w:rPr>
          <w:rFonts w:hint="eastAsia" w:ascii="宋体" w:hAnsi="宋体" w:cs="宋体"/>
          <w:sz w:val="30"/>
          <w:szCs w:val="30"/>
        </w:rPr>
        <w:t>頔</w:t>
      </w:r>
      <w:r>
        <w:rPr>
          <w:rFonts w:hint="eastAsia" w:ascii="仿宋_GB2312" w:hAnsi="仿宋_GB2312" w:eastAsia="仿宋_GB2312" w:cs="仿宋_GB2312"/>
          <w:sz w:val="30"/>
          <w:szCs w:val="30"/>
        </w:rPr>
        <w:t>塘航运底泥扰动严重，</w:t>
      </w:r>
      <w:r>
        <w:rPr>
          <w:rFonts w:eastAsia="仿宋_GB2312"/>
          <w:sz w:val="30"/>
          <w:szCs w:val="30"/>
        </w:rPr>
        <w:t>连通水系水生态自然恢复能力差。</w:t>
      </w:r>
    </w:p>
    <w:p>
      <w:pPr>
        <w:spacing w:line="560" w:lineRule="exact"/>
        <w:ind w:firstLine="600" w:firstLineChars="200"/>
        <w:rPr>
          <w:rFonts w:eastAsia="仿宋_GB2312"/>
          <w:sz w:val="30"/>
          <w:szCs w:val="30"/>
        </w:rPr>
      </w:pPr>
      <w:r>
        <w:rPr>
          <w:rFonts w:eastAsia="仿宋_GB2312"/>
          <w:sz w:val="30"/>
          <w:szCs w:val="30"/>
        </w:rPr>
        <w:t>“十四五”期间，南浔/双林断面汇水范围主要任务为实施湖州双林水质净化有限公司清洁排放提标改造，新建南浔开发区污水处理厂，新建湖浔大道市政管网。强化航道船舶码头污水治理及限速超载执法监管。实施南浔古镇水环境综合提升项目，完成内河水系清淤、水系连通和水生态修复。实施</w:t>
      </w:r>
      <w:r>
        <w:rPr>
          <w:rFonts w:hint="eastAsia" w:eastAsia="仿宋_GB2312"/>
          <w:sz w:val="30"/>
          <w:szCs w:val="30"/>
        </w:rPr>
        <w:t>南浔经济发开区北部水生态功能提升示范工程和南浔古镇、双林古镇水环境提升工程</w:t>
      </w:r>
      <w:r>
        <w:rPr>
          <w:rFonts w:eastAsia="仿宋_GB2312"/>
          <w:sz w:val="30"/>
          <w:szCs w:val="30"/>
        </w:rPr>
        <w:t>。到2025年，南浔、双林断面水质保持</w:t>
      </w:r>
      <w:r>
        <w:rPr>
          <w:rFonts w:hint="eastAsia" w:eastAsia="仿宋_GB2312"/>
          <w:sz w:val="30"/>
          <w:szCs w:val="30"/>
        </w:rPr>
        <w:t>Ⅲ</w:t>
      </w:r>
      <w:r>
        <w:rPr>
          <w:rFonts w:eastAsia="仿宋_GB2312"/>
          <w:sz w:val="30"/>
          <w:szCs w:val="30"/>
        </w:rPr>
        <w:t>类，金鱼漾湿地面积恢复0.3平方公里。</w:t>
      </w:r>
    </w:p>
    <w:p>
      <w:pPr>
        <w:pStyle w:val="3"/>
        <w:keepNext/>
        <w:keepLines/>
        <w:numPr>
          <w:ilvl w:val="0"/>
          <w:numId w:val="14"/>
        </w:numPr>
        <w:rPr>
          <w:rFonts w:eastAsia="楷体"/>
          <w:b/>
        </w:rPr>
      </w:pPr>
      <w:bookmarkStart w:id="55" w:name="_Toc71899952"/>
      <w:r>
        <w:rPr>
          <w:rFonts w:eastAsia="楷体"/>
          <w:b/>
        </w:rPr>
        <w:t>京杭运河</w:t>
      </w:r>
      <w:bookmarkEnd w:id="55"/>
    </w:p>
    <w:p>
      <w:pPr>
        <w:spacing w:line="560" w:lineRule="exact"/>
        <w:ind w:firstLine="600" w:firstLineChars="200"/>
        <w:rPr>
          <w:rFonts w:eastAsia="仿宋_GB2312"/>
          <w:sz w:val="30"/>
          <w:szCs w:val="30"/>
        </w:rPr>
      </w:pPr>
      <w:r>
        <w:rPr>
          <w:rFonts w:hint="eastAsia" w:eastAsia="仿宋_GB2312"/>
          <w:sz w:val="30"/>
          <w:szCs w:val="30"/>
        </w:rPr>
        <w:t>乌镇断面为</w:t>
      </w:r>
      <w:r>
        <w:rPr>
          <w:rFonts w:eastAsia="仿宋_GB2312"/>
          <w:sz w:val="30"/>
          <w:szCs w:val="30"/>
        </w:rPr>
        <w:t>交接断面，断面汇水范围内涉及南浔区为练市镇、善琏镇。“十三五”期间，乌镇断面汇水范围主要问题为</w:t>
      </w:r>
      <w:r>
        <w:rPr>
          <w:rFonts w:hint="eastAsia" w:eastAsia="仿宋_GB2312"/>
          <w:sz w:val="30"/>
          <w:szCs w:val="30"/>
        </w:rPr>
        <w:t>乌镇断面高锰酸盐指数、氨氮、总磷不能稳定达标，从练市镇和善琏镇京杭运河水域巡航监测报告分析，京杭运河总氮和总磷污染情况相对较严重，</w:t>
      </w:r>
      <w:r>
        <w:rPr>
          <w:rFonts w:eastAsia="仿宋_GB2312"/>
          <w:sz w:val="30"/>
          <w:szCs w:val="30"/>
        </w:rPr>
        <w:t>京杭运河水体透明度低。成因包括：一是善琏镇农业</w:t>
      </w:r>
      <w:r>
        <w:rPr>
          <w:rFonts w:hint="eastAsia" w:eastAsia="仿宋_GB2312"/>
          <w:sz w:val="30"/>
          <w:szCs w:val="30"/>
        </w:rPr>
        <w:t>面源污染相对较重，</w:t>
      </w:r>
      <w:r>
        <w:rPr>
          <w:rFonts w:eastAsia="仿宋_GB2312"/>
          <w:sz w:val="30"/>
          <w:szCs w:val="30"/>
        </w:rPr>
        <w:t>水产养殖尾水未经有效处理排入机埠；二是航道沿线码头和船舶污水收集处理不完善，航运对底泥扰动严重；三是乡镇</w:t>
      </w:r>
      <w:r>
        <w:rPr>
          <w:rFonts w:hint="eastAsia" w:eastAsia="仿宋_GB2312"/>
          <w:sz w:val="30"/>
          <w:szCs w:val="30"/>
        </w:rPr>
        <w:t>截污纳管基础薄弱，</w:t>
      </w:r>
      <w:r>
        <w:rPr>
          <w:rFonts w:eastAsia="仿宋_GB2312"/>
          <w:sz w:val="30"/>
          <w:szCs w:val="30"/>
        </w:rPr>
        <w:t>管网改造不完善，雨污分流不彻底</w:t>
      </w:r>
      <w:r>
        <w:rPr>
          <w:rFonts w:hint="eastAsia" w:eastAsia="仿宋_GB2312"/>
          <w:sz w:val="30"/>
          <w:szCs w:val="30"/>
        </w:rPr>
        <w:t>现象普遍存在；</w:t>
      </w:r>
      <w:r>
        <w:rPr>
          <w:rFonts w:eastAsia="仿宋_GB2312"/>
          <w:sz w:val="30"/>
          <w:szCs w:val="30"/>
        </w:rPr>
        <w:t>四是京杭运河航道建设侵占生态缓冲带。</w:t>
      </w:r>
    </w:p>
    <w:p>
      <w:pPr>
        <w:spacing w:line="560" w:lineRule="exact"/>
        <w:ind w:firstLine="600" w:firstLineChars="200"/>
        <w:rPr>
          <w:rFonts w:eastAsia="仿宋_GB2312"/>
          <w:sz w:val="30"/>
          <w:szCs w:val="30"/>
          <w:highlight w:val="yellow"/>
        </w:rPr>
      </w:pPr>
      <w:r>
        <w:rPr>
          <w:rFonts w:eastAsia="仿宋_GB2312"/>
          <w:sz w:val="30"/>
          <w:szCs w:val="30"/>
        </w:rPr>
        <w:t>京杭运河是长三角水上高速航道网的重要组成部分，同时承载着现代化高效航运和大运河历史文化的功能。“十四五”期间，京杭运河以污染治理和生态修复为主，提升污水治理能力，强化航运管理，大力推进生态缓冲带生态修复，保障运河带“水清景美”。实施湖州湖州光正水质净化有限公司、湖州环谐污水处理有限公司清洁排放改造，新增污水处理能力2万吨/日。修复京杭运河受侵占生态缓冲带，善琏镇片区等实施水生态修复和生态缓冲带修复。</w:t>
      </w:r>
    </w:p>
    <w:p>
      <w:pPr>
        <w:pStyle w:val="3"/>
        <w:keepNext/>
        <w:keepLines/>
        <w:numPr>
          <w:ilvl w:val="0"/>
          <w:numId w:val="14"/>
        </w:numPr>
        <w:rPr>
          <w:rFonts w:eastAsia="楷体"/>
          <w:b/>
        </w:rPr>
      </w:pPr>
      <w:bookmarkStart w:id="56" w:name="_Toc71899953"/>
      <w:r>
        <w:rPr>
          <w:rFonts w:eastAsia="楷体"/>
          <w:b/>
        </w:rPr>
        <w:t>东苕溪</w:t>
      </w:r>
      <w:bookmarkEnd w:id="56"/>
    </w:p>
    <w:p>
      <w:pPr>
        <w:ind w:firstLine="600" w:firstLineChars="200"/>
        <w:rPr>
          <w:rFonts w:eastAsia="仿宋_GB2312"/>
          <w:sz w:val="30"/>
          <w:szCs w:val="30"/>
        </w:rPr>
      </w:pPr>
      <w:r>
        <w:rPr>
          <w:rFonts w:eastAsia="仿宋_GB2312"/>
          <w:sz w:val="30"/>
          <w:szCs w:val="30"/>
        </w:rPr>
        <w:t>大钱断面位于吴兴区，汇水范围</w:t>
      </w:r>
      <w:r>
        <w:rPr>
          <w:rFonts w:hint="eastAsia" w:eastAsia="仿宋_GB2312"/>
          <w:sz w:val="30"/>
          <w:szCs w:val="30"/>
        </w:rPr>
        <w:t>内</w:t>
      </w:r>
      <w:r>
        <w:rPr>
          <w:rFonts w:eastAsia="仿宋_GB2312"/>
          <w:sz w:val="30"/>
          <w:szCs w:val="30"/>
        </w:rPr>
        <w:t>涉及南浔区域主要为和孚镇、菱湖镇、石淙镇3个镇，面积约327平方公里</w:t>
      </w:r>
      <w:r>
        <w:rPr>
          <w:rFonts w:hint="eastAsia" w:eastAsia="仿宋_GB2312"/>
          <w:sz w:val="30"/>
          <w:szCs w:val="30"/>
        </w:rPr>
        <w:t>，南浔区域内主要有和孚和菱湖两个断面</w:t>
      </w:r>
      <w:r>
        <w:rPr>
          <w:rFonts w:eastAsia="仿宋_GB2312"/>
          <w:sz w:val="30"/>
          <w:szCs w:val="30"/>
        </w:rPr>
        <w:t>。“十三五”期间，菱湖断面溶解氧、总磷、高锰酸</w:t>
      </w:r>
      <w:r>
        <w:rPr>
          <w:rFonts w:hint="eastAsia" w:eastAsia="仿宋_GB2312"/>
          <w:sz w:val="30"/>
          <w:szCs w:val="30"/>
        </w:rPr>
        <w:t>盐指数</w:t>
      </w:r>
      <w:r>
        <w:rPr>
          <w:rFonts w:eastAsia="仿宋_GB2312"/>
          <w:sz w:val="30"/>
          <w:szCs w:val="30"/>
        </w:rPr>
        <w:t>逐月持续超标。成因包括：一是污水处理能力不足，湖州南浔和孚污水处理有限公司未实施清洁排放标准，菱湖镇、石淙镇管网漏损；二是菱湖镇、和孚镇等水产养殖尾水处理不到位；三是河湖水生态受损。</w:t>
      </w:r>
    </w:p>
    <w:p>
      <w:pPr>
        <w:ind w:firstLine="600" w:firstLineChars="200"/>
        <w:rPr>
          <w:rFonts w:eastAsia="仿宋_GB2312"/>
          <w:sz w:val="32"/>
          <w:szCs w:val="32"/>
        </w:rPr>
      </w:pPr>
      <w:r>
        <w:rPr>
          <w:rFonts w:eastAsia="仿宋_GB2312"/>
          <w:sz w:val="30"/>
          <w:szCs w:val="30"/>
        </w:rPr>
        <w:t>“十四五”期间，大钱/西山漾断面汇水范围主要任务为实施湖州南浔和孚污水处理有限公司清洁排放提标改造，提升污水处理能力。规范化建设菱湖镇、和孚镇等规模以下水产养殖尾水处理设施，强化尾水水质监管，石淙镇等建设氮磷生态拦截沟。菱湖镇片区实施生态缓冲带建设和水生态修复。</w:t>
      </w:r>
      <w:r>
        <w:rPr>
          <w:rFonts w:hint="eastAsia" w:eastAsia="仿宋_GB2312"/>
          <w:sz w:val="30"/>
          <w:szCs w:val="30"/>
        </w:rPr>
        <w:t>实施菱湖、和孚重兆化工园区污水零直排区建设以及印染企业和喷水织机企业的整治提升工作</w:t>
      </w:r>
      <w:r>
        <w:rPr>
          <w:rFonts w:eastAsia="仿宋_GB2312"/>
          <w:sz w:val="30"/>
          <w:szCs w:val="30"/>
        </w:rPr>
        <w:t>。</w:t>
      </w:r>
    </w:p>
    <w:p>
      <w:pPr>
        <w:rPr>
          <w:rFonts w:eastAsia="仿宋_GB2312"/>
          <w:sz w:val="30"/>
          <w:szCs w:val="30"/>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pPr>
      <w:bookmarkStart w:id="57" w:name="_Toc71899954"/>
      <w:r>
        <w:t>重点工程</w:t>
      </w:r>
      <w:bookmarkEnd w:id="57"/>
    </w:p>
    <w:p>
      <w:pPr>
        <w:ind w:firstLine="600" w:firstLineChars="200"/>
        <w:rPr>
          <w:rFonts w:eastAsia="仿宋_GB2312"/>
          <w:sz w:val="30"/>
          <w:szCs w:val="30"/>
        </w:rPr>
      </w:pPr>
      <w:r>
        <w:rPr>
          <w:rFonts w:eastAsia="仿宋_GB2312"/>
          <w:sz w:val="30"/>
          <w:szCs w:val="30"/>
        </w:rPr>
        <w:t>“十四五”期间，按照问题导向、目标导向原则，聚焦全域水生态环境自然恢复能力的持续提升，提出和实施水环境治理类、水生态修复类、水资源保护类</w:t>
      </w:r>
      <w:r>
        <w:rPr>
          <w:rFonts w:hint="eastAsia" w:eastAsia="仿宋_GB2312"/>
          <w:sz w:val="30"/>
          <w:szCs w:val="30"/>
        </w:rPr>
        <w:t>、</w:t>
      </w:r>
      <w:r>
        <w:rPr>
          <w:rFonts w:eastAsia="仿宋_GB2312"/>
          <w:sz w:val="30"/>
          <w:szCs w:val="30"/>
        </w:rPr>
        <w:t>风险防范类</w:t>
      </w:r>
      <w:r>
        <w:rPr>
          <w:rFonts w:hint="eastAsia" w:eastAsia="仿宋_GB2312"/>
          <w:sz w:val="30"/>
          <w:szCs w:val="30"/>
        </w:rPr>
        <w:t>和水生态产品</w:t>
      </w:r>
      <w:r>
        <w:rPr>
          <w:rFonts w:eastAsia="仿宋_GB2312"/>
          <w:sz w:val="30"/>
          <w:szCs w:val="30"/>
        </w:rPr>
        <w:t>等</w:t>
      </w:r>
      <w:r>
        <w:rPr>
          <w:rFonts w:hint="eastAsia" w:eastAsia="仿宋_GB2312"/>
          <w:sz w:val="30"/>
          <w:szCs w:val="30"/>
        </w:rPr>
        <w:t>五</w:t>
      </w:r>
      <w:r>
        <w:rPr>
          <w:rFonts w:eastAsia="仿宋_GB2312"/>
          <w:sz w:val="30"/>
          <w:szCs w:val="30"/>
        </w:rPr>
        <w:t>大类20项工程，共计投资</w:t>
      </w:r>
      <w:r>
        <w:rPr>
          <w:rFonts w:hint="eastAsia" w:eastAsia="仿宋_GB2312"/>
          <w:sz w:val="30"/>
          <w:szCs w:val="30"/>
        </w:rPr>
        <w:t>6</w:t>
      </w:r>
      <w:r>
        <w:rPr>
          <w:rFonts w:eastAsia="仿宋_GB2312"/>
          <w:sz w:val="30"/>
          <w:szCs w:val="30"/>
        </w:rPr>
        <w:t>8.8445亿元。</w:t>
      </w:r>
    </w:p>
    <w:p>
      <w:pPr>
        <w:ind w:firstLine="600" w:firstLineChars="200"/>
        <w:rPr>
          <w:rFonts w:eastAsia="仿宋_GB2312"/>
          <w:sz w:val="30"/>
          <w:szCs w:val="30"/>
        </w:rPr>
      </w:pPr>
      <w:r>
        <w:rPr>
          <w:rFonts w:eastAsia="仿宋_GB2312"/>
          <w:sz w:val="30"/>
          <w:szCs w:val="30"/>
        </w:rPr>
        <w:t>水环境治理类工程项目共计投资</w:t>
      </w:r>
      <w:r>
        <w:rPr>
          <w:rFonts w:hint="eastAsia" w:eastAsia="仿宋_GB2312"/>
          <w:sz w:val="30"/>
          <w:szCs w:val="30"/>
        </w:rPr>
        <w:t>29.684</w:t>
      </w:r>
      <w:r>
        <w:rPr>
          <w:rFonts w:eastAsia="仿宋_GB2312"/>
          <w:sz w:val="30"/>
          <w:szCs w:val="30"/>
        </w:rPr>
        <w:t>亿元，主要包括城镇污水处理及管网建设、农业农村污染防治、工业污染防治等；水生态修复类工程项目共计投资38</w:t>
      </w:r>
      <w:r>
        <w:rPr>
          <w:rFonts w:hint="eastAsia" w:eastAsia="仿宋_GB2312"/>
          <w:sz w:val="30"/>
          <w:szCs w:val="30"/>
        </w:rPr>
        <w:t>.360</w:t>
      </w:r>
      <w:r>
        <w:rPr>
          <w:rFonts w:eastAsia="仿宋_GB2312"/>
          <w:sz w:val="30"/>
          <w:szCs w:val="30"/>
        </w:rPr>
        <w:t>5亿元，主要包括河湖生态缓冲带修复、河湖水生植被恢复等；水资源保护类工程项目共计投资</w:t>
      </w:r>
      <w:r>
        <w:rPr>
          <w:rFonts w:hint="eastAsia" w:eastAsia="仿宋_GB2312"/>
          <w:sz w:val="30"/>
          <w:szCs w:val="30"/>
        </w:rPr>
        <w:t>0.2</w:t>
      </w:r>
      <w:r>
        <w:rPr>
          <w:rFonts w:eastAsia="仿宋_GB2312"/>
          <w:sz w:val="30"/>
          <w:szCs w:val="30"/>
        </w:rPr>
        <w:t>亿元，主要为再生水循环利用项目；风险防控类工程项目共计投资0.01亿元，主要为监测能力提升项目</w:t>
      </w:r>
      <w:r>
        <w:rPr>
          <w:rFonts w:hint="eastAsia" w:eastAsia="仿宋_GB2312"/>
          <w:sz w:val="30"/>
          <w:szCs w:val="30"/>
        </w:rPr>
        <w:t>和污水零直排数字监管平台</w:t>
      </w:r>
      <w:r>
        <w:rPr>
          <w:rFonts w:eastAsia="仿宋_GB2312"/>
          <w:sz w:val="30"/>
          <w:szCs w:val="30"/>
        </w:rPr>
        <w:t>。</w:t>
      </w:r>
      <w:r>
        <w:rPr>
          <w:rFonts w:hint="eastAsia" w:eastAsia="仿宋_GB2312"/>
          <w:sz w:val="30"/>
          <w:szCs w:val="30"/>
        </w:rPr>
        <w:t>水生态产品打造工程项目共计投资0.5亿元，主要为产业特色河网建设工程。</w:t>
      </w:r>
      <w:r>
        <w:rPr>
          <w:rFonts w:eastAsia="仿宋_GB2312"/>
          <w:sz w:val="30"/>
          <w:szCs w:val="30"/>
        </w:rPr>
        <w:t>具体项目内容详见附表二。</w:t>
      </w:r>
    </w:p>
    <w:p>
      <w:pPr>
        <w:spacing w:line="360" w:lineRule="exact"/>
        <w:jc w:val="center"/>
        <w:rPr>
          <w:rFonts w:eastAsia="黑体"/>
          <w:sz w:val="28"/>
          <w:szCs w:val="28"/>
        </w:rPr>
      </w:pPr>
    </w:p>
    <w:p>
      <w:pPr>
        <w:spacing w:line="360" w:lineRule="exact"/>
        <w:jc w:val="center"/>
        <w:rPr>
          <w:rFonts w:eastAsia="黑体"/>
          <w:sz w:val="28"/>
          <w:szCs w:val="28"/>
        </w:rPr>
      </w:pPr>
      <w:r>
        <w:rPr>
          <w:rFonts w:eastAsia="黑体"/>
          <w:sz w:val="28"/>
          <w:szCs w:val="28"/>
        </w:rPr>
        <w:t>表5-1 南浔区“十四五”水生态环境保护规划重点项目及投资估算</w:t>
      </w:r>
    </w:p>
    <w:tbl>
      <w:tblPr>
        <w:tblStyle w:val="29"/>
        <w:tblW w:w="5000" w:type="pct"/>
        <w:jc w:val="center"/>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102"/>
        <w:gridCol w:w="3407"/>
        <w:gridCol w:w="2102"/>
        <w:gridCol w:w="191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1" w:hRule="atLeast"/>
          <w:jc w:val="center"/>
        </w:trPr>
        <w:tc>
          <w:tcPr>
            <w:tcW w:w="647"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序号</w:t>
            </w:r>
          </w:p>
        </w:tc>
        <w:tc>
          <w:tcPr>
            <w:tcW w:w="1999"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项目类型</w:t>
            </w:r>
          </w:p>
        </w:tc>
        <w:tc>
          <w:tcPr>
            <w:tcW w:w="1233"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重点工程</w:t>
            </w:r>
          </w:p>
          <w:p>
            <w:pPr>
              <w:tabs>
                <w:tab w:val="center" w:pos="4153"/>
                <w:tab w:val="right" w:pos="8306"/>
              </w:tabs>
              <w:snapToGrid w:val="0"/>
              <w:spacing w:line="400" w:lineRule="exact"/>
              <w:jc w:val="center"/>
              <w:rPr>
                <w:rFonts w:eastAsia="仿宋_GB2312"/>
                <w:sz w:val="28"/>
                <w:szCs w:val="28"/>
              </w:rPr>
            </w:pPr>
            <w:r>
              <w:rPr>
                <w:rFonts w:eastAsia="仿宋_GB2312"/>
                <w:sz w:val="28"/>
                <w:szCs w:val="28"/>
              </w:rPr>
              <w:t>（项）</w:t>
            </w:r>
          </w:p>
        </w:tc>
        <w:tc>
          <w:tcPr>
            <w:tcW w:w="1121"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总投资（</w:t>
            </w:r>
            <w:r>
              <w:rPr>
                <w:rFonts w:hint="eastAsia" w:eastAsia="仿宋_GB2312"/>
                <w:sz w:val="28"/>
                <w:szCs w:val="28"/>
              </w:rPr>
              <w:t>亿</w:t>
            </w:r>
            <w:r>
              <w:rPr>
                <w:rFonts w:eastAsia="仿宋_GB2312"/>
                <w:sz w:val="28"/>
                <w:szCs w:val="28"/>
              </w:rPr>
              <w:t>元）</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1" w:hRule="atLeast"/>
          <w:jc w:val="center"/>
        </w:trPr>
        <w:tc>
          <w:tcPr>
            <w:tcW w:w="647"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1</w:t>
            </w:r>
          </w:p>
        </w:tc>
        <w:tc>
          <w:tcPr>
            <w:tcW w:w="1999"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水环境治理类</w:t>
            </w:r>
          </w:p>
        </w:tc>
        <w:tc>
          <w:tcPr>
            <w:tcW w:w="1233"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hint="eastAsia" w:eastAsia="仿宋_GB2312"/>
                <w:sz w:val="28"/>
                <w:szCs w:val="28"/>
              </w:rPr>
              <w:t>7</w:t>
            </w:r>
          </w:p>
        </w:tc>
        <w:tc>
          <w:tcPr>
            <w:tcW w:w="1121" w:type="pct"/>
            <w:tcBorders>
              <w:top w:val="single" w:color="auto" w:sz="4" w:space="0"/>
              <w:left w:val="single" w:color="auto" w:sz="4" w:space="0"/>
              <w:right w:val="single" w:color="auto" w:sz="4" w:space="0"/>
            </w:tcBorders>
            <w:vAlign w:val="center"/>
          </w:tcPr>
          <w:p>
            <w:pPr>
              <w:spacing w:line="360" w:lineRule="auto"/>
              <w:jc w:val="center"/>
              <w:rPr>
                <w:rFonts w:eastAsia="仿宋_GB2312"/>
                <w:sz w:val="28"/>
                <w:szCs w:val="28"/>
              </w:rPr>
            </w:pPr>
            <w:r>
              <w:rPr>
                <w:rFonts w:hint="eastAsia" w:eastAsia="仿宋_GB2312"/>
                <w:sz w:val="28"/>
                <w:szCs w:val="28"/>
              </w:rPr>
              <w:t>29.684</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1" w:hRule="atLeast"/>
          <w:jc w:val="center"/>
        </w:trPr>
        <w:tc>
          <w:tcPr>
            <w:tcW w:w="647"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2</w:t>
            </w:r>
          </w:p>
        </w:tc>
        <w:tc>
          <w:tcPr>
            <w:tcW w:w="1999"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水生态修复类</w:t>
            </w:r>
          </w:p>
        </w:tc>
        <w:tc>
          <w:tcPr>
            <w:tcW w:w="1233"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9</w:t>
            </w:r>
          </w:p>
        </w:tc>
        <w:tc>
          <w:tcPr>
            <w:tcW w:w="1121" w:type="pct"/>
            <w:tcBorders>
              <w:top w:val="single" w:color="auto" w:sz="4" w:space="0"/>
              <w:left w:val="single" w:color="auto" w:sz="4" w:space="0"/>
              <w:right w:val="single" w:color="auto" w:sz="4" w:space="0"/>
            </w:tcBorders>
            <w:vAlign w:val="center"/>
          </w:tcPr>
          <w:p>
            <w:pPr>
              <w:spacing w:line="360" w:lineRule="auto"/>
              <w:jc w:val="center"/>
              <w:rPr>
                <w:rFonts w:eastAsia="仿宋_GB2312"/>
                <w:sz w:val="28"/>
                <w:szCs w:val="28"/>
              </w:rPr>
            </w:pPr>
            <w:r>
              <w:rPr>
                <w:rFonts w:hint="eastAsia" w:eastAsia="仿宋_GB2312"/>
                <w:sz w:val="28"/>
                <w:szCs w:val="28"/>
              </w:rPr>
              <w:t>3</w:t>
            </w:r>
            <w:r>
              <w:rPr>
                <w:rFonts w:eastAsia="仿宋_GB2312"/>
                <w:sz w:val="28"/>
                <w:szCs w:val="28"/>
              </w:rPr>
              <w:t>8</w:t>
            </w:r>
            <w:r>
              <w:rPr>
                <w:rFonts w:hint="eastAsia" w:eastAsia="仿宋_GB2312"/>
                <w:sz w:val="28"/>
                <w:szCs w:val="28"/>
              </w:rPr>
              <w:t>.360</w:t>
            </w:r>
            <w:r>
              <w:rPr>
                <w:rFonts w:eastAsia="仿宋_GB2312"/>
                <w:sz w:val="28"/>
                <w:szCs w:val="28"/>
              </w:rPr>
              <w:t>5</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1" w:hRule="atLeast"/>
          <w:jc w:val="center"/>
        </w:trPr>
        <w:tc>
          <w:tcPr>
            <w:tcW w:w="647"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3</w:t>
            </w:r>
          </w:p>
        </w:tc>
        <w:tc>
          <w:tcPr>
            <w:tcW w:w="1999"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水资源保护类</w:t>
            </w:r>
          </w:p>
        </w:tc>
        <w:tc>
          <w:tcPr>
            <w:tcW w:w="1233"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hint="eastAsia" w:eastAsia="仿宋_GB2312"/>
                <w:sz w:val="28"/>
                <w:szCs w:val="28"/>
              </w:rPr>
              <w:t>1</w:t>
            </w:r>
          </w:p>
        </w:tc>
        <w:tc>
          <w:tcPr>
            <w:tcW w:w="1121" w:type="pct"/>
            <w:tcBorders>
              <w:top w:val="single" w:color="auto" w:sz="4" w:space="0"/>
              <w:left w:val="single" w:color="auto" w:sz="4" w:space="0"/>
              <w:right w:val="single" w:color="auto" w:sz="4" w:space="0"/>
            </w:tcBorders>
            <w:vAlign w:val="center"/>
          </w:tcPr>
          <w:p>
            <w:pPr>
              <w:spacing w:line="360" w:lineRule="auto"/>
              <w:jc w:val="center"/>
              <w:rPr>
                <w:rFonts w:eastAsia="仿宋_GB2312"/>
                <w:sz w:val="28"/>
                <w:szCs w:val="28"/>
              </w:rPr>
            </w:pPr>
            <w:r>
              <w:rPr>
                <w:rFonts w:hint="eastAsia" w:eastAsia="仿宋_GB2312"/>
                <w:sz w:val="28"/>
                <w:szCs w:val="28"/>
              </w:rPr>
              <w:t>0.2</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1"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4</w:t>
            </w:r>
          </w:p>
        </w:tc>
        <w:tc>
          <w:tcPr>
            <w:tcW w:w="199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风险防范类</w:t>
            </w:r>
          </w:p>
        </w:tc>
        <w:tc>
          <w:tcPr>
            <w:tcW w:w="1233"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eastAsia="仿宋_GB2312"/>
                <w:sz w:val="28"/>
                <w:szCs w:val="28"/>
              </w:rPr>
              <w:t>2</w:t>
            </w:r>
          </w:p>
        </w:tc>
        <w:tc>
          <w:tcPr>
            <w:tcW w:w="112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8"/>
                <w:szCs w:val="28"/>
              </w:rPr>
            </w:pPr>
            <w:r>
              <w:rPr>
                <w:rFonts w:hint="eastAsia" w:eastAsia="仿宋_GB2312"/>
                <w:sz w:val="28"/>
                <w:szCs w:val="28"/>
              </w:rPr>
              <w:t>0.</w:t>
            </w:r>
            <w:r>
              <w:rPr>
                <w:rFonts w:eastAsia="仿宋_GB2312"/>
                <w:sz w:val="28"/>
                <w:szCs w:val="28"/>
              </w:rPr>
              <w:t>1</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1" w:hRule="atLeast"/>
          <w:jc w:val="center"/>
        </w:trPr>
        <w:tc>
          <w:tcPr>
            <w:tcW w:w="647"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hint="eastAsia" w:eastAsia="仿宋_GB2312"/>
                <w:sz w:val="28"/>
                <w:szCs w:val="28"/>
              </w:rPr>
              <w:t>5</w:t>
            </w:r>
          </w:p>
        </w:tc>
        <w:tc>
          <w:tcPr>
            <w:tcW w:w="1999"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hint="eastAsia" w:eastAsia="仿宋_GB2312"/>
                <w:sz w:val="28"/>
                <w:szCs w:val="28"/>
              </w:rPr>
              <w:t>水生态产品类</w:t>
            </w:r>
          </w:p>
        </w:tc>
        <w:tc>
          <w:tcPr>
            <w:tcW w:w="1233" w:type="pct"/>
            <w:tcBorders>
              <w:top w:val="single" w:color="auto" w:sz="4" w:space="0"/>
              <w:left w:val="single" w:color="auto" w:sz="4" w:space="0"/>
              <w:right w:val="single" w:color="auto" w:sz="4" w:space="0"/>
            </w:tcBorders>
            <w:vAlign w:val="center"/>
          </w:tcPr>
          <w:p>
            <w:pPr>
              <w:tabs>
                <w:tab w:val="center" w:pos="4153"/>
                <w:tab w:val="right" w:pos="8306"/>
              </w:tabs>
              <w:snapToGrid w:val="0"/>
              <w:spacing w:line="400" w:lineRule="exact"/>
              <w:jc w:val="center"/>
              <w:rPr>
                <w:rFonts w:eastAsia="仿宋_GB2312"/>
                <w:sz w:val="28"/>
                <w:szCs w:val="28"/>
              </w:rPr>
            </w:pPr>
            <w:r>
              <w:rPr>
                <w:rFonts w:hint="eastAsia" w:eastAsia="仿宋_GB2312"/>
                <w:sz w:val="28"/>
                <w:szCs w:val="28"/>
              </w:rPr>
              <w:t>1</w:t>
            </w:r>
          </w:p>
        </w:tc>
        <w:tc>
          <w:tcPr>
            <w:tcW w:w="1121" w:type="pct"/>
            <w:tcBorders>
              <w:top w:val="single" w:color="auto" w:sz="4" w:space="0"/>
              <w:left w:val="single" w:color="auto" w:sz="4" w:space="0"/>
              <w:right w:val="single" w:color="auto" w:sz="4" w:space="0"/>
            </w:tcBorders>
            <w:vAlign w:val="center"/>
          </w:tcPr>
          <w:p>
            <w:pPr>
              <w:spacing w:line="360" w:lineRule="auto"/>
              <w:jc w:val="center"/>
              <w:rPr>
                <w:rFonts w:eastAsia="仿宋_GB2312"/>
                <w:sz w:val="28"/>
                <w:szCs w:val="28"/>
              </w:rPr>
            </w:pPr>
            <w:r>
              <w:rPr>
                <w:rFonts w:hint="eastAsia" w:eastAsia="仿宋_GB2312"/>
                <w:sz w:val="28"/>
                <w:szCs w:val="28"/>
              </w:rPr>
              <w:t>0.5</w:t>
            </w:r>
          </w:p>
        </w:tc>
      </w:tr>
    </w:tbl>
    <w:p>
      <w:pPr>
        <w:ind w:firstLine="602" w:firstLineChars="200"/>
        <w:rPr>
          <w:rFonts w:eastAsia="仿宋_GB2312"/>
          <w:b/>
          <w:sz w:val="30"/>
          <w:szCs w:val="30"/>
        </w:rPr>
      </w:pPr>
    </w:p>
    <w:p>
      <w:pPr>
        <w:ind w:firstLine="640" w:firstLineChars="200"/>
        <w:rPr>
          <w:rFonts w:eastAsia="仿宋_GB2312"/>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pPr>
      <w:bookmarkStart w:id="58" w:name="_Toc71899955"/>
      <w:r>
        <w:t>保障措施</w:t>
      </w:r>
      <w:bookmarkEnd w:id="58"/>
    </w:p>
    <w:p>
      <w:pPr>
        <w:pStyle w:val="3"/>
        <w:keepNext/>
        <w:keepLines/>
        <w:numPr>
          <w:ilvl w:val="0"/>
          <w:numId w:val="15"/>
        </w:numPr>
        <w:rPr>
          <w:rFonts w:eastAsia="楷体"/>
          <w:b/>
        </w:rPr>
      </w:pPr>
      <w:r>
        <w:rPr>
          <w:rFonts w:eastAsia="楷体"/>
          <w:b/>
        </w:rPr>
        <w:tab/>
      </w:r>
      <w:bookmarkStart w:id="59" w:name="_Toc71899956"/>
      <w:r>
        <w:rPr>
          <w:rFonts w:eastAsia="楷体"/>
          <w:b/>
        </w:rPr>
        <w:t>加强组织领导</w:t>
      </w:r>
      <w:bookmarkEnd w:id="59"/>
    </w:p>
    <w:p>
      <w:pPr>
        <w:ind w:firstLine="600" w:firstLineChars="200"/>
        <w:rPr>
          <w:rFonts w:eastAsia="仿宋_GB2312"/>
          <w:sz w:val="30"/>
          <w:szCs w:val="30"/>
        </w:rPr>
      </w:pPr>
      <w:r>
        <w:rPr>
          <w:rFonts w:eastAsia="仿宋_GB2312"/>
          <w:sz w:val="30"/>
          <w:szCs w:val="30"/>
        </w:rPr>
        <w:t>严格落实“党政同责、一岗双责”要求，坚持“辖区管理、属地负责”原则，加强规划实施的组织领导。政府对本辖区的生态环境质量负总责，分解落实规划目标和任务，做到责任到位、措施到位、工作到位，确保规划目标顺利实现。建立事权清晰、分工明确、行为规范、运转协调的规划协作机制，明确各部门职责分工，强化指导、协调及监督，确保规划顺利实施。以严格考核问责倒逼责任落实，切实将规划实施抓实、抓细、抓到位，以高质量的问题整改促进环保工作水平提升。严格执行国家工程建设质量管理规定，加强项目前期准备、实施、竣工验收、项目后评估全过程管理，确保项目工程质量。</w:t>
      </w:r>
    </w:p>
    <w:p>
      <w:pPr>
        <w:pStyle w:val="3"/>
        <w:keepNext/>
        <w:keepLines/>
        <w:numPr>
          <w:ilvl w:val="0"/>
          <w:numId w:val="15"/>
        </w:numPr>
        <w:rPr>
          <w:rFonts w:eastAsia="楷体"/>
          <w:b/>
        </w:rPr>
      </w:pPr>
      <w:r>
        <w:rPr>
          <w:rFonts w:eastAsia="楷体"/>
          <w:b/>
        </w:rPr>
        <w:tab/>
      </w:r>
      <w:bookmarkStart w:id="60" w:name="_Toc71899957"/>
      <w:r>
        <w:rPr>
          <w:rFonts w:eastAsia="楷体"/>
          <w:b/>
        </w:rPr>
        <w:t>推动联防联控</w:t>
      </w:r>
      <w:bookmarkEnd w:id="60"/>
    </w:p>
    <w:p>
      <w:pPr>
        <w:ind w:firstLine="600" w:firstLineChars="200"/>
        <w:rPr>
          <w:rFonts w:eastAsia="仿宋_GB2312"/>
          <w:sz w:val="30"/>
          <w:szCs w:val="30"/>
        </w:rPr>
      </w:pPr>
      <w:r>
        <w:rPr>
          <w:rFonts w:eastAsia="仿宋_GB2312"/>
          <w:sz w:val="30"/>
          <w:szCs w:val="30"/>
        </w:rPr>
        <w:t>增强长三角区域一体化发展合作交流，协同推动太湖流域水生态环境高质量发展。推动形成环太湖城市联防联控机制，助推长三角地区三省一市合力治太局面，流域层面开展太湖流域统筹谋划，精准施策、协同治理。推动建设长三角一体化太湖蓝藻监测监控、预警预报、指挥调度信息平台，强化区域间水生态环境保护、预警与蓝藻防控信息共享和联动，助推形成区域协同的常态化、高质量信息公开制度。</w:t>
      </w:r>
    </w:p>
    <w:p>
      <w:pPr>
        <w:pStyle w:val="3"/>
        <w:keepNext/>
        <w:keepLines/>
        <w:numPr>
          <w:ilvl w:val="0"/>
          <w:numId w:val="15"/>
        </w:numPr>
        <w:rPr>
          <w:rFonts w:eastAsia="楷体"/>
          <w:b/>
        </w:rPr>
      </w:pPr>
      <w:r>
        <w:rPr>
          <w:rFonts w:eastAsia="楷体"/>
          <w:b/>
        </w:rPr>
        <w:tab/>
      </w:r>
      <w:bookmarkStart w:id="61" w:name="_Toc71899958"/>
      <w:r>
        <w:rPr>
          <w:rFonts w:eastAsia="楷体"/>
          <w:b/>
        </w:rPr>
        <w:t>完善资金保障</w:t>
      </w:r>
      <w:bookmarkEnd w:id="61"/>
    </w:p>
    <w:p>
      <w:pPr>
        <w:ind w:firstLine="600" w:firstLineChars="200"/>
        <w:rPr>
          <w:rFonts w:eastAsia="仿宋_GB2312"/>
          <w:sz w:val="30"/>
          <w:szCs w:val="30"/>
        </w:rPr>
      </w:pPr>
      <w:r>
        <w:rPr>
          <w:rFonts w:eastAsia="仿宋_GB2312"/>
          <w:sz w:val="30"/>
          <w:szCs w:val="30"/>
        </w:rPr>
        <w:t>建立环保项目储备库，加大各级政府对生态修复、污染治理、风险管控等重点工作的财政投入力度，积极争取财政竞争性分配资金。建立多元化投入机制，健全生态补偿机制，多渠道筹集资金。鼓励社会资本以市场化方式设立环境保护基金，创新环保项目市场融资，加大税收、信贷、价格政策支持力度，推进生态治理市场化，营造有利于水生态环境修复治理行业发展的政策环境，吸引社会各方参与生态环境保护建设。</w:t>
      </w:r>
    </w:p>
    <w:p>
      <w:pPr>
        <w:pStyle w:val="3"/>
        <w:keepNext/>
        <w:keepLines/>
        <w:numPr>
          <w:ilvl w:val="0"/>
          <w:numId w:val="15"/>
        </w:numPr>
        <w:rPr>
          <w:rFonts w:eastAsia="楷体"/>
          <w:b/>
        </w:rPr>
      </w:pPr>
      <w:bookmarkStart w:id="62" w:name="_Toc71899959"/>
      <w:r>
        <w:rPr>
          <w:rFonts w:eastAsia="楷体"/>
          <w:b/>
        </w:rPr>
        <w:t>注重科研支撑</w:t>
      </w:r>
      <w:bookmarkEnd w:id="62"/>
    </w:p>
    <w:p>
      <w:pPr>
        <w:ind w:firstLine="600" w:firstLineChars="200"/>
        <w:rPr>
          <w:rFonts w:eastAsia="仿宋_GB2312"/>
          <w:sz w:val="30"/>
          <w:szCs w:val="30"/>
        </w:rPr>
      </w:pPr>
      <w:r>
        <w:rPr>
          <w:rFonts w:eastAsia="仿宋_GB2312"/>
          <w:sz w:val="30"/>
          <w:szCs w:val="30"/>
        </w:rPr>
        <w:t>发挥高等院校、科研机构、先进企业和行业协会各方力量作用，加强产学研用协同创新，推动环保新技术、新产业、新业态蓬勃发展。建立水生态环境治理专家合作机制，强化各层面专业技术交流，加强专业技术人才引进，提高水生态环境保护修复决策与实施的科学性、合理性、可行性。强化企业创新主体作用，引导企业开展技术创新和转型升级。加强各类科技专项成果的提炼、推广和应用。</w:t>
      </w:r>
    </w:p>
    <w:p>
      <w:pPr>
        <w:pStyle w:val="3"/>
        <w:keepNext/>
        <w:keepLines/>
        <w:numPr>
          <w:ilvl w:val="0"/>
          <w:numId w:val="15"/>
        </w:numPr>
        <w:rPr>
          <w:rFonts w:eastAsia="楷体"/>
          <w:b/>
        </w:rPr>
      </w:pPr>
      <w:bookmarkStart w:id="63" w:name="_Toc71899960"/>
      <w:r>
        <w:rPr>
          <w:rFonts w:eastAsia="楷体"/>
          <w:b/>
        </w:rPr>
        <w:t>强化监督管理</w:t>
      </w:r>
      <w:bookmarkEnd w:id="63"/>
    </w:p>
    <w:p>
      <w:pPr>
        <w:ind w:firstLine="600" w:firstLineChars="200"/>
        <w:rPr>
          <w:rFonts w:eastAsia="仿宋_GB2312"/>
          <w:sz w:val="30"/>
          <w:szCs w:val="30"/>
        </w:rPr>
      </w:pPr>
      <w:r>
        <w:rPr>
          <w:rFonts w:eastAsia="仿宋_GB2312"/>
          <w:sz w:val="30"/>
          <w:szCs w:val="30"/>
        </w:rPr>
        <w:t>加强水生态环境监督管理、执法队伍及装备能力建设，提升环境监察标准化、智能化建设水平。大力推动水生态环境保护与水质监测大数据和物联网应用，建立水环境综合治理监管平台，强化智能监测与智慧执法的联动能力。加强规划实施检查监督和年度考核，建立规划实施评估考核机制，对规划确定的目标指标、主要任务和重大工程落实情况进行及时评估总结。开展中期评估和终期考核，并对评估考核结果进行通报，并向社会公开。规划实施进展成效和考核结果作为对党政领导班子和领导干部综合考核评价的重要依据。全面抓好中央、省环保督察问题整改落实，切实加大环境保护监督执法力度，依法严厉打击环境保护违法违规行为。持续推进实施环境保护司法联动机制，深化民事环保公益诉讼制度。</w:t>
      </w:r>
    </w:p>
    <w:p>
      <w:pPr>
        <w:pStyle w:val="3"/>
        <w:keepNext/>
        <w:keepLines/>
        <w:numPr>
          <w:ilvl w:val="0"/>
          <w:numId w:val="15"/>
        </w:numPr>
        <w:rPr>
          <w:rFonts w:eastAsia="楷体"/>
          <w:b/>
        </w:rPr>
      </w:pPr>
      <w:bookmarkStart w:id="64" w:name="_Toc71899961"/>
      <w:r>
        <w:rPr>
          <w:rFonts w:eastAsia="楷体"/>
          <w:b/>
        </w:rPr>
        <w:t>深化公众参与</w:t>
      </w:r>
      <w:bookmarkEnd w:id="64"/>
    </w:p>
    <w:p>
      <w:pPr>
        <w:ind w:firstLine="600" w:firstLineChars="200"/>
        <w:rPr>
          <w:rFonts w:eastAsia="仿宋_GB2312"/>
          <w:sz w:val="30"/>
          <w:szCs w:val="30"/>
        </w:rPr>
      </w:pPr>
      <w:r>
        <w:rPr>
          <w:rFonts w:eastAsia="仿宋_GB2312"/>
          <w:sz w:val="30"/>
          <w:szCs w:val="30"/>
        </w:rPr>
        <w:t>落实政务公开制度，依法定期向社会公布规划实施进展信息，推进企业环境信息披露，切实维护公众对水资源与生态环境保护的知情权、参与权和监督权。建立规划实施公众反馈和监督机制，完善公众对话沟通平台，拓宽公众参与渠道，充分发挥公众和新闻媒体等社会力量的监督作用。强化环保志愿者作用，引导规范生态环保非政府公益组织发展。深化“生态绿币”奖励机制建设，横向扩大奖励范围和覆盖地域，纵向拓展绿币捐赠、实物兑换的社会化参与深度。加强桑基鱼塘等水文化载体保护。进一步强化全民责任意识、法治意识、社会责任意识，加大规划实施成效宣传力度，营造全社会共同关注与监督生态环境保护的良好氛围</w:t>
      </w:r>
    </w:p>
    <w:p>
      <w:pPr>
        <w:rPr>
          <w:rFonts w:eastAsia="仿宋_GB2312"/>
          <w:sz w:val="30"/>
          <w:szCs w:val="30"/>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6"/>
        <w:ind w:left="-2" w:leftChars="-1" w:firstLine="1" w:firstLineChars="0"/>
        <w:jc w:val="left"/>
        <w:outlineLvl w:val="0"/>
        <w:rPr>
          <w:rFonts w:ascii="Times New Roman" w:hAnsi="Times New Roman" w:eastAsia="黑体" w:cs="Times New Roman"/>
          <w:sz w:val="30"/>
          <w:szCs w:val="30"/>
        </w:rPr>
      </w:pPr>
      <w:bookmarkStart w:id="65" w:name="_Toc63680571"/>
      <w:bookmarkStart w:id="66" w:name="_Toc56344344"/>
      <w:bookmarkStart w:id="67" w:name="_Toc56344194"/>
      <w:bookmarkStart w:id="68" w:name="_Toc71899962"/>
      <w:bookmarkStart w:id="69" w:name="_Toc26173436"/>
      <w:bookmarkStart w:id="70" w:name="_Toc43324307"/>
      <w:bookmarkStart w:id="71" w:name="_Toc43368919"/>
      <w:bookmarkStart w:id="72" w:name="_Toc43378176"/>
      <w:r>
        <w:rPr>
          <w:rFonts w:ascii="Times New Roman" w:hAnsi="Times New Roman" w:eastAsia="黑体" w:cs="Times New Roman"/>
          <w:sz w:val="30"/>
          <w:szCs w:val="30"/>
        </w:rPr>
        <w:t>附表</w:t>
      </w:r>
      <w:r>
        <w:rPr>
          <w:rFonts w:hint="eastAsia" w:ascii="Times New Roman" w:hAnsi="Times New Roman" w:eastAsia="黑体" w:cs="Times New Roman"/>
          <w:sz w:val="30"/>
          <w:szCs w:val="30"/>
        </w:rPr>
        <w:t>一</w:t>
      </w:r>
      <w:r>
        <w:rPr>
          <w:rFonts w:ascii="Times New Roman" w:hAnsi="Times New Roman" w:eastAsia="黑体" w:cs="Times New Roman"/>
          <w:sz w:val="30"/>
          <w:szCs w:val="30"/>
        </w:rPr>
        <w:t xml:space="preserve">  规划工程项目及投资表</w:t>
      </w:r>
      <w:bookmarkEnd w:id="65"/>
      <w:bookmarkEnd w:id="66"/>
      <w:bookmarkEnd w:id="67"/>
      <w:bookmarkEnd w:id="68"/>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568"/>
        <w:gridCol w:w="2267"/>
        <w:gridCol w:w="7373"/>
        <w:gridCol w:w="1558"/>
        <w:gridCol w:w="1274"/>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shd w:val="clear" w:color="auto" w:fill="auto"/>
            <w:noWrap/>
            <w:vAlign w:val="center"/>
          </w:tcPr>
          <w:p>
            <w:pPr>
              <w:widowControl/>
              <w:snapToGrid w:val="0"/>
              <w:spacing w:line="360" w:lineRule="exact"/>
              <w:jc w:val="center"/>
              <w:rPr>
                <w:rFonts w:eastAsia="仿宋_GB2312"/>
                <w:b/>
                <w:bCs/>
                <w:kern w:val="0"/>
                <w:sz w:val="24"/>
                <w:szCs w:val="24"/>
              </w:rPr>
            </w:pPr>
            <w:r>
              <w:rPr>
                <w:rFonts w:eastAsia="仿宋_GB2312"/>
                <w:b/>
                <w:bCs/>
                <w:kern w:val="0"/>
                <w:sz w:val="24"/>
                <w:szCs w:val="24"/>
              </w:rPr>
              <w:t>项目类型</w:t>
            </w:r>
          </w:p>
        </w:tc>
        <w:tc>
          <w:tcPr>
            <w:tcW w:w="908" w:type="pct"/>
            <w:gridSpan w:val="2"/>
            <w:shd w:val="clear" w:color="auto" w:fill="auto"/>
            <w:noWrap/>
            <w:vAlign w:val="center"/>
          </w:tcPr>
          <w:p>
            <w:pPr>
              <w:widowControl/>
              <w:snapToGrid w:val="0"/>
              <w:spacing w:line="360" w:lineRule="exact"/>
              <w:jc w:val="center"/>
              <w:rPr>
                <w:rFonts w:eastAsia="仿宋_GB2312"/>
                <w:b/>
                <w:bCs/>
                <w:kern w:val="0"/>
                <w:sz w:val="24"/>
                <w:szCs w:val="24"/>
              </w:rPr>
            </w:pPr>
            <w:r>
              <w:rPr>
                <w:rFonts w:eastAsia="仿宋_GB2312"/>
                <w:b/>
                <w:bCs/>
                <w:kern w:val="0"/>
                <w:sz w:val="24"/>
                <w:szCs w:val="24"/>
              </w:rPr>
              <w:t>项目序号、名称</w:t>
            </w:r>
          </w:p>
        </w:tc>
        <w:tc>
          <w:tcPr>
            <w:tcW w:w="2361" w:type="pct"/>
            <w:shd w:val="clear" w:color="auto" w:fill="auto"/>
            <w:noWrap/>
            <w:vAlign w:val="center"/>
          </w:tcPr>
          <w:p>
            <w:pPr>
              <w:widowControl/>
              <w:snapToGrid w:val="0"/>
              <w:spacing w:line="360" w:lineRule="exact"/>
              <w:jc w:val="center"/>
              <w:rPr>
                <w:rFonts w:eastAsia="仿宋_GB2312"/>
                <w:b/>
                <w:bCs/>
                <w:kern w:val="0"/>
                <w:sz w:val="24"/>
                <w:szCs w:val="24"/>
              </w:rPr>
            </w:pPr>
            <w:r>
              <w:rPr>
                <w:rFonts w:eastAsia="仿宋_GB2312"/>
                <w:b/>
                <w:bCs/>
                <w:kern w:val="0"/>
                <w:sz w:val="24"/>
                <w:szCs w:val="24"/>
              </w:rPr>
              <w:t>建设内容和规模</w:t>
            </w:r>
          </w:p>
        </w:tc>
        <w:tc>
          <w:tcPr>
            <w:tcW w:w="499" w:type="pct"/>
            <w:shd w:val="clear" w:color="auto" w:fill="auto"/>
            <w:noWrap/>
            <w:vAlign w:val="center"/>
          </w:tcPr>
          <w:p>
            <w:pPr>
              <w:widowControl/>
              <w:snapToGrid w:val="0"/>
              <w:spacing w:line="360" w:lineRule="exact"/>
              <w:jc w:val="center"/>
              <w:rPr>
                <w:rFonts w:eastAsia="仿宋_GB2312"/>
                <w:b/>
                <w:bCs/>
                <w:kern w:val="0"/>
                <w:sz w:val="24"/>
                <w:szCs w:val="24"/>
              </w:rPr>
            </w:pPr>
            <w:r>
              <w:rPr>
                <w:rFonts w:eastAsia="仿宋_GB2312"/>
                <w:b/>
                <w:bCs/>
                <w:kern w:val="0"/>
                <w:sz w:val="24"/>
                <w:szCs w:val="24"/>
              </w:rPr>
              <w:t>起止年限</w:t>
            </w:r>
          </w:p>
        </w:tc>
        <w:tc>
          <w:tcPr>
            <w:tcW w:w="408" w:type="pct"/>
            <w:shd w:val="clear" w:color="auto" w:fill="auto"/>
            <w:noWrap/>
            <w:vAlign w:val="center"/>
          </w:tcPr>
          <w:p>
            <w:pPr>
              <w:widowControl/>
              <w:snapToGrid w:val="0"/>
              <w:spacing w:line="360" w:lineRule="exact"/>
              <w:jc w:val="center"/>
              <w:rPr>
                <w:rFonts w:eastAsia="仿宋_GB2312"/>
                <w:b/>
                <w:bCs/>
                <w:kern w:val="0"/>
                <w:sz w:val="24"/>
                <w:szCs w:val="24"/>
              </w:rPr>
            </w:pPr>
            <w:r>
              <w:rPr>
                <w:rFonts w:eastAsia="仿宋_GB2312"/>
                <w:b/>
                <w:bCs/>
                <w:kern w:val="0"/>
                <w:sz w:val="24"/>
                <w:szCs w:val="24"/>
              </w:rPr>
              <w:t>投资额（亿元）</w:t>
            </w:r>
          </w:p>
        </w:tc>
        <w:tc>
          <w:tcPr>
            <w:tcW w:w="517" w:type="pct"/>
            <w:shd w:val="clear" w:color="auto" w:fill="auto"/>
            <w:noWrap/>
            <w:vAlign w:val="center"/>
          </w:tcPr>
          <w:p>
            <w:pPr>
              <w:widowControl/>
              <w:snapToGrid w:val="0"/>
              <w:spacing w:line="360" w:lineRule="exact"/>
              <w:jc w:val="center"/>
              <w:rPr>
                <w:rFonts w:eastAsia="仿宋_GB2312"/>
                <w:b/>
                <w:bCs/>
                <w:kern w:val="0"/>
                <w:sz w:val="24"/>
                <w:szCs w:val="24"/>
              </w:rPr>
            </w:pPr>
            <w:r>
              <w:rPr>
                <w:rFonts w:hint="eastAsia" w:eastAsia="仿宋_GB2312"/>
                <w:b/>
                <w:bCs/>
                <w:kern w:val="0"/>
                <w:sz w:val="24"/>
                <w:szCs w:val="24"/>
              </w:rPr>
              <w:t>牵头</w:t>
            </w:r>
            <w:r>
              <w:rPr>
                <w:rFonts w:eastAsia="仿宋_GB2312"/>
                <w:b/>
                <w:bCs/>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restart"/>
            <w:shd w:val="clear" w:color="auto" w:fill="auto"/>
            <w:noWrap/>
            <w:vAlign w:val="center"/>
          </w:tcPr>
          <w:p>
            <w:pPr>
              <w:snapToGrid w:val="0"/>
              <w:spacing w:line="330" w:lineRule="exact"/>
              <w:rPr>
                <w:rFonts w:eastAsia="仿宋_GB2312"/>
                <w:sz w:val="24"/>
                <w:szCs w:val="24"/>
              </w:rPr>
            </w:pPr>
            <w:r>
              <w:rPr>
                <w:rFonts w:eastAsia="仿宋_GB2312"/>
                <w:sz w:val="24"/>
                <w:szCs w:val="24"/>
              </w:rPr>
              <w:t>水环境治理类</w:t>
            </w:r>
          </w:p>
        </w:tc>
        <w:tc>
          <w:tcPr>
            <w:tcW w:w="182"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1</w:t>
            </w:r>
          </w:p>
        </w:tc>
        <w:tc>
          <w:tcPr>
            <w:tcW w:w="726"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水产养殖尾水建设提升工程</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2023年，菱湖镇、和孚镇、双林镇等全区规模以下水产养殖尾水建设提升。</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2021-2023</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0.0</w:t>
            </w:r>
            <w:r>
              <w:rPr>
                <w:rFonts w:hint="eastAsia" w:eastAsia="仿宋_GB2312"/>
                <w:sz w:val="24"/>
                <w:szCs w:val="24"/>
              </w:rPr>
              <w:t>64</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2</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南浔经济开发区新城污水处理厂</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新建</w:t>
            </w:r>
            <w:r>
              <w:rPr>
                <w:rFonts w:hint="eastAsia" w:eastAsia="仿宋_GB2312"/>
                <w:sz w:val="24"/>
                <w:szCs w:val="24"/>
              </w:rPr>
              <w:t>一期</w:t>
            </w:r>
            <w:r>
              <w:rPr>
                <w:rFonts w:eastAsia="仿宋_GB2312"/>
                <w:sz w:val="24"/>
                <w:szCs w:val="24"/>
              </w:rPr>
              <w:t>5万吨/日污水处理厂</w:t>
            </w:r>
            <w:r>
              <w:rPr>
                <w:rFonts w:hint="eastAsia" w:eastAsia="仿宋_GB2312"/>
                <w:sz w:val="24"/>
                <w:szCs w:val="24"/>
              </w:rPr>
              <w:t>。</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2021-2025</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6.61</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住建局、开发区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3</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南浔城镇污水处理及管网建设项目</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湖州光正水质净化限公司</w:t>
            </w:r>
            <w:r>
              <w:rPr>
                <w:rFonts w:hint="eastAsia" w:eastAsia="仿宋_GB2312"/>
                <w:sz w:val="24"/>
                <w:szCs w:val="24"/>
              </w:rPr>
              <w:t>（练市）</w:t>
            </w:r>
            <w:r>
              <w:rPr>
                <w:rFonts w:eastAsia="仿宋_GB2312"/>
                <w:sz w:val="24"/>
                <w:szCs w:val="24"/>
              </w:rPr>
              <w:t>、湖州嘉诚水质净化有限公司</w:t>
            </w:r>
            <w:r>
              <w:rPr>
                <w:rFonts w:hint="eastAsia" w:eastAsia="仿宋_GB2312"/>
                <w:sz w:val="24"/>
                <w:szCs w:val="24"/>
              </w:rPr>
              <w:t>（菱湖）</w:t>
            </w:r>
            <w:r>
              <w:rPr>
                <w:rFonts w:eastAsia="仿宋_GB2312"/>
                <w:sz w:val="24"/>
                <w:szCs w:val="24"/>
              </w:rPr>
              <w:t>、湖州双林水质净化有限公司</w:t>
            </w:r>
            <w:r>
              <w:rPr>
                <w:rFonts w:hint="eastAsia" w:eastAsia="仿宋_GB2312"/>
                <w:sz w:val="24"/>
                <w:szCs w:val="24"/>
              </w:rPr>
              <w:t>（双林）</w:t>
            </w:r>
            <w:r>
              <w:rPr>
                <w:rFonts w:eastAsia="仿宋_GB2312"/>
                <w:sz w:val="24"/>
                <w:szCs w:val="24"/>
              </w:rPr>
              <w:t>、湖州南浔振浔污水处理有限公司</w:t>
            </w:r>
            <w:r>
              <w:rPr>
                <w:rFonts w:hint="eastAsia" w:eastAsia="仿宋_GB2312"/>
                <w:sz w:val="24"/>
                <w:szCs w:val="24"/>
              </w:rPr>
              <w:t>（南浔）</w:t>
            </w:r>
            <w:r>
              <w:rPr>
                <w:rFonts w:eastAsia="仿宋_GB2312"/>
                <w:sz w:val="24"/>
                <w:szCs w:val="24"/>
              </w:rPr>
              <w:t>清洁排放改造，湖州南浔和孚污水处理有限公司</w:t>
            </w:r>
            <w:r>
              <w:rPr>
                <w:rFonts w:hint="eastAsia" w:eastAsia="仿宋_GB2312"/>
                <w:sz w:val="24"/>
                <w:szCs w:val="24"/>
              </w:rPr>
              <w:t>（和孚）</w:t>
            </w:r>
            <w:r>
              <w:rPr>
                <w:rFonts w:eastAsia="仿宋_GB2312"/>
                <w:sz w:val="24"/>
                <w:szCs w:val="24"/>
              </w:rPr>
              <w:t>、湖州浙环污水处理有限公司</w:t>
            </w:r>
            <w:r>
              <w:rPr>
                <w:rFonts w:hint="eastAsia" w:eastAsia="仿宋_GB2312"/>
                <w:sz w:val="24"/>
                <w:szCs w:val="24"/>
              </w:rPr>
              <w:t>（石淙）</w:t>
            </w:r>
            <w:r>
              <w:rPr>
                <w:rFonts w:eastAsia="仿宋_GB2312"/>
                <w:sz w:val="24"/>
                <w:szCs w:val="24"/>
              </w:rPr>
              <w:t>、湖州环谐污水处理有限公司</w:t>
            </w:r>
            <w:r>
              <w:rPr>
                <w:rFonts w:hint="eastAsia" w:eastAsia="仿宋_GB2312"/>
                <w:sz w:val="24"/>
                <w:szCs w:val="24"/>
              </w:rPr>
              <w:t>（善链）</w:t>
            </w:r>
            <w:r>
              <w:rPr>
                <w:rFonts w:eastAsia="仿宋_GB2312"/>
                <w:sz w:val="24"/>
                <w:szCs w:val="24"/>
              </w:rPr>
              <w:t>扩容和清洁排放改造；2023年，南浔区练市、善琏镇、千金污水处理厂配套管网改造修复37.8公里</w:t>
            </w:r>
            <w:r>
              <w:rPr>
                <w:rFonts w:hint="eastAsia" w:eastAsia="仿宋_GB2312"/>
                <w:sz w:val="24"/>
                <w:szCs w:val="24"/>
              </w:rPr>
              <w:t>；</w:t>
            </w:r>
            <w:r>
              <w:rPr>
                <w:rFonts w:eastAsia="仿宋_GB2312"/>
                <w:sz w:val="24"/>
                <w:szCs w:val="24"/>
              </w:rPr>
              <w:t>2024年，菱湖污水处理厂、石淙污水处理厂管网改造修复20.2公里，双林污水处理厂、振浔污水处理厂配套管网改造修复48公里。</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 xml:space="preserve">2020-2024 </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6.94</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住建局、各镇（街）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4</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农村生活污水治理设施建设项目</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全区新建、改造农村生活污水处理设施563个。</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2021-2025</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0.37</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5</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工业园区污水零直排建设项目</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菱湖、和孚重兆化工园区污水零直排区建设项目</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2021-2025</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0.1</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区生态环境分局、菱湖镇、和孚镇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6</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南浔区印染行业搬迁集聚整治提升项目</w:t>
            </w:r>
          </w:p>
        </w:tc>
        <w:tc>
          <w:tcPr>
            <w:tcW w:w="2361"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建设南浔印染企业园区，规划总面积300亩，配套建设集中污水处理设施，员工宿舍，道路、绿化等附属配套设施。完成13家印染企业兼并重组，搬迁入园集聚生产。</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2021-2025</w:t>
            </w:r>
          </w:p>
        </w:tc>
        <w:tc>
          <w:tcPr>
            <w:tcW w:w="408" w:type="pct"/>
            <w:shd w:val="clear" w:color="auto" w:fill="auto"/>
            <w:vAlign w:val="center"/>
          </w:tcPr>
          <w:p>
            <w:pPr>
              <w:snapToGrid w:val="0"/>
              <w:spacing w:line="330" w:lineRule="exact"/>
              <w:rPr>
                <w:rFonts w:eastAsia="仿宋_GB2312"/>
                <w:sz w:val="24"/>
                <w:szCs w:val="24"/>
              </w:rPr>
            </w:pPr>
            <w:r>
              <w:rPr>
                <w:rFonts w:hint="eastAsia" w:eastAsia="仿宋_GB2312"/>
                <w:sz w:val="24"/>
                <w:szCs w:val="24"/>
              </w:rPr>
              <w:t>15</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区生态环境分局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7</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喷水织机行业整治提升工程</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2021年6月底前，全区喷水织机行业全面实现整治提升，全行业污染防治、设备、技术、安全管理水平等得到明显提升，形成规范化、规模化的喷水织机行业集聚区。喷水织机行业“低小散乱污”问题得到根本解决，产业布局更趋优化，产业结构进一步理顺，经济效益显著提升，生态环境全面改善。</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2020-2021</w:t>
            </w:r>
          </w:p>
        </w:tc>
        <w:tc>
          <w:tcPr>
            <w:tcW w:w="408" w:type="pct"/>
            <w:shd w:val="clear" w:color="auto" w:fill="auto"/>
            <w:vAlign w:val="center"/>
          </w:tcPr>
          <w:p>
            <w:pPr>
              <w:snapToGrid w:val="0"/>
              <w:spacing w:line="330" w:lineRule="exact"/>
              <w:rPr>
                <w:rFonts w:eastAsia="仿宋_GB2312"/>
                <w:sz w:val="24"/>
                <w:szCs w:val="24"/>
              </w:rPr>
            </w:pPr>
            <w:r>
              <w:rPr>
                <w:rFonts w:hint="eastAsia" w:eastAsia="仿宋_GB2312"/>
                <w:sz w:val="24"/>
                <w:szCs w:val="24"/>
              </w:rPr>
              <w:t>0.6</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区生态环境分局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restart"/>
            <w:shd w:val="clear" w:color="auto" w:fill="auto"/>
            <w:noWrap/>
            <w:vAlign w:val="center"/>
          </w:tcPr>
          <w:p>
            <w:pPr>
              <w:snapToGrid w:val="0"/>
              <w:spacing w:line="330" w:lineRule="exact"/>
              <w:rPr>
                <w:rFonts w:eastAsia="仿宋_GB2312"/>
                <w:sz w:val="24"/>
                <w:szCs w:val="24"/>
              </w:rPr>
            </w:pPr>
            <w:r>
              <w:rPr>
                <w:rFonts w:eastAsia="仿宋_GB2312"/>
                <w:sz w:val="24"/>
                <w:szCs w:val="24"/>
              </w:rPr>
              <w:t>水生态修复类</w:t>
            </w:r>
          </w:p>
        </w:tc>
        <w:tc>
          <w:tcPr>
            <w:tcW w:w="182"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8</w:t>
            </w:r>
          </w:p>
        </w:tc>
        <w:tc>
          <w:tcPr>
            <w:tcW w:w="726" w:type="pct"/>
            <w:shd w:val="clear" w:color="auto" w:fill="auto"/>
            <w:noWrap/>
            <w:vAlign w:val="center"/>
          </w:tcPr>
          <w:p>
            <w:pPr>
              <w:snapToGrid w:val="0"/>
              <w:spacing w:line="330" w:lineRule="exact"/>
              <w:jc w:val="center"/>
              <w:rPr>
                <w:rFonts w:eastAsia="仿宋_GB2312"/>
                <w:sz w:val="24"/>
                <w:szCs w:val="24"/>
              </w:rPr>
            </w:pPr>
            <w:r>
              <w:rPr>
                <w:rFonts w:hint="eastAsia" w:eastAsia="仿宋_GB2312"/>
                <w:sz w:val="24"/>
                <w:szCs w:val="24"/>
              </w:rPr>
              <w:t>杭嘉湖北排通道后续工程（南浔段）</w:t>
            </w:r>
          </w:p>
        </w:tc>
        <w:tc>
          <w:tcPr>
            <w:tcW w:w="2361" w:type="pct"/>
            <w:shd w:val="clear" w:color="auto" w:fill="auto"/>
            <w:noWrap/>
            <w:vAlign w:val="center"/>
          </w:tcPr>
          <w:p>
            <w:pPr>
              <w:snapToGrid w:val="0"/>
              <w:spacing w:line="330" w:lineRule="exact"/>
              <w:jc w:val="left"/>
              <w:rPr>
                <w:rFonts w:eastAsia="仿宋_GB2312"/>
                <w:sz w:val="24"/>
                <w:szCs w:val="24"/>
              </w:rPr>
            </w:pPr>
            <w:r>
              <w:rPr>
                <w:rFonts w:hint="eastAsia" w:eastAsia="仿宋_GB2312"/>
                <w:sz w:val="24"/>
                <w:szCs w:val="24"/>
              </w:rPr>
              <w:t>1、河道堤防工程：整治善琏塘等11条河道总长61.49 公里，加固堤防57.688 公里，整治护岸29.66 公里，疏浚土方56.03 万立方米。</w:t>
            </w:r>
          </w:p>
          <w:p>
            <w:pPr>
              <w:snapToGrid w:val="0"/>
              <w:spacing w:line="330" w:lineRule="exact"/>
              <w:jc w:val="left"/>
              <w:rPr>
                <w:rFonts w:eastAsia="仿宋_GB2312"/>
                <w:sz w:val="24"/>
                <w:szCs w:val="24"/>
              </w:rPr>
            </w:pPr>
            <w:r>
              <w:rPr>
                <w:rFonts w:hint="eastAsia" w:eastAsia="仿宋_GB2312"/>
                <w:sz w:val="24"/>
                <w:szCs w:val="24"/>
              </w:rPr>
              <w:t>2、城防配套闸站工程：新建白米塘、九里桥、阳安塘（双向）、漾口4 座闸站及甲午塘、草荡漾2 座节制闸。</w:t>
            </w:r>
          </w:p>
          <w:p>
            <w:pPr>
              <w:snapToGrid w:val="0"/>
              <w:spacing w:line="330" w:lineRule="exact"/>
              <w:jc w:val="left"/>
              <w:rPr>
                <w:rFonts w:eastAsia="仿宋_GB2312"/>
                <w:sz w:val="24"/>
                <w:szCs w:val="24"/>
              </w:rPr>
            </w:pPr>
            <w:r>
              <w:rPr>
                <w:rFonts w:hint="eastAsia" w:eastAsia="仿宋_GB2312"/>
                <w:sz w:val="24"/>
                <w:szCs w:val="24"/>
              </w:rPr>
              <w:t>3、湖漾整治工程：整治八字桥等6 个湖漾，总水面面积2347亩，清淤方量106.67 万立方米，整治湖岸14.64 公里。</w:t>
            </w:r>
          </w:p>
          <w:p>
            <w:pPr>
              <w:snapToGrid w:val="0"/>
              <w:spacing w:line="330" w:lineRule="exact"/>
              <w:rPr>
                <w:rFonts w:eastAsia="仿宋_GB2312"/>
                <w:sz w:val="24"/>
                <w:szCs w:val="24"/>
              </w:rPr>
            </w:pPr>
            <w:r>
              <w:rPr>
                <w:rFonts w:hint="eastAsia" w:eastAsia="仿宋_GB2312"/>
                <w:sz w:val="24"/>
                <w:szCs w:val="24"/>
              </w:rPr>
              <w:t>4、水文测站工程：</w:t>
            </w:r>
            <w:r>
              <w:rPr>
                <w:rFonts w:hint="eastAsia" w:ascii="宋体" w:hAnsi="宋体" w:cs="宋体"/>
                <w:sz w:val="24"/>
                <w:szCs w:val="24"/>
              </w:rPr>
              <w:t>頔</w:t>
            </w:r>
            <w:r>
              <w:rPr>
                <w:rFonts w:hint="eastAsia" w:ascii="仿宋_GB2312" w:hAnsi="仿宋_GB2312" w:eastAsia="仿宋_GB2312" w:cs="仿宋_GB2312"/>
                <w:sz w:val="24"/>
                <w:szCs w:val="24"/>
              </w:rPr>
              <w:t>塘建设范</w:t>
            </w:r>
            <w:r>
              <w:rPr>
                <w:rFonts w:hint="eastAsia" w:eastAsia="仿宋_GB2312"/>
                <w:sz w:val="24"/>
                <w:szCs w:val="24"/>
              </w:rPr>
              <w:t>围内迁建南浔水文站1 座，并新建和改建20 个水位站、1 个雨量站、3 处北排巡测断面自动流量监测设备和2 个水质自动监测站。</w:t>
            </w:r>
          </w:p>
        </w:tc>
        <w:tc>
          <w:tcPr>
            <w:tcW w:w="499"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2021-2026</w:t>
            </w:r>
          </w:p>
        </w:tc>
        <w:tc>
          <w:tcPr>
            <w:tcW w:w="408"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16.8648（“十四五”期间）</w:t>
            </w:r>
          </w:p>
        </w:tc>
        <w:tc>
          <w:tcPr>
            <w:tcW w:w="517"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9</w:t>
            </w:r>
          </w:p>
        </w:tc>
        <w:tc>
          <w:tcPr>
            <w:tcW w:w="726" w:type="pct"/>
            <w:shd w:val="clear" w:color="auto" w:fill="auto"/>
            <w:noWrap/>
            <w:vAlign w:val="center"/>
          </w:tcPr>
          <w:p>
            <w:pPr>
              <w:snapToGrid w:val="0"/>
              <w:spacing w:line="330" w:lineRule="exact"/>
              <w:jc w:val="center"/>
              <w:rPr>
                <w:rFonts w:eastAsia="仿宋_GB2312"/>
                <w:sz w:val="24"/>
                <w:szCs w:val="24"/>
              </w:rPr>
            </w:pPr>
            <w:r>
              <w:rPr>
                <w:rFonts w:hint="eastAsia" w:eastAsia="仿宋_GB2312"/>
                <w:sz w:val="24"/>
                <w:szCs w:val="24"/>
              </w:rPr>
              <w:t>美丽河湖建设工程</w:t>
            </w:r>
          </w:p>
        </w:tc>
        <w:tc>
          <w:tcPr>
            <w:tcW w:w="2361" w:type="pct"/>
            <w:shd w:val="clear" w:color="auto" w:fill="auto"/>
            <w:noWrap/>
            <w:vAlign w:val="center"/>
          </w:tcPr>
          <w:p>
            <w:pPr>
              <w:snapToGrid w:val="0"/>
              <w:spacing w:line="330" w:lineRule="exact"/>
              <w:jc w:val="left"/>
              <w:rPr>
                <w:rFonts w:eastAsia="仿宋_GB2312"/>
                <w:sz w:val="24"/>
                <w:szCs w:val="24"/>
              </w:rPr>
            </w:pPr>
            <w:r>
              <w:rPr>
                <w:rFonts w:hint="eastAsia" w:eastAsia="仿宋_GB2312"/>
                <w:sz w:val="24"/>
                <w:szCs w:val="24"/>
              </w:rPr>
              <w:t>持续开展蔡家桥港、罗汉港等水系综合治理，治理河道长度</w:t>
            </w:r>
            <w:r>
              <w:rPr>
                <w:rFonts w:eastAsia="仿宋_GB2312"/>
                <w:sz w:val="24"/>
                <w:szCs w:val="24"/>
              </w:rPr>
              <w:t>11.4</w:t>
            </w:r>
            <w:r>
              <w:rPr>
                <w:rFonts w:hint="eastAsia" w:eastAsia="仿宋_GB2312"/>
                <w:sz w:val="24"/>
                <w:szCs w:val="24"/>
              </w:rPr>
              <w:t>公里，建设堤防</w:t>
            </w:r>
            <w:r>
              <w:rPr>
                <w:rFonts w:eastAsia="仿宋_GB2312"/>
                <w:sz w:val="24"/>
                <w:szCs w:val="24"/>
              </w:rPr>
              <w:t>10</w:t>
            </w:r>
            <w:r>
              <w:rPr>
                <w:rFonts w:hint="eastAsia" w:eastAsia="仿宋_GB2312"/>
                <w:sz w:val="24"/>
                <w:szCs w:val="24"/>
              </w:rPr>
              <w:t>公里。</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2021~2025</w:t>
            </w:r>
          </w:p>
        </w:tc>
        <w:tc>
          <w:tcPr>
            <w:tcW w:w="408"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0.4</w:t>
            </w:r>
          </w:p>
        </w:tc>
        <w:tc>
          <w:tcPr>
            <w:tcW w:w="517"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10</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南浔区“百漾千河”综合治理项目一期工程</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本项目设计南浔区10个镇（开发区）共83个村的河网水系，以及八殿漾、金家漾、义家漾等20个湖漾。一期工程主要为南浔区美丽乡村河网水系综合治理工作。建设内容分为两块，一是各村庄的河网水系综合治理，治理长度285.4km；二是湖漾综合治理，治理湖漾总面积约为7507亩。</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2017-2021</w:t>
            </w:r>
          </w:p>
        </w:tc>
        <w:tc>
          <w:tcPr>
            <w:tcW w:w="408"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4（“十四五”期间）</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11</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南浔区“百漾千河”综合治理项目丁泾塘等河道治理工程</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本工程主要对南浔区域内的东宗线、丁泾塘、排塘港、沙浦港、仕西村港等5条骨干河道进行综合治理，治理河道长度46.2km。</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2019-2021</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10.57</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1</w:t>
            </w:r>
            <w:r>
              <w:rPr>
                <w:rFonts w:hint="eastAsia" w:eastAsia="仿宋_GB2312"/>
                <w:sz w:val="24"/>
                <w:szCs w:val="24"/>
              </w:rPr>
              <w:t>2</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南浔经济开发区北部水生态功能提升示范工程</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项目工程区域涉及南浔区北部英雄村和富强村（行政村）中驻越滩、江家兜、塘官皴和善庄四个自然村，面积约2.7km</w:t>
            </w:r>
            <w:r>
              <w:rPr>
                <w:rFonts w:eastAsia="仿宋_GB2312"/>
                <w:sz w:val="24"/>
                <w:szCs w:val="24"/>
                <w:vertAlign w:val="superscript"/>
              </w:rPr>
              <w:t>2</w:t>
            </w:r>
            <w:r>
              <w:rPr>
                <w:rFonts w:eastAsia="仿宋_GB2312"/>
                <w:sz w:val="24"/>
                <w:szCs w:val="24"/>
              </w:rPr>
              <w:t>。主要建设内容为：连通水系</w:t>
            </w:r>
            <w:r>
              <w:rPr>
                <w:rFonts w:hint="eastAsia" w:eastAsia="仿宋_GB2312"/>
                <w:sz w:val="24"/>
                <w:szCs w:val="24"/>
                <w:lang w:val="en-US" w:eastAsia="zh-CN"/>
              </w:rPr>
              <w:t>1052米</w:t>
            </w:r>
            <w:r>
              <w:rPr>
                <w:rFonts w:hint="eastAsia" w:eastAsia="仿宋_GB2312"/>
                <w:sz w:val="24"/>
                <w:szCs w:val="24"/>
                <w:lang w:eastAsia="zh-CN"/>
              </w:rPr>
              <w:t>，</w:t>
            </w:r>
            <w:r>
              <w:rPr>
                <w:rFonts w:eastAsia="仿宋_GB2312"/>
                <w:sz w:val="24"/>
                <w:szCs w:val="24"/>
              </w:rPr>
              <w:t>金鱼漾</w:t>
            </w:r>
            <w:r>
              <w:rPr>
                <w:rFonts w:hint="eastAsia" w:eastAsia="仿宋_GB2312"/>
                <w:sz w:val="24"/>
                <w:szCs w:val="24"/>
                <w:lang w:eastAsia="zh-CN"/>
              </w:rPr>
              <w:t>周边</w:t>
            </w:r>
            <w:r>
              <w:rPr>
                <w:rFonts w:eastAsia="仿宋_GB2312"/>
                <w:sz w:val="24"/>
                <w:szCs w:val="24"/>
              </w:rPr>
              <w:t>建设</w:t>
            </w:r>
            <w:r>
              <w:rPr>
                <w:rFonts w:hint="eastAsia" w:eastAsia="仿宋_GB2312"/>
                <w:sz w:val="24"/>
                <w:szCs w:val="24"/>
                <w:lang w:val="en-US" w:eastAsia="zh-CN"/>
              </w:rPr>
              <w:t>多级塘生态湿地36696㎡，湖漾湿地 44562 ㎡和生态恢复 246877 ㎡</w:t>
            </w:r>
            <w:r>
              <w:rPr>
                <w:rFonts w:eastAsia="仿宋_GB2312"/>
                <w:sz w:val="24"/>
                <w:szCs w:val="24"/>
              </w:rPr>
              <w:t>，</w:t>
            </w:r>
            <w:r>
              <w:rPr>
                <w:rFonts w:hint="eastAsia" w:eastAsia="仿宋_GB2312"/>
                <w:sz w:val="24"/>
                <w:szCs w:val="24"/>
                <w:lang w:val="en-US" w:eastAsia="zh-CN"/>
              </w:rPr>
              <w:t>河道生态缓冲带 1.659 万㎡；恢复河道水生态系统14万㎡。</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2020-2022</w:t>
            </w:r>
          </w:p>
        </w:tc>
        <w:tc>
          <w:tcPr>
            <w:tcW w:w="408" w:type="pct"/>
            <w:shd w:val="clear" w:color="auto" w:fill="auto"/>
            <w:noWrap/>
            <w:vAlign w:val="center"/>
          </w:tcPr>
          <w:p>
            <w:pPr>
              <w:snapToGrid w:val="0"/>
              <w:spacing w:line="330" w:lineRule="exact"/>
              <w:rPr>
                <w:rFonts w:hint="default" w:eastAsia="仿宋_GB2312"/>
                <w:sz w:val="24"/>
                <w:szCs w:val="24"/>
                <w:lang w:val="en-US" w:eastAsia="zh-CN"/>
              </w:rPr>
            </w:pPr>
            <w:r>
              <w:rPr>
                <w:rFonts w:eastAsia="仿宋_GB2312"/>
                <w:sz w:val="24"/>
                <w:szCs w:val="24"/>
              </w:rPr>
              <w:t>1.</w:t>
            </w:r>
            <w:r>
              <w:rPr>
                <w:rFonts w:hint="eastAsia" w:eastAsia="仿宋_GB2312"/>
                <w:sz w:val="24"/>
                <w:szCs w:val="24"/>
                <w:lang w:val="en-US" w:eastAsia="zh-CN"/>
              </w:rPr>
              <w:t>26</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区生态环境分局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1</w:t>
            </w:r>
            <w:r>
              <w:rPr>
                <w:rFonts w:hint="eastAsia" w:eastAsia="仿宋_GB2312"/>
                <w:sz w:val="24"/>
                <w:szCs w:val="24"/>
              </w:rPr>
              <w:t>3</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南浔古镇水环境提升工程</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完善截污管网，南浔镇北部河道实施清淤5万平方米；改造扩建南浔净水厂，新增2万吨/日，新建北部净水厂4万吨/日；新建活水堰、泵站；古镇北部沉水植物和水生动物修复。</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2020-2023</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0.65</w:t>
            </w:r>
          </w:p>
        </w:tc>
        <w:tc>
          <w:tcPr>
            <w:tcW w:w="517"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旅投集团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1</w:t>
            </w:r>
            <w:r>
              <w:rPr>
                <w:rFonts w:eastAsia="仿宋_GB2312"/>
                <w:sz w:val="24"/>
                <w:szCs w:val="24"/>
              </w:rPr>
              <w:t>4</w:t>
            </w:r>
          </w:p>
        </w:tc>
        <w:tc>
          <w:tcPr>
            <w:tcW w:w="726"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双林古镇水生态功能提升工程</w:t>
            </w:r>
          </w:p>
        </w:tc>
        <w:tc>
          <w:tcPr>
            <w:tcW w:w="2361"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主要范围位于双林镇镇区，北起双林塘、南至申嘉湖高速、西起罗家埭港、东至环城东路，研究红线范围约3.2km</w:t>
            </w:r>
            <w:r>
              <w:rPr>
                <w:rFonts w:hint="eastAsia" w:eastAsia="仿宋_GB2312"/>
                <w:sz w:val="24"/>
                <w:szCs w:val="24"/>
                <w:vertAlign w:val="superscript"/>
              </w:rPr>
              <w:t>2</w:t>
            </w:r>
            <w:r>
              <w:rPr>
                <w:rFonts w:hint="eastAsia" w:eastAsia="仿宋_GB2312"/>
                <w:sz w:val="24"/>
                <w:szCs w:val="24"/>
              </w:rPr>
              <w:t>。</w:t>
            </w:r>
          </w:p>
        </w:tc>
        <w:tc>
          <w:tcPr>
            <w:tcW w:w="499"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2</w:t>
            </w:r>
            <w:r>
              <w:rPr>
                <w:rFonts w:eastAsia="仿宋_GB2312"/>
                <w:sz w:val="24"/>
                <w:szCs w:val="24"/>
              </w:rPr>
              <w:t>022</w:t>
            </w:r>
            <w:r>
              <w:rPr>
                <w:rFonts w:hint="eastAsia" w:eastAsia="仿宋_GB2312"/>
                <w:sz w:val="24"/>
                <w:szCs w:val="24"/>
              </w:rPr>
              <w:t>-</w:t>
            </w:r>
            <w:r>
              <w:rPr>
                <w:rFonts w:eastAsia="仿宋_GB2312"/>
                <w:sz w:val="24"/>
                <w:szCs w:val="24"/>
              </w:rPr>
              <w:t>2025</w:t>
            </w:r>
          </w:p>
        </w:tc>
        <w:tc>
          <w:tcPr>
            <w:tcW w:w="408" w:type="pct"/>
            <w:shd w:val="clear" w:color="auto" w:fill="auto"/>
            <w:noWrap/>
            <w:vAlign w:val="center"/>
          </w:tcPr>
          <w:p>
            <w:pPr>
              <w:snapToGrid w:val="0"/>
              <w:spacing w:line="330" w:lineRule="exact"/>
              <w:rPr>
                <w:rFonts w:hint="eastAsia" w:eastAsia="仿宋_GB2312"/>
                <w:sz w:val="24"/>
                <w:szCs w:val="24"/>
              </w:rPr>
            </w:pPr>
            <w:r>
              <w:rPr>
                <w:rFonts w:hint="eastAsia" w:eastAsia="仿宋_GB2312"/>
                <w:sz w:val="24"/>
                <w:szCs w:val="24"/>
              </w:rPr>
              <w:t>0</w:t>
            </w:r>
            <w:r>
              <w:rPr>
                <w:rFonts w:eastAsia="仿宋_GB2312"/>
                <w:sz w:val="24"/>
                <w:szCs w:val="24"/>
              </w:rPr>
              <w:t>.9997</w:t>
            </w:r>
          </w:p>
        </w:tc>
        <w:tc>
          <w:tcPr>
            <w:tcW w:w="517" w:type="pct"/>
            <w:shd w:val="clear" w:color="auto" w:fill="auto"/>
            <w:noWrap/>
            <w:vAlign w:val="center"/>
          </w:tcPr>
          <w:p>
            <w:pPr>
              <w:snapToGrid w:val="0"/>
              <w:spacing w:line="330" w:lineRule="exact"/>
              <w:rPr>
                <w:rFonts w:hint="eastAsia" w:eastAsia="仿宋_GB2312"/>
                <w:sz w:val="24"/>
                <w:szCs w:val="24"/>
              </w:rPr>
            </w:pPr>
            <w:r>
              <w:rPr>
                <w:rFonts w:hint="eastAsia" w:eastAsia="仿宋_GB2312"/>
                <w:sz w:val="24"/>
                <w:szCs w:val="24"/>
              </w:rPr>
              <w:t>双林镇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15</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生态拦截沟渠建设</w:t>
            </w:r>
          </w:p>
        </w:tc>
        <w:tc>
          <w:tcPr>
            <w:tcW w:w="2361" w:type="pct"/>
            <w:shd w:val="clear" w:color="auto" w:fill="auto"/>
            <w:noWrap/>
            <w:vAlign w:val="center"/>
          </w:tcPr>
          <w:p>
            <w:pPr>
              <w:snapToGrid w:val="0"/>
              <w:spacing w:line="330" w:lineRule="exact"/>
              <w:rPr>
                <w:rFonts w:eastAsia="仿宋_GB2312"/>
                <w:sz w:val="24"/>
                <w:szCs w:val="24"/>
                <w:highlight w:val="yellow"/>
              </w:rPr>
            </w:pPr>
            <w:r>
              <w:rPr>
                <w:rFonts w:eastAsia="仿宋_GB2312"/>
                <w:sz w:val="24"/>
                <w:szCs w:val="24"/>
              </w:rPr>
              <w:t>2021年，南浔镇泗洲村新建氮磷生态拦截沟渠1000米、过滤坝2处，石淙镇石淙村新建氮磷生态拦截沟渠1100米，过滤坝1处，绿化200平方米</w:t>
            </w:r>
            <w:r>
              <w:rPr>
                <w:rFonts w:hint="eastAsia" w:eastAsia="仿宋_GB2312"/>
                <w:sz w:val="24"/>
                <w:szCs w:val="24"/>
              </w:rPr>
              <w:t>。</w:t>
            </w:r>
          </w:p>
        </w:tc>
        <w:tc>
          <w:tcPr>
            <w:tcW w:w="499" w:type="pct"/>
            <w:shd w:val="clear" w:color="auto" w:fill="auto"/>
            <w:noWrap/>
            <w:vAlign w:val="center"/>
          </w:tcPr>
          <w:p>
            <w:pPr>
              <w:snapToGrid w:val="0"/>
              <w:spacing w:line="330" w:lineRule="exact"/>
              <w:rPr>
                <w:rFonts w:eastAsia="仿宋_GB2312"/>
                <w:sz w:val="24"/>
                <w:szCs w:val="24"/>
                <w:highlight w:val="yellow"/>
              </w:rPr>
            </w:pPr>
            <w:r>
              <w:rPr>
                <w:rFonts w:eastAsia="仿宋_GB2312"/>
                <w:sz w:val="24"/>
                <w:szCs w:val="24"/>
              </w:rPr>
              <w:t>2021</w:t>
            </w:r>
          </w:p>
        </w:tc>
        <w:tc>
          <w:tcPr>
            <w:tcW w:w="408" w:type="pct"/>
            <w:shd w:val="clear" w:color="auto" w:fill="auto"/>
            <w:noWrap/>
            <w:vAlign w:val="center"/>
          </w:tcPr>
          <w:p>
            <w:pPr>
              <w:snapToGrid w:val="0"/>
              <w:spacing w:line="330" w:lineRule="exact"/>
              <w:rPr>
                <w:rFonts w:eastAsia="仿宋_GB2312"/>
                <w:sz w:val="24"/>
                <w:szCs w:val="24"/>
                <w:highlight w:val="yellow"/>
              </w:rPr>
            </w:pPr>
            <w:r>
              <w:rPr>
                <w:rFonts w:hint="eastAsia" w:eastAsia="仿宋_GB2312"/>
                <w:sz w:val="24"/>
                <w:szCs w:val="24"/>
              </w:rPr>
              <w:t>0.016</w:t>
            </w:r>
          </w:p>
        </w:tc>
        <w:tc>
          <w:tcPr>
            <w:tcW w:w="517" w:type="pct"/>
            <w:shd w:val="clear" w:color="auto" w:fill="auto"/>
            <w:noWrap/>
            <w:vAlign w:val="center"/>
          </w:tcPr>
          <w:p>
            <w:pPr>
              <w:snapToGrid w:val="0"/>
              <w:spacing w:line="330" w:lineRule="exact"/>
              <w:rPr>
                <w:rFonts w:eastAsia="仿宋_GB2312"/>
                <w:sz w:val="24"/>
                <w:szCs w:val="24"/>
                <w:highlight w:val="yellow"/>
              </w:rPr>
            </w:pPr>
            <w:r>
              <w:rPr>
                <w:rFonts w:hint="eastAsia" w:eastAsia="仿宋_GB2312"/>
                <w:sz w:val="24"/>
                <w:szCs w:val="24"/>
              </w:rPr>
              <w:t>农业农村局、</w:t>
            </w:r>
            <w:r>
              <w:rPr>
                <w:rFonts w:eastAsia="仿宋_GB2312"/>
                <w:sz w:val="24"/>
                <w:szCs w:val="24"/>
              </w:rPr>
              <w:t>南浔镇、石淙镇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1</w:t>
            </w:r>
            <w:r>
              <w:rPr>
                <w:rFonts w:eastAsia="仿宋_GB2312"/>
                <w:sz w:val="24"/>
                <w:szCs w:val="24"/>
              </w:rPr>
              <w:t>6</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南浔区湿地公园及水系生态治理项目</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1.阳安塘湿地公园及水系整治、项目总投资约1.5亿元，打造高铁周边水系生态廊道以及人群休憩场所</w:t>
            </w:r>
          </w:p>
          <w:p>
            <w:pPr>
              <w:snapToGrid w:val="0"/>
              <w:spacing w:line="330" w:lineRule="exact"/>
              <w:rPr>
                <w:rFonts w:eastAsia="仿宋_GB2312"/>
                <w:sz w:val="24"/>
                <w:szCs w:val="24"/>
              </w:rPr>
            </w:pPr>
            <w:r>
              <w:rPr>
                <w:rFonts w:eastAsia="仿宋_GB2312"/>
                <w:sz w:val="24"/>
                <w:szCs w:val="24"/>
              </w:rPr>
              <w:t>2.菱湖湿地公园建设，总投资1.8亿元，主要包括：湿地水域生态性清淤修复、“桑基鱼塘”模式业态规划保护利用、湿地公园保护与管理运作设施建设等内容。</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w:t>
            </w:r>
            <w:r>
              <w:rPr>
                <w:rFonts w:hint="eastAsia" w:eastAsia="仿宋_GB2312"/>
                <w:sz w:val="24"/>
                <w:szCs w:val="24"/>
              </w:rPr>
              <w:t>2</w:t>
            </w:r>
            <w:r>
              <w:rPr>
                <w:rFonts w:eastAsia="仿宋_GB2312"/>
                <w:sz w:val="24"/>
                <w:szCs w:val="24"/>
              </w:rPr>
              <w:t>-2025</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3.3</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高新区（科技新城）、</w:t>
            </w:r>
          </w:p>
          <w:p>
            <w:pPr>
              <w:snapToGrid w:val="0"/>
              <w:spacing w:line="330" w:lineRule="exact"/>
              <w:rPr>
                <w:rFonts w:eastAsia="仿宋_GB2312"/>
                <w:sz w:val="24"/>
                <w:szCs w:val="24"/>
              </w:rPr>
            </w:pPr>
            <w:r>
              <w:rPr>
                <w:rFonts w:eastAsia="仿宋_GB2312"/>
                <w:sz w:val="24"/>
                <w:szCs w:val="24"/>
              </w:rPr>
              <w:t>菱湖镇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307" w:type="pct"/>
            <w:tcBorders>
              <w:bottom w:val="single" w:color="auto" w:sz="4" w:space="0"/>
            </w:tcBorders>
            <w:shd w:val="clear" w:color="auto" w:fill="auto"/>
            <w:noWrap/>
            <w:vAlign w:val="center"/>
          </w:tcPr>
          <w:p>
            <w:pPr>
              <w:snapToGrid w:val="0"/>
              <w:spacing w:line="330" w:lineRule="exact"/>
              <w:rPr>
                <w:rFonts w:eastAsia="仿宋_GB2312"/>
                <w:sz w:val="24"/>
                <w:szCs w:val="24"/>
              </w:rPr>
            </w:pPr>
            <w:r>
              <w:rPr>
                <w:rFonts w:eastAsia="仿宋_GB2312"/>
                <w:sz w:val="24"/>
                <w:szCs w:val="24"/>
              </w:rPr>
              <w:t>水资源保护类</w:t>
            </w:r>
          </w:p>
        </w:tc>
        <w:tc>
          <w:tcPr>
            <w:tcW w:w="182" w:type="pct"/>
            <w:tcBorders>
              <w:bottom w:val="single" w:color="auto" w:sz="4" w:space="0"/>
            </w:tcBorders>
            <w:shd w:val="clear" w:color="auto" w:fill="auto"/>
            <w:noWrap/>
            <w:vAlign w:val="center"/>
          </w:tcPr>
          <w:p>
            <w:pPr>
              <w:snapToGrid w:val="0"/>
              <w:spacing w:line="330" w:lineRule="exact"/>
              <w:rPr>
                <w:rFonts w:eastAsia="仿宋_GB2312"/>
                <w:sz w:val="24"/>
                <w:szCs w:val="24"/>
              </w:rPr>
            </w:pPr>
            <w:r>
              <w:rPr>
                <w:rFonts w:eastAsia="仿宋_GB2312"/>
                <w:sz w:val="24"/>
                <w:szCs w:val="24"/>
              </w:rPr>
              <w:t>17</w:t>
            </w:r>
          </w:p>
        </w:tc>
        <w:tc>
          <w:tcPr>
            <w:tcW w:w="726" w:type="pct"/>
            <w:tcBorders>
              <w:bottom w:val="single" w:color="auto" w:sz="4" w:space="0"/>
            </w:tcBorders>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工业废水梯级利用项目</w:t>
            </w:r>
          </w:p>
        </w:tc>
        <w:tc>
          <w:tcPr>
            <w:tcW w:w="2361" w:type="pct"/>
            <w:tcBorders>
              <w:bottom w:val="single" w:color="auto" w:sz="4" w:space="0"/>
            </w:tcBorders>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新城污水处理厂接收泰嘉光电公司1</w:t>
            </w:r>
            <w:r>
              <w:rPr>
                <w:rFonts w:eastAsia="仿宋_GB2312"/>
                <w:sz w:val="24"/>
                <w:szCs w:val="24"/>
              </w:rPr>
              <w:t>.2</w:t>
            </w:r>
            <w:r>
              <w:rPr>
                <w:rFonts w:hint="eastAsia" w:eastAsia="仿宋_GB2312"/>
                <w:sz w:val="24"/>
                <w:szCs w:val="24"/>
              </w:rPr>
              <w:t>万吨/日污水， 6</w:t>
            </w:r>
            <w:r>
              <w:rPr>
                <w:rFonts w:eastAsia="仿宋_GB2312"/>
                <w:sz w:val="24"/>
                <w:szCs w:val="24"/>
              </w:rPr>
              <w:t>0</w:t>
            </w:r>
            <w:r>
              <w:rPr>
                <w:rFonts w:hint="eastAsia" w:eastAsia="仿宋_GB2312"/>
                <w:sz w:val="24"/>
                <w:szCs w:val="24"/>
              </w:rPr>
              <w:t>%以上的工业废水经处理后供给印染园区内企业重复利用。</w:t>
            </w:r>
          </w:p>
        </w:tc>
        <w:tc>
          <w:tcPr>
            <w:tcW w:w="499" w:type="pct"/>
            <w:tcBorders>
              <w:bottom w:val="single" w:color="auto" w:sz="4" w:space="0"/>
            </w:tcBorders>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2</w:t>
            </w:r>
            <w:r>
              <w:rPr>
                <w:rFonts w:eastAsia="仿宋_GB2312"/>
                <w:sz w:val="24"/>
                <w:szCs w:val="24"/>
              </w:rPr>
              <w:t>021</w:t>
            </w:r>
            <w:r>
              <w:rPr>
                <w:rFonts w:hint="eastAsia" w:eastAsia="仿宋_GB2312"/>
                <w:sz w:val="24"/>
                <w:szCs w:val="24"/>
              </w:rPr>
              <w:t>-</w:t>
            </w:r>
            <w:r>
              <w:rPr>
                <w:rFonts w:eastAsia="仿宋_GB2312"/>
                <w:sz w:val="24"/>
                <w:szCs w:val="24"/>
              </w:rPr>
              <w:t>2025</w:t>
            </w:r>
          </w:p>
        </w:tc>
        <w:tc>
          <w:tcPr>
            <w:tcW w:w="408" w:type="pct"/>
            <w:tcBorders>
              <w:bottom w:val="single" w:color="auto" w:sz="4" w:space="0"/>
            </w:tcBorders>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0.2</w:t>
            </w:r>
          </w:p>
        </w:tc>
        <w:tc>
          <w:tcPr>
            <w:tcW w:w="517" w:type="pct"/>
            <w:tcBorders>
              <w:bottom w:val="single" w:color="auto" w:sz="4" w:space="0"/>
            </w:tcBorders>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restart"/>
            <w:shd w:val="clear" w:color="auto" w:fill="auto"/>
            <w:noWrap/>
            <w:vAlign w:val="center"/>
          </w:tcPr>
          <w:p>
            <w:pPr>
              <w:snapToGrid w:val="0"/>
              <w:spacing w:line="330" w:lineRule="exact"/>
              <w:rPr>
                <w:rFonts w:eastAsia="仿宋_GB2312"/>
                <w:sz w:val="24"/>
                <w:szCs w:val="24"/>
              </w:rPr>
            </w:pPr>
            <w:r>
              <w:rPr>
                <w:rFonts w:eastAsia="仿宋_GB2312"/>
                <w:sz w:val="24"/>
                <w:szCs w:val="24"/>
              </w:rPr>
              <w:t>风险防范类</w:t>
            </w: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18</w:t>
            </w:r>
          </w:p>
        </w:tc>
        <w:tc>
          <w:tcPr>
            <w:tcW w:w="726" w:type="pct"/>
            <w:shd w:val="clear" w:color="auto" w:fill="auto"/>
            <w:noWrap/>
            <w:vAlign w:val="center"/>
          </w:tcPr>
          <w:p>
            <w:pPr>
              <w:snapToGrid w:val="0"/>
              <w:spacing w:line="330" w:lineRule="exact"/>
              <w:rPr>
                <w:rFonts w:eastAsia="仿宋_GB2312"/>
                <w:sz w:val="24"/>
                <w:szCs w:val="24"/>
              </w:rPr>
            </w:pPr>
            <w:r>
              <w:rPr>
                <w:rFonts w:eastAsia="仿宋_GB2312"/>
                <w:sz w:val="24"/>
                <w:szCs w:val="24"/>
              </w:rPr>
              <w:t>水环境自动监测能力提升工程</w:t>
            </w:r>
          </w:p>
        </w:tc>
        <w:tc>
          <w:tcPr>
            <w:tcW w:w="2361" w:type="pct"/>
            <w:shd w:val="clear" w:color="auto" w:fill="auto"/>
            <w:noWrap/>
            <w:vAlign w:val="center"/>
          </w:tcPr>
          <w:p>
            <w:pPr>
              <w:snapToGrid w:val="0"/>
              <w:spacing w:line="330" w:lineRule="exact"/>
              <w:rPr>
                <w:rFonts w:eastAsia="仿宋_GB2312"/>
                <w:sz w:val="24"/>
                <w:szCs w:val="24"/>
              </w:rPr>
            </w:pPr>
            <w:r>
              <w:rPr>
                <w:rFonts w:eastAsia="仿宋_GB2312"/>
                <w:sz w:val="24"/>
                <w:szCs w:val="24"/>
              </w:rPr>
              <w:t>建设</w:t>
            </w:r>
            <w:r>
              <w:rPr>
                <w:rFonts w:hint="eastAsia" w:eastAsia="仿宋_GB2312"/>
                <w:sz w:val="24"/>
                <w:szCs w:val="24"/>
              </w:rPr>
              <w:t>双林、和孚、菱湖和燕子桥等断面</w:t>
            </w:r>
            <w:r>
              <w:rPr>
                <w:rFonts w:eastAsia="仿宋_GB2312"/>
                <w:sz w:val="24"/>
                <w:szCs w:val="24"/>
              </w:rPr>
              <w:t>水质自动监测站</w:t>
            </w:r>
          </w:p>
        </w:tc>
        <w:tc>
          <w:tcPr>
            <w:tcW w:w="499"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2021-2025</w:t>
            </w:r>
          </w:p>
        </w:tc>
        <w:tc>
          <w:tcPr>
            <w:tcW w:w="408" w:type="pct"/>
            <w:shd w:val="clear" w:color="auto" w:fill="auto"/>
            <w:noWrap/>
            <w:vAlign w:val="center"/>
          </w:tcPr>
          <w:p>
            <w:pPr>
              <w:snapToGrid w:val="0"/>
              <w:spacing w:line="330" w:lineRule="exact"/>
              <w:rPr>
                <w:rFonts w:eastAsia="仿宋_GB2312"/>
                <w:sz w:val="24"/>
                <w:szCs w:val="24"/>
              </w:rPr>
            </w:pPr>
            <w:r>
              <w:rPr>
                <w:rFonts w:eastAsia="仿宋_GB2312"/>
                <w:sz w:val="24"/>
                <w:szCs w:val="24"/>
              </w:rPr>
              <w:t>0.06</w:t>
            </w:r>
          </w:p>
        </w:tc>
        <w:tc>
          <w:tcPr>
            <w:tcW w:w="517" w:type="pct"/>
            <w:shd w:val="clear" w:color="auto" w:fill="auto"/>
            <w:noWrap/>
            <w:vAlign w:val="center"/>
          </w:tcPr>
          <w:p>
            <w:pPr>
              <w:snapToGrid w:val="0"/>
              <w:spacing w:line="330" w:lineRule="exact"/>
              <w:rPr>
                <w:rFonts w:eastAsia="仿宋_GB2312"/>
                <w:sz w:val="24"/>
                <w:szCs w:val="24"/>
              </w:rPr>
            </w:pPr>
            <w:r>
              <w:rPr>
                <w:rFonts w:eastAsia="仿宋_GB2312"/>
                <w:sz w:val="24"/>
                <w:szCs w:val="24"/>
              </w:rPr>
              <w:t>区生态环境分局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vMerge w:val="continue"/>
            <w:shd w:val="clear" w:color="auto" w:fill="auto"/>
            <w:noWrap/>
            <w:vAlign w:val="center"/>
          </w:tcPr>
          <w:p>
            <w:pPr>
              <w:snapToGrid w:val="0"/>
              <w:spacing w:line="330" w:lineRule="exact"/>
              <w:rPr>
                <w:rFonts w:eastAsia="仿宋_GB2312"/>
                <w:sz w:val="24"/>
                <w:szCs w:val="24"/>
              </w:rPr>
            </w:pPr>
          </w:p>
        </w:tc>
        <w:tc>
          <w:tcPr>
            <w:tcW w:w="182"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1</w:t>
            </w:r>
            <w:r>
              <w:rPr>
                <w:rFonts w:eastAsia="仿宋_GB2312"/>
                <w:sz w:val="24"/>
                <w:szCs w:val="24"/>
              </w:rPr>
              <w:t>9</w:t>
            </w:r>
          </w:p>
        </w:tc>
        <w:tc>
          <w:tcPr>
            <w:tcW w:w="726"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污水零直排数字监管平台</w:t>
            </w:r>
          </w:p>
        </w:tc>
        <w:tc>
          <w:tcPr>
            <w:tcW w:w="2361"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建设菱湖、重兆化工园区污水零直排数字监管平台，打造工业园区“污水零直排”的“智”“治”“制”先进管控模式。</w:t>
            </w:r>
          </w:p>
        </w:tc>
        <w:tc>
          <w:tcPr>
            <w:tcW w:w="499"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2</w:t>
            </w:r>
            <w:r>
              <w:rPr>
                <w:rFonts w:eastAsia="仿宋_GB2312"/>
                <w:sz w:val="24"/>
                <w:szCs w:val="24"/>
              </w:rPr>
              <w:t>021</w:t>
            </w:r>
            <w:r>
              <w:rPr>
                <w:rFonts w:hint="eastAsia" w:eastAsia="仿宋_GB2312"/>
                <w:sz w:val="24"/>
                <w:szCs w:val="24"/>
              </w:rPr>
              <w:t>-</w:t>
            </w:r>
            <w:r>
              <w:rPr>
                <w:rFonts w:eastAsia="仿宋_GB2312"/>
                <w:sz w:val="24"/>
                <w:szCs w:val="24"/>
              </w:rPr>
              <w:t>2023</w:t>
            </w:r>
          </w:p>
        </w:tc>
        <w:tc>
          <w:tcPr>
            <w:tcW w:w="408"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0</w:t>
            </w:r>
            <w:r>
              <w:rPr>
                <w:rFonts w:eastAsia="仿宋_GB2312"/>
                <w:sz w:val="24"/>
                <w:szCs w:val="24"/>
              </w:rPr>
              <w:t>.04</w:t>
            </w:r>
          </w:p>
        </w:tc>
        <w:tc>
          <w:tcPr>
            <w:tcW w:w="517"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区生态环境分局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水生态产品</w:t>
            </w:r>
          </w:p>
        </w:tc>
        <w:tc>
          <w:tcPr>
            <w:tcW w:w="182" w:type="pct"/>
            <w:shd w:val="clear" w:color="auto" w:fill="auto"/>
            <w:noWrap/>
            <w:vAlign w:val="center"/>
          </w:tcPr>
          <w:p>
            <w:pPr>
              <w:snapToGrid w:val="0"/>
              <w:spacing w:line="330" w:lineRule="exact"/>
              <w:rPr>
                <w:rFonts w:eastAsia="仿宋_GB2312"/>
                <w:sz w:val="24"/>
                <w:szCs w:val="24"/>
              </w:rPr>
            </w:pPr>
            <w:r>
              <w:rPr>
                <w:rFonts w:eastAsia="仿宋_GB2312"/>
                <w:sz w:val="24"/>
                <w:szCs w:val="24"/>
              </w:rPr>
              <w:t>20</w:t>
            </w:r>
          </w:p>
        </w:tc>
        <w:tc>
          <w:tcPr>
            <w:tcW w:w="726"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产业特色河网建设</w:t>
            </w:r>
          </w:p>
        </w:tc>
        <w:tc>
          <w:tcPr>
            <w:tcW w:w="2361"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充分考虑区块特点，治理高校区域内温吞兜港等河道7.2公里，治理高铁新城唐汇港等河道14.3公里，治理万亩大平台区域内付家巷港等河道24.1公里，打造一批具有区域特色的河湖，带动高铁新城、浙江省水利水电学院、万亩大平台、高端康养及周边产业快速发展，为区域招商引资筑牢生态基底。</w:t>
            </w:r>
          </w:p>
        </w:tc>
        <w:tc>
          <w:tcPr>
            <w:tcW w:w="499"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2021~2025</w:t>
            </w:r>
          </w:p>
        </w:tc>
        <w:tc>
          <w:tcPr>
            <w:tcW w:w="408"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0.5</w:t>
            </w:r>
          </w:p>
        </w:tc>
        <w:tc>
          <w:tcPr>
            <w:tcW w:w="517" w:type="pct"/>
            <w:shd w:val="clear" w:color="auto" w:fill="auto"/>
            <w:noWrap/>
            <w:vAlign w:val="center"/>
          </w:tcPr>
          <w:p>
            <w:pPr>
              <w:snapToGrid w:val="0"/>
              <w:spacing w:line="330" w:lineRule="exact"/>
              <w:rPr>
                <w:rFonts w:eastAsia="仿宋_GB2312"/>
                <w:sz w:val="24"/>
                <w:szCs w:val="24"/>
              </w:rPr>
            </w:pPr>
            <w:r>
              <w:rPr>
                <w:rFonts w:hint="eastAsia" w:eastAsia="仿宋_GB2312"/>
                <w:sz w:val="24"/>
                <w:szCs w:val="24"/>
              </w:rPr>
              <w:t>区水利局</w:t>
            </w:r>
          </w:p>
          <w:p>
            <w:pPr>
              <w:snapToGrid w:val="0"/>
              <w:spacing w:line="330" w:lineRule="exact"/>
              <w:rPr>
                <w:rFonts w:eastAsia="仿宋_GB2312"/>
                <w:sz w:val="24"/>
                <w:szCs w:val="24"/>
              </w:rPr>
            </w:pPr>
            <w:r>
              <w:rPr>
                <w:rFonts w:hint="eastAsia" w:eastAsia="仿宋_GB2312"/>
                <w:sz w:val="24"/>
                <w:szCs w:val="24"/>
              </w:rPr>
              <w:t>开发区</w:t>
            </w:r>
          </w:p>
          <w:p>
            <w:pPr>
              <w:snapToGrid w:val="0"/>
              <w:spacing w:line="330" w:lineRule="exact"/>
              <w:rPr>
                <w:rFonts w:eastAsia="仿宋_GB2312"/>
                <w:sz w:val="24"/>
                <w:szCs w:val="24"/>
              </w:rPr>
            </w:pPr>
            <w:r>
              <w:rPr>
                <w:rFonts w:hint="eastAsia" w:eastAsia="仿宋_GB2312"/>
                <w:sz w:val="24"/>
                <w:szCs w:val="24"/>
              </w:rPr>
              <w:t>高新区</w:t>
            </w:r>
          </w:p>
          <w:p>
            <w:pPr>
              <w:snapToGrid w:val="0"/>
              <w:spacing w:line="330" w:lineRule="exact"/>
              <w:rPr>
                <w:rFonts w:eastAsia="仿宋_GB2312"/>
                <w:sz w:val="24"/>
                <w:szCs w:val="24"/>
              </w:rPr>
            </w:pPr>
            <w:r>
              <w:rPr>
                <w:rFonts w:hint="eastAsia" w:eastAsia="仿宋_GB2312"/>
                <w:sz w:val="24"/>
                <w:szCs w:val="24"/>
              </w:rPr>
              <w:t>区旅投</w:t>
            </w:r>
          </w:p>
        </w:tc>
      </w:tr>
    </w:tbl>
    <w:p>
      <w:pPr>
        <w:ind w:firstLine="750" w:firstLineChars="250"/>
        <w:rPr>
          <w:rFonts w:eastAsia="仿宋_GB2312"/>
          <w:sz w:val="30"/>
          <w:szCs w:val="30"/>
          <w:highlight w:val="yellow"/>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pStyle w:val="50"/>
      </w:pPr>
      <w:bookmarkStart w:id="73" w:name="_Toc71899963"/>
      <w:r>
        <w:t>附表</w:t>
      </w:r>
      <w:r>
        <w:rPr>
          <w:rFonts w:hint="eastAsia"/>
        </w:rPr>
        <w:t>二</w:t>
      </w:r>
      <w:r>
        <w:t xml:space="preserve"> 水环境状况调查表</w:t>
      </w:r>
      <w:bookmarkEnd w:id="69"/>
      <w:bookmarkEnd w:id="70"/>
      <w:bookmarkEnd w:id="71"/>
      <w:bookmarkEnd w:id="72"/>
      <w:bookmarkEnd w:id="73"/>
    </w:p>
    <w:p>
      <w:pPr>
        <w:pStyle w:val="70"/>
        <w:jc w:val="center"/>
        <w:rPr>
          <w:rFonts w:eastAsia="楷体"/>
          <w:b/>
          <w:sz w:val="28"/>
          <w:szCs w:val="28"/>
          <w:lang w:eastAsia="zh-CN"/>
        </w:rPr>
      </w:pPr>
      <w:bookmarkStart w:id="74" w:name="_Toc25224695"/>
      <w:r>
        <w:rPr>
          <w:rFonts w:eastAsia="楷体"/>
          <w:b/>
          <w:sz w:val="28"/>
          <w:szCs w:val="28"/>
          <w:lang w:eastAsia="zh-CN"/>
        </w:rPr>
        <w:t>断面逐月水质数据表</w:t>
      </w:r>
      <w:bookmarkEnd w:id="74"/>
      <w:r>
        <w:rPr>
          <w:sz w:val="22"/>
          <w:lang w:eastAsia="zh-CN"/>
        </w:rPr>
        <w:t>单位：mg/L，pH无量纲</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6"/>
        <w:gridCol w:w="342"/>
        <w:gridCol w:w="632"/>
        <w:gridCol w:w="355"/>
        <w:gridCol w:w="318"/>
        <w:gridCol w:w="379"/>
        <w:gridCol w:w="555"/>
        <w:gridCol w:w="462"/>
        <w:gridCol w:w="712"/>
        <w:gridCol w:w="447"/>
        <w:gridCol w:w="543"/>
        <w:gridCol w:w="623"/>
        <w:gridCol w:w="623"/>
        <w:gridCol w:w="379"/>
        <w:gridCol w:w="712"/>
        <w:gridCol w:w="712"/>
        <w:gridCol w:w="543"/>
        <w:gridCol w:w="543"/>
        <w:gridCol w:w="459"/>
        <w:gridCol w:w="543"/>
        <w:gridCol w:w="543"/>
        <w:gridCol w:w="623"/>
        <w:gridCol w:w="379"/>
        <w:gridCol w:w="459"/>
        <w:gridCol w:w="379"/>
        <w:gridCol w:w="459"/>
        <w:gridCol w:w="786"/>
        <w:gridCol w:w="663"/>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trPr>
        <w:tc>
          <w:tcPr>
            <w:tcW w:w="184"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断面名称</w:t>
            </w:r>
          </w:p>
        </w:tc>
        <w:tc>
          <w:tcPr>
            <w:tcW w:w="111"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断面类型</w:t>
            </w:r>
          </w:p>
        </w:tc>
        <w:tc>
          <w:tcPr>
            <w:tcW w:w="205"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年份</w:t>
            </w:r>
          </w:p>
        </w:tc>
        <w:tc>
          <w:tcPr>
            <w:tcW w:w="115"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月份</w:t>
            </w:r>
          </w:p>
        </w:tc>
        <w:tc>
          <w:tcPr>
            <w:tcW w:w="103" w:type="pct"/>
            <w:shd w:val="clear" w:color="auto" w:fill="auto"/>
            <w:vAlign w:val="center"/>
          </w:tcPr>
          <w:p>
            <w:pPr>
              <w:widowControl/>
              <w:snapToGrid w:val="0"/>
              <w:jc w:val="center"/>
              <w:rPr>
                <w:color w:val="000000"/>
                <w:kern w:val="0"/>
                <w:sz w:val="11"/>
                <w:szCs w:val="11"/>
              </w:rPr>
            </w:pPr>
            <w:r>
              <w:rPr>
                <w:color w:val="000000"/>
                <w:kern w:val="0"/>
                <w:sz w:val="11"/>
                <w:szCs w:val="11"/>
              </w:rPr>
              <w:t>pH</w:t>
            </w:r>
          </w:p>
        </w:tc>
        <w:tc>
          <w:tcPr>
            <w:tcW w:w="123"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溶解氧</w:t>
            </w:r>
          </w:p>
        </w:tc>
        <w:tc>
          <w:tcPr>
            <w:tcW w:w="180"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高锰酸盐指数</w:t>
            </w:r>
          </w:p>
        </w:tc>
        <w:tc>
          <w:tcPr>
            <w:tcW w:w="150"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生化需氧量</w:t>
            </w:r>
          </w:p>
        </w:tc>
        <w:tc>
          <w:tcPr>
            <w:tcW w:w="231"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氨氮</w:t>
            </w:r>
          </w:p>
        </w:tc>
        <w:tc>
          <w:tcPr>
            <w:tcW w:w="145"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石油类</w:t>
            </w:r>
          </w:p>
        </w:tc>
        <w:tc>
          <w:tcPr>
            <w:tcW w:w="176"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挥发酚</w:t>
            </w:r>
          </w:p>
        </w:tc>
        <w:tc>
          <w:tcPr>
            <w:tcW w:w="202"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汞</w:t>
            </w:r>
          </w:p>
        </w:tc>
        <w:tc>
          <w:tcPr>
            <w:tcW w:w="202"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铅</w:t>
            </w:r>
          </w:p>
        </w:tc>
        <w:tc>
          <w:tcPr>
            <w:tcW w:w="123"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化学需氧量</w:t>
            </w:r>
          </w:p>
        </w:tc>
        <w:tc>
          <w:tcPr>
            <w:tcW w:w="231"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总氮</w:t>
            </w:r>
          </w:p>
        </w:tc>
        <w:tc>
          <w:tcPr>
            <w:tcW w:w="231"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总磷</w:t>
            </w:r>
          </w:p>
        </w:tc>
        <w:tc>
          <w:tcPr>
            <w:tcW w:w="176"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铜</w:t>
            </w:r>
          </w:p>
        </w:tc>
        <w:tc>
          <w:tcPr>
            <w:tcW w:w="176"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锌</w:t>
            </w:r>
          </w:p>
        </w:tc>
        <w:tc>
          <w:tcPr>
            <w:tcW w:w="149"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氟化物</w:t>
            </w:r>
          </w:p>
        </w:tc>
        <w:tc>
          <w:tcPr>
            <w:tcW w:w="176"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硒</w:t>
            </w:r>
          </w:p>
        </w:tc>
        <w:tc>
          <w:tcPr>
            <w:tcW w:w="176"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砷</w:t>
            </w:r>
          </w:p>
        </w:tc>
        <w:tc>
          <w:tcPr>
            <w:tcW w:w="202"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镉</w:t>
            </w:r>
          </w:p>
        </w:tc>
        <w:tc>
          <w:tcPr>
            <w:tcW w:w="123"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六价铬</w:t>
            </w:r>
          </w:p>
        </w:tc>
        <w:tc>
          <w:tcPr>
            <w:tcW w:w="149"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氰化物</w:t>
            </w:r>
          </w:p>
        </w:tc>
        <w:tc>
          <w:tcPr>
            <w:tcW w:w="123"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阴离子表面活性剂</w:t>
            </w:r>
          </w:p>
        </w:tc>
        <w:tc>
          <w:tcPr>
            <w:tcW w:w="149"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硫化物</w:t>
            </w:r>
          </w:p>
        </w:tc>
        <w:tc>
          <w:tcPr>
            <w:tcW w:w="255"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粪大肠菌群</w:t>
            </w:r>
          </w:p>
        </w:tc>
        <w:tc>
          <w:tcPr>
            <w:tcW w:w="215"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河流名称</w:t>
            </w:r>
          </w:p>
        </w:tc>
        <w:tc>
          <w:tcPr>
            <w:tcW w:w="217" w:type="pct"/>
            <w:shd w:val="clear" w:color="auto" w:fill="auto"/>
            <w:vAlign w:val="center"/>
          </w:tcPr>
          <w:p>
            <w:pPr>
              <w:widowControl/>
              <w:snapToGrid w:val="0"/>
              <w:jc w:val="center"/>
              <w:rPr>
                <w:color w:val="000000"/>
                <w:kern w:val="0"/>
                <w:sz w:val="11"/>
                <w:szCs w:val="11"/>
              </w:rPr>
            </w:pPr>
            <w:r>
              <w:rPr>
                <w:rFonts w:eastAsia="黑体"/>
                <w:color w:val="000000"/>
                <w:kern w:val="0"/>
                <w:sz w:val="11"/>
                <w:szCs w:val="11"/>
              </w:rPr>
              <w:t>国控断面汇水范围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5.32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0.408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18.9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28000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9.47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0.633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9400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7.71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0.989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14000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5.51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4.05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0.985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4.62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14000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5.62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4.02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7000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0.623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22000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3.68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0.572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16000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5.38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0.065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54000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0.991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0.097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54000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7.93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0.403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17000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4900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6.47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2.92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0.714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3.73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11000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5.05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0.408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35000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0.715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7000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0.444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28000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0.673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14000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0.573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0.156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2300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0.713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17000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0.534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7000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6300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0.664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4900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1.65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0.426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35000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1.81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28000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3.31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0.00041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92000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3.86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0.756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0.248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24000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0.427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35000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0.495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24000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3.73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0.386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35000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2.96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0.432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13000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8.15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35000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2.72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0.482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24000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28000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0.675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22000</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6.77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0.605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8.88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5.075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3.35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0.4175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15.75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1.6525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0.5775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8.13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8.39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6.15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0.345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0.673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9.045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0.685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0.00475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0.84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0.00155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0.072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0.00028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0.00875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4.61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7.28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5.74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3.39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0.78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6.32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6.09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6.68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10.55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2.03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8.49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0.00023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3.48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0.00142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0.0057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6.94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0.00034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0.486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0.00174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0.492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0.062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0.466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0.00335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6.79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5.28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0.488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6.58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5.52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0.438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6.79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7.17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1.06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0.528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0.00328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vAlign w:val="center"/>
          </w:tcPr>
          <w:p>
            <w:pPr>
              <w:widowControl/>
              <w:jc w:val="center"/>
              <w:rPr>
                <w:color w:val="000000"/>
                <w:kern w:val="0"/>
                <w:sz w:val="11"/>
                <w:szCs w:val="11"/>
              </w:rPr>
            </w:pPr>
            <w:r>
              <w:rPr>
                <w:color w:val="000000"/>
                <w:kern w:val="0"/>
                <w:sz w:val="11"/>
                <w:szCs w:val="11"/>
              </w:rPr>
              <w:t>南浔</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6.63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9.38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0.00048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0.00306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0.0156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1.37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0.355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0.355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0.355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南浔</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w:t>
            </w: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5.78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0.237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2.44</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0.133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5.63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0.437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2.24</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0.175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5.02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0.666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3.81</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0.141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5.39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0.219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3.84</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0.196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3.92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0.405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3.03</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0.083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3.59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0.403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2.54</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0.119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3.74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0.212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2.44</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3.34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0.108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1.79</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0.066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4.15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0.117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0.102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3.81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0.127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1.94</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0.107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3.15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0.236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1.58</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0.096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4.32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0.416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3.58</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0.112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0.374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0.098</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0.616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3.18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0.242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0.389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0.488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0.434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5.89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0.034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2.76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0.437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0.098</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0.652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3.49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2.08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2.72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9.28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0.535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6.95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6.74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7.16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2.95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5.82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2.94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6.59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5.31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2.09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0.366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0.067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0.429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7.46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0.548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7.62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0.494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0.486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0.385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0.426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0.406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0.0066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20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2.02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双林</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0.437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頔塘</w:t>
            </w:r>
          </w:p>
        </w:tc>
        <w:tc>
          <w:tcPr>
            <w:tcW w:w="217" w:type="pct"/>
            <w:shd w:val="clear" w:color="auto" w:fill="auto"/>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4.71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0.299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1.25</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0.198</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5.11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0.412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1.35</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0.199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5.38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0.907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0.186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5.02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0.595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3.21</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4.46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0.334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3.42</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0.143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3.74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0.264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1.67</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0.131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5.71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0.924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2.38</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4.56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0.094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1.29</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3.48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0.616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1.18</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0.163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4.75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0.776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0.152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4.42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0.381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1.03</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5.21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0.643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1.92</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0.177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5.31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0.242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0.321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0.992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0.228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0.598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4.09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0.506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0.488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0.371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5.35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0.414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0.471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1.37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0.292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2.06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0.104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5.07</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0.262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3.73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1.35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6.8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1.02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11.22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10.01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2.01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10.62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6.05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0.00015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0.361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7.92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7.46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0.439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6.18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1.05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0.481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0.436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0.498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1.01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0.431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6.62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0.551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8.32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0.534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4800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7.94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11.16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3400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7.99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0.388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2600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6.64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0.345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4600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9.88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0.385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4600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6.32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5.89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4300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3300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8.31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6.64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0.277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6300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8.13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6.12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0.418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4600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5.73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6300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5.77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4600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古溇港</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7.75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4600</w:t>
            </w:r>
          </w:p>
        </w:tc>
        <w:tc>
          <w:tcPr>
            <w:tcW w:w="215" w:type="pct"/>
            <w:shd w:val="clear" w:color="auto" w:fill="auto"/>
            <w:noWrap/>
          </w:tcPr>
          <w:p>
            <w:pPr>
              <w:widowControl/>
              <w:jc w:val="center"/>
              <w:rPr>
                <w:color w:val="000000"/>
                <w:kern w:val="0"/>
                <w:sz w:val="11"/>
                <w:szCs w:val="11"/>
              </w:rPr>
            </w:pPr>
            <w:r>
              <w:rPr>
                <w:color w:val="000000"/>
                <w:kern w:val="0"/>
                <w:sz w:val="11"/>
                <w:szCs w:val="11"/>
              </w:rPr>
              <w:t>古溇港</w:t>
            </w:r>
          </w:p>
        </w:tc>
        <w:tc>
          <w:tcPr>
            <w:tcW w:w="217" w:type="pct"/>
            <w:shd w:val="clear" w:color="auto" w:fill="auto"/>
            <w:vAlign w:val="center"/>
          </w:tcPr>
          <w:p>
            <w:pPr>
              <w:widowControl/>
              <w:jc w:val="center"/>
              <w:rPr>
                <w:color w:val="000000"/>
                <w:kern w:val="0"/>
                <w:sz w:val="11"/>
                <w:szCs w:val="11"/>
              </w:rPr>
            </w:pPr>
            <w:r>
              <w:rPr>
                <w:color w:val="000000"/>
                <w:kern w:val="0"/>
                <w:sz w:val="11"/>
                <w:szCs w:val="11"/>
              </w:rPr>
              <w:t>南浔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4.98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0.299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2.51</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0.144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5.46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1.44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5.01</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0.249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4.55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0.224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3.47</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4.29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0.215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2.64</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0.117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3.47</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0.237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2.18</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0.084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4.42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2.56</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0.142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0.232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4.02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0.397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4.08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0.565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0.464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5.26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1.08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0.753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3.65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0.38</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9.82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0.552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0.354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5.69</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2.73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6.78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0.233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6.21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0.438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0.365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0.494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0.554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7.18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0.076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8.11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0.455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14000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9.13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0.355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11000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7.88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0.061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0.275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13000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6.78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20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13000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7.66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13000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6.7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2.74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11000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6.7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1.36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5.9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0.365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24000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0.326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24000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8.11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6.21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0.468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0.0056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13000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0.448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12000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6.62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0.383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11000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乌镇</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6.86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13000</w:t>
            </w:r>
          </w:p>
        </w:tc>
        <w:tc>
          <w:tcPr>
            <w:tcW w:w="215" w:type="pct"/>
            <w:shd w:val="clear" w:color="auto" w:fill="auto"/>
            <w:noWrap/>
          </w:tcPr>
          <w:p>
            <w:pPr>
              <w:widowControl/>
              <w:jc w:val="center"/>
              <w:rPr>
                <w:color w:val="000000"/>
                <w:kern w:val="0"/>
                <w:sz w:val="11"/>
                <w:szCs w:val="11"/>
              </w:rPr>
            </w:pPr>
            <w:r>
              <w:rPr>
                <w:color w:val="000000"/>
                <w:kern w:val="0"/>
                <w:sz w:val="11"/>
                <w:szCs w:val="11"/>
              </w:rPr>
              <w:t>京杭运河</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4.35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0.307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1.58</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0.124</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4.93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0.984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0.196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3.38</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0.517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0.091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3.43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0.119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2.61</w:t>
            </w: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0.086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3.23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0.307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0.081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2015</w:t>
            </w:r>
          </w:p>
        </w:tc>
        <w:tc>
          <w:tcPr>
            <w:tcW w:w="115" w:type="pct"/>
            <w:shd w:val="clear" w:color="auto" w:fill="auto"/>
            <w:noWrap/>
            <w:vAlign w:val="bottom"/>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bottom"/>
          </w:tcPr>
          <w:p>
            <w:pPr>
              <w:widowControl/>
              <w:jc w:val="center"/>
              <w:rPr>
                <w:color w:val="000000"/>
                <w:kern w:val="0"/>
                <w:sz w:val="11"/>
                <w:szCs w:val="11"/>
              </w:rPr>
            </w:pPr>
            <w:r>
              <w:rPr>
                <w:color w:val="000000"/>
                <w:kern w:val="0"/>
                <w:sz w:val="11"/>
                <w:szCs w:val="11"/>
              </w:rPr>
              <w:t>3.99</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0.217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p>
        </w:tc>
        <w:tc>
          <w:tcPr>
            <w:tcW w:w="231" w:type="pct"/>
            <w:shd w:val="clear" w:color="auto" w:fill="auto"/>
            <w:noWrap/>
            <w:vAlign w:val="bottom"/>
          </w:tcPr>
          <w:p>
            <w:pPr>
              <w:widowControl/>
              <w:jc w:val="center"/>
              <w:rPr>
                <w:color w:val="000000"/>
                <w:kern w:val="0"/>
                <w:sz w:val="11"/>
                <w:szCs w:val="11"/>
              </w:rPr>
            </w:pPr>
            <w:r>
              <w:rPr>
                <w:color w:val="000000"/>
                <w:kern w:val="0"/>
                <w:sz w:val="11"/>
                <w:szCs w:val="11"/>
              </w:rPr>
              <w:t>0.081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0.451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3.14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0.442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3.22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0.072</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4.02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0.993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3.56</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0.304</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2016</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3.73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0.251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4.57</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0.842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0.52</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3.36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2017</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5.3</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0.21</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1.65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3.62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0.53</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3.1</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2018</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0.39</w:t>
            </w:r>
          </w:p>
        </w:tc>
        <w:tc>
          <w:tcPr>
            <w:tcW w:w="145"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176" w:type="pct"/>
            <w:shd w:val="clear" w:color="auto" w:fill="auto"/>
            <w:noWrap/>
            <w:vAlign w:val="center"/>
          </w:tcPr>
          <w:p>
            <w:pPr>
              <w:widowControl/>
              <w:jc w:val="center"/>
              <w:rPr>
                <w:color w:val="000000"/>
                <w:kern w:val="0"/>
                <w:sz w:val="11"/>
                <w:szCs w:val="11"/>
              </w:rPr>
            </w:pPr>
          </w:p>
        </w:tc>
        <w:tc>
          <w:tcPr>
            <w:tcW w:w="202"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123" w:type="pct"/>
            <w:shd w:val="clear" w:color="auto" w:fill="auto"/>
            <w:noWrap/>
            <w:vAlign w:val="center"/>
          </w:tcPr>
          <w:p>
            <w:pPr>
              <w:widowControl/>
              <w:jc w:val="center"/>
              <w:rPr>
                <w:color w:val="000000"/>
                <w:kern w:val="0"/>
                <w:sz w:val="11"/>
                <w:szCs w:val="11"/>
              </w:rPr>
            </w:pPr>
          </w:p>
        </w:tc>
        <w:tc>
          <w:tcPr>
            <w:tcW w:w="149" w:type="pct"/>
            <w:shd w:val="clear" w:color="auto" w:fill="auto"/>
            <w:noWrap/>
            <w:vAlign w:val="center"/>
          </w:tcPr>
          <w:p>
            <w:pPr>
              <w:widowControl/>
              <w:jc w:val="center"/>
              <w:rPr>
                <w:color w:val="000000"/>
                <w:kern w:val="0"/>
                <w:sz w:val="11"/>
                <w:szCs w:val="11"/>
              </w:rPr>
            </w:pP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9.54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0.55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0.62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8.55</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8.03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6.21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2.33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0.009</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0.453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5.41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0.323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6.98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0.368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7.21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0.088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8.12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2.67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9.01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0.224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7.72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4.6</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1.79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0.285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14000</w:t>
            </w: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1.38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0.268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6.32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0.388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14000</w:t>
            </w: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和孚漾</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6.38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0.345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和孚漾</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6.9</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8.72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0.75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7.23</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7.02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3.4</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0.275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0.299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0.0013</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0.387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6.57</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3.48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1.3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0.6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0.12</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6.3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0.007</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0.462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7.92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9.93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6.3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2.52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9.32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2.25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0.209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0.09</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3.04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0.279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4600</w:t>
            </w: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6.78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5.21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1.86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5.3</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0.97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0.042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0.366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0.0067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46000</w:t>
            </w: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7.84</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5.84</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0.325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5800</w:t>
            </w: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菱湖</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7.72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6.76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6.5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1.44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0.342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vAlign w:val="center"/>
          </w:tcPr>
          <w:p>
            <w:pPr>
              <w:widowControl/>
              <w:jc w:val="center"/>
              <w:rPr>
                <w:color w:val="000000"/>
                <w:kern w:val="0"/>
                <w:sz w:val="11"/>
                <w:szCs w:val="11"/>
              </w:rPr>
            </w:pPr>
            <w:r>
              <w:rPr>
                <w:color w:val="000000"/>
                <w:kern w:val="0"/>
                <w:sz w:val="11"/>
                <w:szCs w:val="11"/>
              </w:rPr>
              <w:t>千金塘</w:t>
            </w:r>
          </w:p>
        </w:tc>
        <w:tc>
          <w:tcPr>
            <w:tcW w:w="217" w:type="pct"/>
            <w:shd w:val="clear" w:color="auto" w:fill="auto"/>
          </w:tcPr>
          <w:p>
            <w:pPr>
              <w:widowControl/>
              <w:jc w:val="center"/>
              <w:rPr>
                <w:color w:val="000000"/>
                <w:kern w:val="0"/>
                <w:sz w:val="11"/>
                <w:szCs w:val="11"/>
              </w:rPr>
            </w:pPr>
            <w:r>
              <w:rPr>
                <w:color w:val="000000"/>
                <w:kern w:val="0"/>
                <w:sz w:val="11"/>
                <w:szCs w:val="11"/>
              </w:rPr>
              <w:t>大钱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9.62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0.572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7.11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5.87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0.67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10</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0.282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0.0009</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7.66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5.66</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4.2</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7.38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5.03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16</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0.011</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7.06</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0.16</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0.371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vAlign w:val="center"/>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2019</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7.08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6.82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1.9</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0.05</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0.0007</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　</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0.028</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0.478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0.0016</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vAlign w:val="center"/>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7.72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0.87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2.18</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0.026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0.458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3</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8.32</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3.9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3.1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0.31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2.83</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0.034</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0.255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7.48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8.21</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4.8</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1.5</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2.4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0.013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0.317</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2300</w:t>
            </w: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7</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7.58</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5.27</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0.27</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1.52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0.399</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9</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8.12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6.13</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5.1</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0.06</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0.0008</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17</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0.13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0.036</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0.381</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0.0045</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r>
              <w:rPr>
                <w:color w:val="000000"/>
                <w:kern w:val="0"/>
                <w:sz w:val="11"/>
                <w:szCs w:val="11"/>
              </w:rPr>
              <w:t>35000</w:t>
            </w: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84" w:type="pct"/>
            <w:shd w:val="clear" w:color="auto" w:fill="auto"/>
            <w:noWrap/>
          </w:tcPr>
          <w:p>
            <w:pPr>
              <w:widowControl/>
              <w:jc w:val="center"/>
              <w:rPr>
                <w:color w:val="000000"/>
                <w:kern w:val="0"/>
                <w:sz w:val="11"/>
                <w:szCs w:val="11"/>
              </w:rPr>
            </w:pPr>
            <w:r>
              <w:rPr>
                <w:color w:val="000000"/>
                <w:kern w:val="0"/>
                <w:sz w:val="11"/>
                <w:szCs w:val="11"/>
              </w:rPr>
              <w:t>燕子桥</w:t>
            </w:r>
          </w:p>
        </w:tc>
        <w:tc>
          <w:tcPr>
            <w:tcW w:w="111" w:type="pct"/>
            <w:shd w:val="clear" w:color="auto" w:fill="auto"/>
            <w:noWrap/>
          </w:tcPr>
          <w:p>
            <w:pPr>
              <w:widowControl/>
              <w:jc w:val="center"/>
              <w:rPr>
                <w:color w:val="000000"/>
                <w:kern w:val="0"/>
                <w:sz w:val="11"/>
                <w:szCs w:val="11"/>
              </w:rPr>
            </w:pPr>
            <w:r>
              <w:rPr>
                <w:color w:val="000000"/>
                <w:kern w:val="0"/>
                <w:sz w:val="11"/>
                <w:szCs w:val="11"/>
              </w:rPr>
              <w:t>河流</w:t>
            </w:r>
          </w:p>
        </w:tc>
        <w:tc>
          <w:tcPr>
            <w:tcW w:w="205" w:type="pct"/>
            <w:shd w:val="clear" w:color="auto" w:fill="auto"/>
            <w:noWrap/>
          </w:tcPr>
          <w:p>
            <w:pPr>
              <w:widowControl/>
              <w:jc w:val="center"/>
              <w:rPr>
                <w:color w:val="000000"/>
                <w:kern w:val="0"/>
                <w:sz w:val="11"/>
                <w:szCs w:val="11"/>
              </w:rPr>
            </w:pPr>
            <w:r>
              <w:rPr>
                <w:color w:val="000000"/>
                <w:kern w:val="0"/>
                <w:sz w:val="11"/>
                <w:szCs w:val="11"/>
              </w:rPr>
              <w:t>2020</w:t>
            </w:r>
          </w:p>
        </w:tc>
        <w:tc>
          <w:tcPr>
            <w:tcW w:w="115" w:type="pct"/>
            <w:shd w:val="clear" w:color="auto" w:fill="auto"/>
            <w:noWrap/>
            <w:vAlign w:val="center"/>
          </w:tcPr>
          <w:p>
            <w:pPr>
              <w:widowControl/>
              <w:jc w:val="center"/>
              <w:rPr>
                <w:color w:val="000000"/>
                <w:kern w:val="0"/>
                <w:sz w:val="11"/>
                <w:szCs w:val="11"/>
              </w:rPr>
            </w:pPr>
            <w:r>
              <w:rPr>
                <w:color w:val="000000"/>
                <w:kern w:val="0"/>
                <w:sz w:val="11"/>
                <w:szCs w:val="11"/>
              </w:rPr>
              <w:t>11</w:t>
            </w:r>
          </w:p>
        </w:tc>
        <w:tc>
          <w:tcPr>
            <w:tcW w:w="103" w:type="pct"/>
            <w:shd w:val="clear" w:color="auto" w:fill="auto"/>
            <w:noWrap/>
            <w:vAlign w:val="center"/>
          </w:tcPr>
          <w:p>
            <w:pPr>
              <w:widowControl/>
              <w:jc w:val="center"/>
              <w:rPr>
                <w:color w:val="000000"/>
                <w:kern w:val="0"/>
                <w:sz w:val="11"/>
                <w:szCs w:val="11"/>
              </w:rPr>
            </w:pPr>
            <w:r>
              <w:rPr>
                <w:color w:val="000000"/>
                <w:kern w:val="0"/>
                <w:sz w:val="11"/>
                <w:szCs w:val="11"/>
              </w:rPr>
              <w:t>8.02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5.68</w:t>
            </w:r>
          </w:p>
        </w:tc>
        <w:tc>
          <w:tcPr>
            <w:tcW w:w="180" w:type="pct"/>
            <w:shd w:val="clear" w:color="auto" w:fill="auto"/>
            <w:noWrap/>
            <w:vAlign w:val="center"/>
          </w:tcPr>
          <w:p>
            <w:pPr>
              <w:widowControl/>
              <w:jc w:val="center"/>
              <w:rPr>
                <w:color w:val="000000"/>
                <w:kern w:val="0"/>
                <w:sz w:val="11"/>
                <w:szCs w:val="11"/>
              </w:rPr>
            </w:pPr>
            <w:r>
              <w:rPr>
                <w:color w:val="000000"/>
                <w:kern w:val="0"/>
                <w:sz w:val="11"/>
                <w:szCs w:val="11"/>
              </w:rPr>
              <w:t>4.9</w:t>
            </w:r>
          </w:p>
        </w:tc>
        <w:tc>
          <w:tcPr>
            <w:tcW w:w="150" w:type="pct"/>
            <w:shd w:val="clear" w:color="auto" w:fill="auto"/>
            <w:noWrap/>
            <w:vAlign w:val="center"/>
          </w:tcPr>
          <w:p>
            <w:pPr>
              <w:widowControl/>
              <w:jc w:val="center"/>
              <w:rPr>
                <w:color w:val="000000"/>
                <w:kern w:val="0"/>
                <w:sz w:val="11"/>
                <w:szCs w:val="11"/>
              </w:rPr>
            </w:pPr>
            <w:r>
              <w:rPr>
                <w:color w:val="000000"/>
                <w:kern w:val="0"/>
                <w:sz w:val="11"/>
                <w:szCs w:val="11"/>
              </w:rPr>
              <w:t>2.2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0.04</w:t>
            </w:r>
          </w:p>
        </w:tc>
        <w:tc>
          <w:tcPr>
            <w:tcW w:w="145" w:type="pct"/>
            <w:shd w:val="clear" w:color="auto" w:fill="auto"/>
            <w:noWrap/>
            <w:vAlign w:val="center"/>
          </w:tcPr>
          <w:p>
            <w:pPr>
              <w:widowControl/>
              <w:jc w:val="center"/>
              <w:rPr>
                <w:color w:val="000000"/>
                <w:kern w:val="0"/>
                <w:sz w:val="11"/>
                <w:szCs w:val="11"/>
              </w:rPr>
            </w:pPr>
            <w:r>
              <w:rPr>
                <w:color w:val="000000"/>
                <w:kern w:val="0"/>
                <w:sz w:val="11"/>
                <w:szCs w:val="11"/>
              </w:rPr>
              <w:t>0.005</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0.00002</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0.001</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12</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1.94</w:t>
            </w:r>
          </w:p>
        </w:tc>
        <w:tc>
          <w:tcPr>
            <w:tcW w:w="231" w:type="pct"/>
            <w:shd w:val="clear" w:color="auto" w:fill="auto"/>
            <w:noWrap/>
            <w:vAlign w:val="center"/>
          </w:tcPr>
          <w:p>
            <w:pPr>
              <w:widowControl/>
              <w:jc w:val="center"/>
              <w:rPr>
                <w:color w:val="000000"/>
                <w:kern w:val="0"/>
                <w:sz w:val="11"/>
                <w:szCs w:val="11"/>
              </w:rPr>
            </w:pPr>
            <w:r>
              <w:rPr>
                <w:color w:val="000000"/>
                <w:kern w:val="0"/>
                <w:sz w:val="11"/>
                <w:szCs w:val="11"/>
              </w:rPr>
              <w:t>0.08</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0.003</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0.032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0.354</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0.0002</w:t>
            </w:r>
          </w:p>
        </w:tc>
        <w:tc>
          <w:tcPr>
            <w:tcW w:w="176" w:type="pct"/>
            <w:shd w:val="clear" w:color="auto" w:fill="auto"/>
            <w:noWrap/>
            <w:vAlign w:val="center"/>
          </w:tcPr>
          <w:p>
            <w:pPr>
              <w:widowControl/>
              <w:jc w:val="center"/>
              <w:rPr>
                <w:color w:val="000000"/>
                <w:kern w:val="0"/>
                <w:sz w:val="11"/>
                <w:szCs w:val="11"/>
              </w:rPr>
            </w:pPr>
            <w:r>
              <w:rPr>
                <w:color w:val="000000"/>
                <w:kern w:val="0"/>
                <w:sz w:val="11"/>
                <w:szCs w:val="11"/>
              </w:rPr>
              <w:t>0.0024</w:t>
            </w:r>
          </w:p>
        </w:tc>
        <w:tc>
          <w:tcPr>
            <w:tcW w:w="202" w:type="pct"/>
            <w:shd w:val="clear" w:color="auto" w:fill="auto"/>
            <w:noWrap/>
            <w:vAlign w:val="center"/>
          </w:tcPr>
          <w:p>
            <w:pPr>
              <w:widowControl/>
              <w:jc w:val="center"/>
              <w:rPr>
                <w:color w:val="000000"/>
                <w:kern w:val="0"/>
                <w:sz w:val="11"/>
                <w:szCs w:val="11"/>
              </w:rPr>
            </w:pPr>
            <w:r>
              <w:rPr>
                <w:color w:val="000000"/>
                <w:kern w:val="0"/>
                <w:sz w:val="11"/>
                <w:szCs w:val="11"/>
              </w:rPr>
              <w:t>0.00005</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123" w:type="pct"/>
            <w:shd w:val="clear" w:color="auto" w:fill="auto"/>
            <w:noWrap/>
            <w:vAlign w:val="center"/>
          </w:tcPr>
          <w:p>
            <w:pPr>
              <w:widowControl/>
              <w:jc w:val="center"/>
              <w:rPr>
                <w:color w:val="000000"/>
                <w:kern w:val="0"/>
                <w:sz w:val="11"/>
                <w:szCs w:val="11"/>
              </w:rPr>
            </w:pPr>
            <w:r>
              <w:rPr>
                <w:color w:val="000000"/>
                <w:kern w:val="0"/>
                <w:sz w:val="11"/>
                <w:szCs w:val="11"/>
              </w:rPr>
              <w:t>0.025</w:t>
            </w:r>
          </w:p>
        </w:tc>
        <w:tc>
          <w:tcPr>
            <w:tcW w:w="149" w:type="pct"/>
            <w:shd w:val="clear" w:color="auto" w:fill="auto"/>
            <w:noWrap/>
            <w:vAlign w:val="center"/>
          </w:tcPr>
          <w:p>
            <w:pPr>
              <w:widowControl/>
              <w:jc w:val="center"/>
              <w:rPr>
                <w:color w:val="000000"/>
                <w:kern w:val="0"/>
                <w:sz w:val="11"/>
                <w:szCs w:val="11"/>
              </w:rPr>
            </w:pPr>
            <w:r>
              <w:rPr>
                <w:color w:val="000000"/>
                <w:kern w:val="0"/>
                <w:sz w:val="11"/>
                <w:szCs w:val="11"/>
              </w:rPr>
              <w:t>0.002</w:t>
            </w:r>
          </w:p>
        </w:tc>
        <w:tc>
          <w:tcPr>
            <w:tcW w:w="255" w:type="pct"/>
            <w:shd w:val="clear" w:color="auto" w:fill="auto"/>
            <w:noWrap/>
            <w:vAlign w:val="center"/>
          </w:tcPr>
          <w:p>
            <w:pPr>
              <w:widowControl/>
              <w:jc w:val="center"/>
              <w:rPr>
                <w:color w:val="000000"/>
                <w:kern w:val="0"/>
                <w:sz w:val="11"/>
                <w:szCs w:val="11"/>
              </w:rPr>
            </w:pPr>
          </w:p>
        </w:tc>
        <w:tc>
          <w:tcPr>
            <w:tcW w:w="215" w:type="pct"/>
            <w:shd w:val="clear" w:color="auto" w:fill="auto"/>
            <w:noWrap/>
          </w:tcPr>
          <w:p>
            <w:pPr>
              <w:widowControl/>
              <w:jc w:val="center"/>
              <w:rPr>
                <w:color w:val="000000"/>
                <w:kern w:val="0"/>
                <w:sz w:val="11"/>
                <w:szCs w:val="11"/>
              </w:rPr>
            </w:pPr>
            <w:r>
              <w:rPr>
                <w:color w:val="000000"/>
                <w:kern w:val="0"/>
                <w:sz w:val="11"/>
                <w:szCs w:val="11"/>
              </w:rPr>
              <w:t>八字桥塘</w:t>
            </w:r>
          </w:p>
        </w:tc>
        <w:tc>
          <w:tcPr>
            <w:tcW w:w="217" w:type="pct"/>
            <w:shd w:val="clear" w:color="auto" w:fill="auto"/>
            <w:vAlign w:val="center"/>
          </w:tcPr>
          <w:p>
            <w:pPr>
              <w:widowControl/>
              <w:jc w:val="center"/>
              <w:rPr>
                <w:color w:val="000000"/>
                <w:kern w:val="0"/>
                <w:sz w:val="11"/>
                <w:szCs w:val="11"/>
              </w:rPr>
            </w:pPr>
            <w:r>
              <w:rPr>
                <w:color w:val="000000"/>
                <w:kern w:val="0"/>
                <w:sz w:val="11"/>
                <w:szCs w:val="11"/>
              </w:rPr>
              <w:t>乌镇北</w:t>
            </w:r>
          </w:p>
        </w:tc>
      </w:tr>
    </w:tbl>
    <w:p>
      <w:pPr>
        <w:rPr>
          <w:highlight w:val="yellow"/>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pStyle w:val="50"/>
      </w:pPr>
      <w:bookmarkStart w:id="75" w:name="_Toc71899964"/>
      <w:r>
        <w:t>附图1  南浔区断面-入河排污口-污染源溯源示意图</w:t>
      </w:r>
      <w:bookmarkEnd w:id="75"/>
    </w:p>
    <w:p>
      <w:pPr>
        <w:pStyle w:val="50"/>
        <w:spacing w:line="240" w:lineRule="auto"/>
        <w:jc w:val="center"/>
        <w:rPr>
          <w:highlight w:val="yellow"/>
        </w:rPr>
      </w:pPr>
      <w:bookmarkStart w:id="76" w:name="_Toc71899965"/>
      <w:r>
        <w:drawing>
          <wp:inline distT="0" distB="0" distL="0" distR="0">
            <wp:extent cx="6412230" cy="4533900"/>
            <wp:effectExtent l="0" t="0" r="7620" b="0"/>
            <wp:docPr id="6" name="图片 6" descr="E:\工作\2021年工作\南浔区十四五水生态环保规划\文本\微信图片_2021051415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2021年工作\南浔区十四五水生态环保规划\文本\微信图片_202105141546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412555" cy="4533900"/>
                    </a:xfrm>
                    <a:prstGeom prst="rect">
                      <a:avLst/>
                    </a:prstGeom>
                    <a:noFill/>
                    <a:ln>
                      <a:noFill/>
                    </a:ln>
                  </pic:spPr>
                </pic:pic>
              </a:graphicData>
            </a:graphic>
          </wp:inline>
        </w:drawing>
      </w:r>
      <w:bookmarkEnd w:id="76"/>
    </w:p>
    <w:sectPr>
      <w:footerReference r:id="rId5" w:type="default"/>
      <w:pgSz w:w="16840" w:h="11900"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A00002EF" w:usb1="4000004B" w:usb2="00000000" w:usb3="00000000" w:csb0="200000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6255050"/>
      <w:docPartObj>
        <w:docPartGallery w:val="autotext"/>
      </w:docPartObj>
    </w:sdtPr>
    <w:sdtContent>
      <w:p>
        <w:pPr>
          <w:pStyle w:val="18"/>
          <w:jc w:val="center"/>
        </w:pPr>
        <w:r>
          <w:fldChar w:fldCharType="begin"/>
        </w:r>
        <w:r>
          <w:instrText xml:space="preserve">PAGE   \* MERGEFORMAT</w:instrText>
        </w:r>
        <w:r>
          <w:fldChar w:fldCharType="separate"/>
        </w:r>
        <w:r>
          <w:rPr>
            <w:lang w:val="zh-CN"/>
          </w:rPr>
          <w:t>II</w:t>
        </w:r>
        <w:r>
          <w:fldChar w:fldCharType="end"/>
        </w:r>
      </w:p>
    </w:sdtContent>
  </w:sdt>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1718945"/>
      <w:docPartObj>
        <w:docPartGallery w:val="autotext"/>
      </w:docPartObj>
    </w:sdtPr>
    <w:sdtContent>
      <w:p>
        <w:pPr>
          <w:pStyle w:val="18"/>
          <w:jc w:val="center"/>
        </w:pPr>
        <w:r>
          <w:fldChar w:fldCharType="begin"/>
        </w:r>
        <w:r>
          <w:instrText xml:space="preserve">PAGE   \* MERGEFORMAT</w:instrText>
        </w:r>
        <w:r>
          <w:fldChar w:fldCharType="separate"/>
        </w:r>
        <w:r>
          <w:rPr>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3878831"/>
    </w:sdtPr>
    <w:sdtEndPr>
      <w:rPr>
        <w:b/>
        <w:sz w:val="21"/>
        <w:szCs w:val="21"/>
      </w:rPr>
    </w:sdtEndPr>
    <w:sdtContent>
      <w:p>
        <w:pPr>
          <w:pStyle w:val="18"/>
          <w:jc w:val="center"/>
          <w:rPr>
            <w:b/>
            <w:sz w:val="21"/>
            <w:szCs w:val="21"/>
          </w:rPr>
        </w:pPr>
        <w:r>
          <w:rPr>
            <w:b/>
            <w:sz w:val="21"/>
            <w:szCs w:val="21"/>
          </w:rPr>
          <w:fldChar w:fldCharType="begin"/>
        </w:r>
        <w:r>
          <w:rPr>
            <w:b/>
            <w:sz w:val="21"/>
            <w:szCs w:val="21"/>
          </w:rPr>
          <w:instrText xml:space="preserve">PAGE   \* MERGEFORMAT</w:instrText>
        </w:r>
        <w:r>
          <w:rPr>
            <w:b/>
            <w:sz w:val="21"/>
            <w:szCs w:val="21"/>
          </w:rPr>
          <w:fldChar w:fldCharType="separate"/>
        </w:r>
        <w:r>
          <w:rPr>
            <w:b/>
            <w:sz w:val="21"/>
            <w:szCs w:val="21"/>
            <w:lang w:val="zh-CN"/>
          </w:rPr>
          <w:t>63</w:t>
        </w:r>
        <w:r>
          <w:rPr>
            <w:b/>
            <w:sz w:val="21"/>
            <w:szCs w:val="21"/>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93393C"/>
    <w:multiLevelType w:val="multilevel"/>
    <w:tmpl w:val="0B93393C"/>
    <w:lvl w:ilvl="0" w:tentative="0">
      <w:start w:val="1"/>
      <w:numFmt w:val="decimal"/>
      <w:lvlText w:val="%1、"/>
      <w:lvlJc w:val="left"/>
      <w:pPr>
        <w:ind w:left="1022" w:hanging="42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1">
    <w:nsid w:val="14B35E30"/>
    <w:multiLevelType w:val="multilevel"/>
    <w:tmpl w:val="14B35E30"/>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15F03C41"/>
    <w:multiLevelType w:val="multilevel"/>
    <w:tmpl w:val="15F03C41"/>
    <w:lvl w:ilvl="0" w:tentative="0">
      <w:start w:val="1"/>
      <w:numFmt w:val="japaneseCounting"/>
      <w:lvlText w:val="（%1）"/>
      <w:lvlJc w:val="left"/>
      <w:pPr>
        <w:ind w:left="1612" w:hanging="972"/>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61C6C29"/>
    <w:multiLevelType w:val="multilevel"/>
    <w:tmpl w:val="161C6C29"/>
    <w:lvl w:ilvl="0" w:tentative="0">
      <w:start w:val="1"/>
      <w:numFmt w:val="chineseCountingThousand"/>
      <w:pStyle w:val="2"/>
      <w:suff w:val="nothing"/>
      <w:lvlText w:val="%1、"/>
      <w:lvlJc w:val="left"/>
      <w:pPr>
        <w:ind w:left="284" w:firstLine="0"/>
      </w:pPr>
      <w:rPr>
        <w:rFonts w:hint="eastAsia"/>
      </w:rPr>
    </w:lvl>
    <w:lvl w:ilvl="1" w:tentative="0">
      <w:start w:val="1"/>
      <w:numFmt w:val="chineseCountingThousand"/>
      <w:pStyle w:val="3"/>
      <w:suff w:val="nothing"/>
      <w:lvlText w:val="（%2）"/>
      <w:lvlJc w:val="left"/>
      <w:pPr>
        <w:ind w:left="284" w:firstLine="0"/>
      </w:pPr>
      <w:rPr>
        <w:rFonts w:hint="eastAsia"/>
      </w:rPr>
    </w:lvl>
    <w:lvl w:ilvl="2" w:tentative="0">
      <w:start w:val="1"/>
      <w:numFmt w:val="decimal"/>
      <w:pStyle w:val="4"/>
      <w:suff w:val="nothing"/>
      <w:lvlText w:val="%3、"/>
      <w:lvlJc w:val="left"/>
      <w:pPr>
        <w:ind w:left="6239" w:firstLine="0"/>
      </w:pPr>
      <w:rPr>
        <w:rFonts w:hint="eastAsia"/>
      </w:rPr>
    </w:lvl>
    <w:lvl w:ilvl="3" w:tentative="0">
      <w:start w:val="1"/>
      <w:numFmt w:val="decimal"/>
      <w:pStyle w:val="5"/>
      <w:suff w:val="nothing"/>
      <w:lvlText w:val="（%4）"/>
      <w:lvlJc w:val="left"/>
      <w:pPr>
        <w:ind w:left="284" w:firstLine="0"/>
      </w:pPr>
      <w:rPr>
        <w:rFonts w:hint="eastAsia"/>
      </w:rPr>
    </w:lvl>
    <w:lvl w:ilvl="4" w:tentative="0">
      <w:start w:val="1"/>
      <w:numFmt w:val="decimal"/>
      <w:lvlText w:val="%1.%2.%3.%4.%5"/>
      <w:lvlJc w:val="left"/>
      <w:pPr>
        <w:ind w:left="284" w:firstLine="0"/>
      </w:pPr>
      <w:rPr>
        <w:rFonts w:hint="eastAsia"/>
      </w:rPr>
    </w:lvl>
    <w:lvl w:ilvl="5" w:tentative="0">
      <w:start w:val="1"/>
      <w:numFmt w:val="decimal"/>
      <w:lvlText w:val="%1.%2.%3.%4.%5.%6"/>
      <w:lvlJc w:val="left"/>
      <w:pPr>
        <w:ind w:left="284" w:firstLine="0"/>
      </w:pPr>
      <w:rPr>
        <w:rFonts w:hint="eastAsia"/>
      </w:rPr>
    </w:lvl>
    <w:lvl w:ilvl="6" w:tentative="0">
      <w:start w:val="1"/>
      <w:numFmt w:val="decimal"/>
      <w:lvlText w:val="%1.%2.%3.%4.%5.%6.%7"/>
      <w:lvlJc w:val="left"/>
      <w:pPr>
        <w:ind w:left="284" w:firstLine="0"/>
      </w:pPr>
      <w:rPr>
        <w:rFonts w:hint="eastAsia"/>
      </w:rPr>
    </w:lvl>
    <w:lvl w:ilvl="7" w:tentative="0">
      <w:start w:val="1"/>
      <w:numFmt w:val="decimal"/>
      <w:lvlText w:val="%1.%2.%3.%4.%5.%6.%7.%8"/>
      <w:lvlJc w:val="left"/>
      <w:pPr>
        <w:ind w:left="284" w:firstLine="0"/>
      </w:pPr>
      <w:rPr>
        <w:rFonts w:hint="eastAsia"/>
      </w:rPr>
    </w:lvl>
    <w:lvl w:ilvl="8" w:tentative="0">
      <w:start w:val="1"/>
      <w:numFmt w:val="decimal"/>
      <w:lvlText w:val="%1.%2.%3.%4.%5.%6.%7.%8.%9"/>
      <w:lvlJc w:val="left"/>
      <w:pPr>
        <w:ind w:left="284" w:firstLine="0"/>
      </w:pPr>
      <w:rPr>
        <w:rFonts w:hint="eastAsia"/>
      </w:rPr>
    </w:lvl>
  </w:abstractNum>
  <w:abstractNum w:abstractNumId="4">
    <w:nsid w:val="2B645868"/>
    <w:multiLevelType w:val="multilevel"/>
    <w:tmpl w:val="2B645868"/>
    <w:lvl w:ilvl="0" w:tentative="0">
      <w:start w:val="1"/>
      <w:numFmt w:val="japaneseCounting"/>
      <w:lvlText w:val="（%1）"/>
      <w:lvlJc w:val="left"/>
      <w:pPr>
        <w:ind w:left="1612" w:hanging="972"/>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2FF91BBA"/>
    <w:multiLevelType w:val="multilevel"/>
    <w:tmpl w:val="2FF91BBA"/>
    <w:lvl w:ilvl="0" w:tentative="0">
      <w:start w:val="1"/>
      <w:numFmt w:val="japaneseCounting"/>
      <w:pStyle w:val="112"/>
      <w:lvlText w:val="%1、"/>
      <w:lvlJc w:val="left"/>
      <w:pPr>
        <w:ind w:left="576" w:hanging="57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3E03AF3"/>
    <w:multiLevelType w:val="multilevel"/>
    <w:tmpl w:val="43E03AF3"/>
    <w:lvl w:ilvl="0" w:tentative="0">
      <w:start w:val="1"/>
      <w:numFmt w:val="decimal"/>
      <w:lvlText w:val="%1、"/>
      <w:lvlJc w:val="left"/>
      <w:pPr>
        <w:ind w:left="1022" w:hanging="42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7">
    <w:nsid w:val="4B2A3E3A"/>
    <w:multiLevelType w:val="multilevel"/>
    <w:tmpl w:val="4B2A3E3A"/>
    <w:lvl w:ilvl="0" w:tentative="0">
      <w:start w:val="1"/>
      <w:numFmt w:val="japaneseCounting"/>
      <w:lvlText w:val="（%1）"/>
      <w:lvlJc w:val="left"/>
      <w:pPr>
        <w:ind w:left="1612" w:hanging="972"/>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4FAE07D4"/>
    <w:multiLevelType w:val="multilevel"/>
    <w:tmpl w:val="4FAE07D4"/>
    <w:lvl w:ilvl="0" w:tentative="0">
      <w:start w:val="1"/>
      <w:numFmt w:val="japaneseCounting"/>
      <w:lvlText w:val="（%1）"/>
      <w:lvlJc w:val="left"/>
      <w:pPr>
        <w:ind w:left="1612" w:hanging="972"/>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9">
    <w:nsid w:val="557E07BC"/>
    <w:multiLevelType w:val="multilevel"/>
    <w:tmpl w:val="557E07BC"/>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0">
    <w:nsid w:val="58B968F3"/>
    <w:multiLevelType w:val="multilevel"/>
    <w:tmpl w:val="58B968F3"/>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69391094"/>
    <w:multiLevelType w:val="multilevel"/>
    <w:tmpl w:val="69391094"/>
    <w:lvl w:ilvl="0" w:tentative="0">
      <w:start w:val="1"/>
      <w:numFmt w:val="japaneseCounting"/>
      <w:lvlText w:val="（%1）"/>
      <w:lvlJc w:val="left"/>
      <w:pPr>
        <w:ind w:left="1612" w:hanging="972"/>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713E1FE9"/>
    <w:multiLevelType w:val="multilevel"/>
    <w:tmpl w:val="713E1FE9"/>
    <w:lvl w:ilvl="0" w:tentative="0">
      <w:start w:val="1"/>
      <w:numFmt w:val="decimal"/>
      <w:pStyle w:val="42"/>
      <w:suff w:val="nothing"/>
      <w:lvlText w:val="附图%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3BC4FEA"/>
    <w:multiLevelType w:val="multilevel"/>
    <w:tmpl w:val="73BC4FE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chineseCountingThousand"/>
      <w:pStyle w:val="53"/>
      <w:suff w:val="nothing"/>
      <w:lvlText w:val="%3、"/>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chineseCountingThousand"/>
      <w:suff w:val="nothing"/>
      <w:lvlText w:val="（%4）"/>
      <w:lvlJc w:val="left"/>
      <w:pPr>
        <w:ind w:left="0" w:firstLine="0"/>
      </w:pPr>
      <w:rPr>
        <w:rFonts w:hint="eastAsia"/>
        <w:lang w:val="en-US"/>
      </w:rPr>
    </w:lvl>
    <w:lvl w:ilvl="4" w:tentative="0">
      <w:start w:val="1"/>
      <w:numFmt w:val="decimal"/>
      <w:suff w:val="space"/>
      <w:lvlText w:val="%5."/>
      <w:lvlJc w:val="left"/>
      <w:pPr>
        <w:ind w:left="0" w:firstLine="0"/>
      </w:pPr>
      <w:rPr>
        <w:rFonts w:hint="eastAsia"/>
      </w:rPr>
    </w:lvl>
    <w:lvl w:ilvl="5" w:tentative="0">
      <w:start w:val="1"/>
      <w:numFmt w:val="decimal"/>
      <w:suff w:val="nothing"/>
      <w:lvlText w:val="（%6）"/>
      <w:lvlJc w:val="left"/>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741E7521"/>
    <w:multiLevelType w:val="multilevel"/>
    <w:tmpl w:val="741E7521"/>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3"/>
  </w:num>
  <w:num w:numId="2">
    <w:abstractNumId w:val="12"/>
  </w:num>
  <w:num w:numId="3">
    <w:abstractNumId w:val="13"/>
  </w:num>
  <w:num w:numId="4">
    <w:abstractNumId w:val="5"/>
  </w:num>
  <w:num w:numId="5">
    <w:abstractNumId w:val="2"/>
  </w:num>
  <w:num w:numId="6">
    <w:abstractNumId w:val="6"/>
  </w:num>
  <w:num w:numId="7">
    <w:abstractNumId w:val="0"/>
  </w:num>
  <w:num w:numId="8">
    <w:abstractNumId w:val="14"/>
  </w:num>
  <w:num w:numId="9">
    <w:abstractNumId w:val="1"/>
  </w:num>
  <w:num w:numId="10">
    <w:abstractNumId w:val="10"/>
  </w:num>
  <w:num w:numId="11">
    <w:abstractNumId w:val="9"/>
  </w:num>
  <w:num w:numId="12">
    <w:abstractNumId w:val="7"/>
  </w:num>
  <w:num w:numId="13">
    <w:abstractNumId w:val="11"/>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561"/>
    <w:rsid w:val="00002655"/>
    <w:rsid w:val="00003C6B"/>
    <w:rsid w:val="00006BC2"/>
    <w:rsid w:val="00007952"/>
    <w:rsid w:val="00012B31"/>
    <w:rsid w:val="000148EE"/>
    <w:rsid w:val="00014F22"/>
    <w:rsid w:val="00016C1A"/>
    <w:rsid w:val="0002117E"/>
    <w:rsid w:val="000223AB"/>
    <w:rsid w:val="00024E61"/>
    <w:rsid w:val="0002527E"/>
    <w:rsid w:val="00026933"/>
    <w:rsid w:val="000346E7"/>
    <w:rsid w:val="0003539B"/>
    <w:rsid w:val="0004325A"/>
    <w:rsid w:val="000435E2"/>
    <w:rsid w:val="00046379"/>
    <w:rsid w:val="000553F3"/>
    <w:rsid w:val="000615DF"/>
    <w:rsid w:val="00064EE2"/>
    <w:rsid w:val="0007036B"/>
    <w:rsid w:val="00075375"/>
    <w:rsid w:val="00077172"/>
    <w:rsid w:val="0007795E"/>
    <w:rsid w:val="000821B3"/>
    <w:rsid w:val="000839C1"/>
    <w:rsid w:val="00083D2C"/>
    <w:rsid w:val="00084AF9"/>
    <w:rsid w:val="0008579E"/>
    <w:rsid w:val="00085A3F"/>
    <w:rsid w:val="0009601B"/>
    <w:rsid w:val="000A0379"/>
    <w:rsid w:val="000A0404"/>
    <w:rsid w:val="000A1810"/>
    <w:rsid w:val="000A1A39"/>
    <w:rsid w:val="000A1D10"/>
    <w:rsid w:val="000A2126"/>
    <w:rsid w:val="000A2426"/>
    <w:rsid w:val="000A7F28"/>
    <w:rsid w:val="000B2631"/>
    <w:rsid w:val="000B2B1B"/>
    <w:rsid w:val="000B3AFE"/>
    <w:rsid w:val="000C243C"/>
    <w:rsid w:val="000D2268"/>
    <w:rsid w:val="000D62B0"/>
    <w:rsid w:val="000E7A13"/>
    <w:rsid w:val="000F3D09"/>
    <w:rsid w:val="000F5784"/>
    <w:rsid w:val="000F66C8"/>
    <w:rsid w:val="00104D6B"/>
    <w:rsid w:val="0010564B"/>
    <w:rsid w:val="00106D69"/>
    <w:rsid w:val="001154C8"/>
    <w:rsid w:val="00116A9E"/>
    <w:rsid w:val="00117725"/>
    <w:rsid w:val="00120181"/>
    <w:rsid w:val="00122A9B"/>
    <w:rsid w:val="001233D3"/>
    <w:rsid w:val="0012424D"/>
    <w:rsid w:val="00124313"/>
    <w:rsid w:val="00126EA3"/>
    <w:rsid w:val="001273B3"/>
    <w:rsid w:val="00136C96"/>
    <w:rsid w:val="00143F36"/>
    <w:rsid w:val="00145FBE"/>
    <w:rsid w:val="0014669C"/>
    <w:rsid w:val="00152694"/>
    <w:rsid w:val="0015276E"/>
    <w:rsid w:val="00152DB3"/>
    <w:rsid w:val="001531C4"/>
    <w:rsid w:val="00155499"/>
    <w:rsid w:val="0017380E"/>
    <w:rsid w:val="00173AF2"/>
    <w:rsid w:val="001748B7"/>
    <w:rsid w:val="0017585A"/>
    <w:rsid w:val="00176E4D"/>
    <w:rsid w:val="00177E58"/>
    <w:rsid w:val="0018425C"/>
    <w:rsid w:val="00186105"/>
    <w:rsid w:val="00186D2D"/>
    <w:rsid w:val="00187743"/>
    <w:rsid w:val="001979F2"/>
    <w:rsid w:val="001A441F"/>
    <w:rsid w:val="001A46B4"/>
    <w:rsid w:val="001B5324"/>
    <w:rsid w:val="001B5C6E"/>
    <w:rsid w:val="001C1BC7"/>
    <w:rsid w:val="001C5106"/>
    <w:rsid w:val="001C588C"/>
    <w:rsid w:val="001D059E"/>
    <w:rsid w:val="001D2D20"/>
    <w:rsid w:val="001D33C9"/>
    <w:rsid w:val="001D3D57"/>
    <w:rsid w:val="001D44F8"/>
    <w:rsid w:val="001D522F"/>
    <w:rsid w:val="001D70E7"/>
    <w:rsid w:val="001E2E0B"/>
    <w:rsid w:val="001E74A9"/>
    <w:rsid w:val="001F2986"/>
    <w:rsid w:val="001F2BF7"/>
    <w:rsid w:val="00200786"/>
    <w:rsid w:val="00204203"/>
    <w:rsid w:val="00207F04"/>
    <w:rsid w:val="0021137C"/>
    <w:rsid w:val="002124D2"/>
    <w:rsid w:val="00214C7A"/>
    <w:rsid w:val="00215F7D"/>
    <w:rsid w:val="0021600F"/>
    <w:rsid w:val="00216AF0"/>
    <w:rsid w:val="002177C5"/>
    <w:rsid w:val="00217959"/>
    <w:rsid w:val="00217ABE"/>
    <w:rsid w:val="00225CF6"/>
    <w:rsid w:val="0022689E"/>
    <w:rsid w:val="0023195B"/>
    <w:rsid w:val="00232FE4"/>
    <w:rsid w:val="002360D9"/>
    <w:rsid w:val="00237944"/>
    <w:rsid w:val="0024360D"/>
    <w:rsid w:val="002478D6"/>
    <w:rsid w:val="00247E74"/>
    <w:rsid w:val="00250024"/>
    <w:rsid w:val="0025158D"/>
    <w:rsid w:val="002517CE"/>
    <w:rsid w:val="00255B7C"/>
    <w:rsid w:val="0026269D"/>
    <w:rsid w:val="00264875"/>
    <w:rsid w:val="002709DE"/>
    <w:rsid w:val="002733E9"/>
    <w:rsid w:val="00275F90"/>
    <w:rsid w:val="00280BFC"/>
    <w:rsid w:val="00287EC6"/>
    <w:rsid w:val="00290CB2"/>
    <w:rsid w:val="00292133"/>
    <w:rsid w:val="002922D6"/>
    <w:rsid w:val="0029582F"/>
    <w:rsid w:val="00296C48"/>
    <w:rsid w:val="002A3DFE"/>
    <w:rsid w:val="002A4192"/>
    <w:rsid w:val="002A5B26"/>
    <w:rsid w:val="002B5AC8"/>
    <w:rsid w:val="002B66B1"/>
    <w:rsid w:val="002B74B4"/>
    <w:rsid w:val="002C7B9B"/>
    <w:rsid w:val="002D0ECC"/>
    <w:rsid w:val="002D322C"/>
    <w:rsid w:val="002D377B"/>
    <w:rsid w:val="002D61D6"/>
    <w:rsid w:val="002D718D"/>
    <w:rsid w:val="002D7F51"/>
    <w:rsid w:val="002E20DF"/>
    <w:rsid w:val="002E2F1B"/>
    <w:rsid w:val="002E3389"/>
    <w:rsid w:val="002E4B3F"/>
    <w:rsid w:val="002E785C"/>
    <w:rsid w:val="002F2B9A"/>
    <w:rsid w:val="002F4B57"/>
    <w:rsid w:val="002F6448"/>
    <w:rsid w:val="002F664D"/>
    <w:rsid w:val="00302BCE"/>
    <w:rsid w:val="0030319E"/>
    <w:rsid w:val="00310E66"/>
    <w:rsid w:val="00312C6E"/>
    <w:rsid w:val="00316717"/>
    <w:rsid w:val="003250C8"/>
    <w:rsid w:val="00327B16"/>
    <w:rsid w:val="00330ECD"/>
    <w:rsid w:val="003327C6"/>
    <w:rsid w:val="003338E7"/>
    <w:rsid w:val="00334DAC"/>
    <w:rsid w:val="003365CF"/>
    <w:rsid w:val="00341763"/>
    <w:rsid w:val="00343BCD"/>
    <w:rsid w:val="0034517F"/>
    <w:rsid w:val="0034667B"/>
    <w:rsid w:val="00350F6D"/>
    <w:rsid w:val="00354F11"/>
    <w:rsid w:val="00355FA2"/>
    <w:rsid w:val="00362880"/>
    <w:rsid w:val="00364633"/>
    <w:rsid w:val="00372EAC"/>
    <w:rsid w:val="00381F5F"/>
    <w:rsid w:val="003904CF"/>
    <w:rsid w:val="003A0B8F"/>
    <w:rsid w:val="003A286D"/>
    <w:rsid w:val="003A316D"/>
    <w:rsid w:val="003B060A"/>
    <w:rsid w:val="003B24D6"/>
    <w:rsid w:val="003B32B7"/>
    <w:rsid w:val="003B36DA"/>
    <w:rsid w:val="003B43FD"/>
    <w:rsid w:val="003B45CB"/>
    <w:rsid w:val="003B7C12"/>
    <w:rsid w:val="003B7C5A"/>
    <w:rsid w:val="003C7BA9"/>
    <w:rsid w:val="003D2DC0"/>
    <w:rsid w:val="003D40AE"/>
    <w:rsid w:val="003D4588"/>
    <w:rsid w:val="003E0548"/>
    <w:rsid w:val="003E0B0B"/>
    <w:rsid w:val="003E5FA1"/>
    <w:rsid w:val="003E722E"/>
    <w:rsid w:val="003F5438"/>
    <w:rsid w:val="003F5EDD"/>
    <w:rsid w:val="003F7007"/>
    <w:rsid w:val="0040360F"/>
    <w:rsid w:val="004051D3"/>
    <w:rsid w:val="00411125"/>
    <w:rsid w:val="00415780"/>
    <w:rsid w:val="004178A3"/>
    <w:rsid w:val="00420721"/>
    <w:rsid w:val="0042336B"/>
    <w:rsid w:val="00423CCE"/>
    <w:rsid w:val="004271CD"/>
    <w:rsid w:val="00435A6C"/>
    <w:rsid w:val="004403F3"/>
    <w:rsid w:val="00440617"/>
    <w:rsid w:val="004578AA"/>
    <w:rsid w:val="00457BF1"/>
    <w:rsid w:val="00460E45"/>
    <w:rsid w:val="004615EC"/>
    <w:rsid w:val="004619C5"/>
    <w:rsid w:val="004627D6"/>
    <w:rsid w:val="00463557"/>
    <w:rsid w:val="004656EE"/>
    <w:rsid w:val="004666FD"/>
    <w:rsid w:val="00466C52"/>
    <w:rsid w:val="00471347"/>
    <w:rsid w:val="00472B38"/>
    <w:rsid w:val="00475113"/>
    <w:rsid w:val="00475EE3"/>
    <w:rsid w:val="00477171"/>
    <w:rsid w:val="004815A1"/>
    <w:rsid w:val="004845F1"/>
    <w:rsid w:val="00487844"/>
    <w:rsid w:val="00490781"/>
    <w:rsid w:val="00494A9D"/>
    <w:rsid w:val="00496A5C"/>
    <w:rsid w:val="004A492E"/>
    <w:rsid w:val="004C400A"/>
    <w:rsid w:val="004D3844"/>
    <w:rsid w:val="004D6A69"/>
    <w:rsid w:val="004E3BD8"/>
    <w:rsid w:val="004E5E69"/>
    <w:rsid w:val="004F4073"/>
    <w:rsid w:val="004F758A"/>
    <w:rsid w:val="00507FFC"/>
    <w:rsid w:val="00511998"/>
    <w:rsid w:val="005137BE"/>
    <w:rsid w:val="00515441"/>
    <w:rsid w:val="00516C09"/>
    <w:rsid w:val="00516DF1"/>
    <w:rsid w:val="00520331"/>
    <w:rsid w:val="00522B66"/>
    <w:rsid w:val="00523E79"/>
    <w:rsid w:val="00526DB5"/>
    <w:rsid w:val="00532B13"/>
    <w:rsid w:val="00534CF9"/>
    <w:rsid w:val="00536499"/>
    <w:rsid w:val="0054209E"/>
    <w:rsid w:val="00542418"/>
    <w:rsid w:val="0054452B"/>
    <w:rsid w:val="00544A4A"/>
    <w:rsid w:val="00545202"/>
    <w:rsid w:val="005464AA"/>
    <w:rsid w:val="005520F8"/>
    <w:rsid w:val="00553ACB"/>
    <w:rsid w:val="00554944"/>
    <w:rsid w:val="00555B3D"/>
    <w:rsid w:val="00556655"/>
    <w:rsid w:val="00565EA9"/>
    <w:rsid w:val="00571E36"/>
    <w:rsid w:val="00575F09"/>
    <w:rsid w:val="00576F49"/>
    <w:rsid w:val="00583251"/>
    <w:rsid w:val="00585BE5"/>
    <w:rsid w:val="00587955"/>
    <w:rsid w:val="005A010A"/>
    <w:rsid w:val="005A3621"/>
    <w:rsid w:val="005A4DE5"/>
    <w:rsid w:val="005B4A0E"/>
    <w:rsid w:val="005C3017"/>
    <w:rsid w:val="005C31DF"/>
    <w:rsid w:val="005C3A53"/>
    <w:rsid w:val="005C41D8"/>
    <w:rsid w:val="005C65D1"/>
    <w:rsid w:val="005D0BDD"/>
    <w:rsid w:val="005D3358"/>
    <w:rsid w:val="005D3A8D"/>
    <w:rsid w:val="005D578E"/>
    <w:rsid w:val="005E0CB8"/>
    <w:rsid w:val="005E3B93"/>
    <w:rsid w:val="005E7635"/>
    <w:rsid w:val="005F5AE2"/>
    <w:rsid w:val="00600512"/>
    <w:rsid w:val="006075B9"/>
    <w:rsid w:val="0061394D"/>
    <w:rsid w:val="006150E7"/>
    <w:rsid w:val="006208CE"/>
    <w:rsid w:val="00620A64"/>
    <w:rsid w:val="006241F0"/>
    <w:rsid w:val="0062512E"/>
    <w:rsid w:val="0063101A"/>
    <w:rsid w:val="00633BC2"/>
    <w:rsid w:val="00633D45"/>
    <w:rsid w:val="00633EA0"/>
    <w:rsid w:val="00641423"/>
    <w:rsid w:val="00647B3F"/>
    <w:rsid w:val="006522A9"/>
    <w:rsid w:val="00657EB2"/>
    <w:rsid w:val="00662504"/>
    <w:rsid w:val="006631F3"/>
    <w:rsid w:val="00665266"/>
    <w:rsid w:val="00665E69"/>
    <w:rsid w:val="006662BD"/>
    <w:rsid w:val="00670E25"/>
    <w:rsid w:val="00677B98"/>
    <w:rsid w:val="006803B8"/>
    <w:rsid w:val="00685673"/>
    <w:rsid w:val="006903A2"/>
    <w:rsid w:val="0069072E"/>
    <w:rsid w:val="00690F4B"/>
    <w:rsid w:val="006921F0"/>
    <w:rsid w:val="006A0ED0"/>
    <w:rsid w:val="006A2C64"/>
    <w:rsid w:val="006A66DE"/>
    <w:rsid w:val="006B5BA4"/>
    <w:rsid w:val="006C038B"/>
    <w:rsid w:val="006C2DB0"/>
    <w:rsid w:val="006C433E"/>
    <w:rsid w:val="006C47B5"/>
    <w:rsid w:val="006C72E5"/>
    <w:rsid w:val="006D37E8"/>
    <w:rsid w:val="006D748D"/>
    <w:rsid w:val="006D7ADC"/>
    <w:rsid w:val="006E19EA"/>
    <w:rsid w:val="006E28E2"/>
    <w:rsid w:val="006E4958"/>
    <w:rsid w:val="006E7A82"/>
    <w:rsid w:val="006F2FCD"/>
    <w:rsid w:val="006F42D8"/>
    <w:rsid w:val="007142B4"/>
    <w:rsid w:val="00714D9C"/>
    <w:rsid w:val="00720C0F"/>
    <w:rsid w:val="00721F9E"/>
    <w:rsid w:val="00724829"/>
    <w:rsid w:val="007270BD"/>
    <w:rsid w:val="00731726"/>
    <w:rsid w:val="00731B60"/>
    <w:rsid w:val="007365B2"/>
    <w:rsid w:val="00744F62"/>
    <w:rsid w:val="00746D2F"/>
    <w:rsid w:val="00746D60"/>
    <w:rsid w:val="00751077"/>
    <w:rsid w:val="00754607"/>
    <w:rsid w:val="0075477C"/>
    <w:rsid w:val="00761AE6"/>
    <w:rsid w:val="00761CF4"/>
    <w:rsid w:val="00762282"/>
    <w:rsid w:val="007625CC"/>
    <w:rsid w:val="00763338"/>
    <w:rsid w:val="0076421F"/>
    <w:rsid w:val="00766543"/>
    <w:rsid w:val="00773EC2"/>
    <w:rsid w:val="00777995"/>
    <w:rsid w:val="00786AC1"/>
    <w:rsid w:val="0079019B"/>
    <w:rsid w:val="00793EE3"/>
    <w:rsid w:val="00796980"/>
    <w:rsid w:val="0079753C"/>
    <w:rsid w:val="007A01A1"/>
    <w:rsid w:val="007A065E"/>
    <w:rsid w:val="007A3B5B"/>
    <w:rsid w:val="007A4104"/>
    <w:rsid w:val="007A4720"/>
    <w:rsid w:val="007A60E2"/>
    <w:rsid w:val="007A71DD"/>
    <w:rsid w:val="007B275F"/>
    <w:rsid w:val="007B3431"/>
    <w:rsid w:val="007B5464"/>
    <w:rsid w:val="007B7533"/>
    <w:rsid w:val="007C24C5"/>
    <w:rsid w:val="007C28E5"/>
    <w:rsid w:val="007E2324"/>
    <w:rsid w:val="007E2A97"/>
    <w:rsid w:val="007E4E06"/>
    <w:rsid w:val="007E6A97"/>
    <w:rsid w:val="007F03A4"/>
    <w:rsid w:val="007F06AA"/>
    <w:rsid w:val="007F7855"/>
    <w:rsid w:val="007F79BA"/>
    <w:rsid w:val="007F7BBB"/>
    <w:rsid w:val="008004C9"/>
    <w:rsid w:val="0081314C"/>
    <w:rsid w:val="0082275A"/>
    <w:rsid w:val="0082329B"/>
    <w:rsid w:val="00823B5D"/>
    <w:rsid w:val="00823C65"/>
    <w:rsid w:val="0083432A"/>
    <w:rsid w:val="0083591C"/>
    <w:rsid w:val="00837603"/>
    <w:rsid w:val="008414A4"/>
    <w:rsid w:val="0084722E"/>
    <w:rsid w:val="00847EBE"/>
    <w:rsid w:val="008516C4"/>
    <w:rsid w:val="00854B9C"/>
    <w:rsid w:val="00856CFB"/>
    <w:rsid w:val="00857C6F"/>
    <w:rsid w:val="00873890"/>
    <w:rsid w:val="00877225"/>
    <w:rsid w:val="00877D9C"/>
    <w:rsid w:val="00883AB4"/>
    <w:rsid w:val="008877D8"/>
    <w:rsid w:val="00887ED7"/>
    <w:rsid w:val="00887FC2"/>
    <w:rsid w:val="00895C6C"/>
    <w:rsid w:val="0089657C"/>
    <w:rsid w:val="0089763D"/>
    <w:rsid w:val="008B2BCD"/>
    <w:rsid w:val="008B3852"/>
    <w:rsid w:val="008B3AB7"/>
    <w:rsid w:val="008B3F0D"/>
    <w:rsid w:val="008B78AC"/>
    <w:rsid w:val="008B7A94"/>
    <w:rsid w:val="008C0DBA"/>
    <w:rsid w:val="008D68D7"/>
    <w:rsid w:val="008E0DF0"/>
    <w:rsid w:val="008E34C0"/>
    <w:rsid w:val="008E661A"/>
    <w:rsid w:val="008F6C17"/>
    <w:rsid w:val="008F7CCA"/>
    <w:rsid w:val="00901182"/>
    <w:rsid w:val="009106CD"/>
    <w:rsid w:val="0091084E"/>
    <w:rsid w:val="00913749"/>
    <w:rsid w:val="00915223"/>
    <w:rsid w:val="0092082A"/>
    <w:rsid w:val="00922B96"/>
    <w:rsid w:val="009240F1"/>
    <w:rsid w:val="009250F7"/>
    <w:rsid w:val="00927021"/>
    <w:rsid w:val="009366EA"/>
    <w:rsid w:val="00941F4A"/>
    <w:rsid w:val="00942D5E"/>
    <w:rsid w:val="009437FF"/>
    <w:rsid w:val="0094613E"/>
    <w:rsid w:val="00952366"/>
    <w:rsid w:val="00952594"/>
    <w:rsid w:val="00952D37"/>
    <w:rsid w:val="00953FED"/>
    <w:rsid w:val="009575DE"/>
    <w:rsid w:val="00957A72"/>
    <w:rsid w:val="009606C7"/>
    <w:rsid w:val="00966FD2"/>
    <w:rsid w:val="00973132"/>
    <w:rsid w:val="00976C3A"/>
    <w:rsid w:val="00977F3F"/>
    <w:rsid w:val="00987E2D"/>
    <w:rsid w:val="00991063"/>
    <w:rsid w:val="00991F2C"/>
    <w:rsid w:val="0099224D"/>
    <w:rsid w:val="0099346F"/>
    <w:rsid w:val="00993831"/>
    <w:rsid w:val="00995A61"/>
    <w:rsid w:val="009A79C3"/>
    <w:rsid w:val="009B56F2"/>
    <w:rsid w:val="009C022C"/>
    <w:rsid w:val="009C0EA1"/>
    <w:rsid w:val="009C15E3"/>
    <w:rsid w:val="009C50FC"/>
    <w:rsid w:val="009C5578"/>
    <w:rsid w:val="009C627A"/>
    <w:rsid w:val="009C7033"/>
    <w:rsid w:val="009D22D8"/>
    <w:rsid w:val="009D641C"/>
    <w:rsid w:val="009E149C"/>
    <w:rsid w:val="009E4BAD"/>
    <w:rsid w:val="009E7FE2"/>
    <w:rsid w:val="009F153A"/>
    <w:rsid w:val="009F2A76"/>
    <w:rsid w:val="009F4205"/>
    <w:rsid w:val="00A00B25"/>
    <w:rsid w:val="00A04324"/>
    <w:rsid w:val="00A043E3"/>
    <w:rsid w:val="00A045A7"/>
    <w:rsid w:val="00A1193F"/>
    <w:rsid w:val="00A139D6"/>
    <w:rsid w:val="00A16F8D"/>
    <w:rsid w:val="00A204E7"/>
    <w:rsid w:val="00A21C5F"/>
    <w:rsid w:val="00A236F0"/>
    <w:rsid w:val="00A3089F"/>
    <w:rsid w:val="00A32815"/>
    <w:rsid w:val="00A35F7F"/>
    <w:rsid w:val="00A47942"/>
    <w:rsid w:val="00A4794B"/>
    <w:rsid w:val="00A51255"/>
    <w:rsid w:val="00A51F09"/>
    <w:rsid w:val="00A521D5"/>
    <w:rsid w:val="00A5304F"/>
    <w:rsid w:val="00A61BA2"/>
    <w:rsid w:val="00A64894"/>
    <w:rsid w:val="00A664DA"/>
    <w:rsid w:val="00A67E22"/>
    <w:rsid w:val="00A74ACB"/>
    <w:rsid w:val="00A82E9F"/>
    <w:rsid w:val="00A92F71"/>
    <w:rsid w:val="00A9423A"/>
    <w:rsid w:val="00A944CE"/>
    <w:rsid w:val="00A96306"/>
    <w:rsid w:val="00AA0963"/>
    <w:rsid w:val="00AA11C7"/>
    <w:rsid w:val="00AB0088"/>
    <w:rsid w:val="00AB362F"/>
    <w:rsid w:val="00AB5C24"/>
    <w:rsid w:val="00AC4461"/>
    <w:rsid w:val="00AC44AF"/>
    <w:rsid w:val="00AC61EF"/>
    <w:rsid w:val="00AC64B8"/>
    <w:rsid w:val="00AF3DCF"/>
    <w:rsid w:val="00AF43CE"/>
    <w:rsid w:val="00B0558B"/>
    <w:rsid w:val="00B06311"/>
    <w:rsid w:val="00B20B3E"/>
    <w:rsid w:val="00B32406"/>
    <w:rsid w:val="00B333EA"/>
    <w:rsid w:val="00B33648"/>
    <w:rsid w:val="00B44F3B"/>
    <w:rsid w:val="00B472D5"/>
    <w:rsid w:val="00B574F4"/>
    <w:rsid w:val="00B67205"/>
    <w:rsid w:val="00B7489C"/>
    <w:rsid w:val="00B75B8A"/>
    <w:rsid w:val="00B773CB"/>
    <w:rsid w:val="00B81245"/>
    <w:rsid w:val="00B8496F"/>
    <w:rsid w:val="00B84E65"/>
    <w:rsid w:val="00B852A3"/>
    <w:rsid w:val="00B86268"/>
    <w:rsid w:val="00B9645D"/>
    <w:rsid w:val="00B97679"/>
    <w:rsid w:val="00BA0EE7"/>
    <w:rsid w:val="00BA1EBD"/>
    <w:rsid w:val="00BA3C91"/>
    <w:rsid w:val="00BA46C9"/>
    <w:rsid w:val="00BB1A38"/>
    <w:rsid w:val="00BB2FFA"/>
    <w:rsid w:val="00BB7DBD"/>
    <w:rsid w:val="00BD4AC1"/>
    <w:rsid w:val="00BD5528"/>
    <w:rsid w:val="00BD6C04"/>
    <w:rsid w:val="00BE1F14"/>
    <w:rsid w:val="00BE2145"/>
    <w:rsid w:val="00BE23C1"/>
    <w:rsid w:val="00BE538D"/>
    <w:rsid w:val="00BE56B2"/>
    <w:rsid w:val="00BE5E21"/>
    <w:rsid w:val="00BE6B0C"/>
    <w:rsid w:val="00BF0003"/>
    <w:rsid w:val="00BF0410"/>
    <w:rsid w:val="00BF11F7"/>
    <w:rsid w:val="00BF1EDA"/>
    <w:rsid w:val="00BF7624"/>
    <w:rsid w:val="00C0085B"/>
    <w:rsid w:val="00C03367"/>
    <w:rsid w:val="00C0340E"/>
    <w:rsid w:val="00C04E0D"/>
    <w:rsid w:val="00C06B2E"/>
    <w:rsid w:val="00C07643"/>
    <w:rsid w:val="00C079D2"/>
    <w:rsid w:val="00C11684"/>
    <w:rsid w:val="00C13321"/>
    <w:rsid w:val="00C1388B"/>
    <w:rsid w:val="00C214C1"/>
    <w:rsid w:val="00C31C07"/>
    <w:rsid w:val="00C31F14"/>
    <w:rsid w:val="00C34AAB"/>
    <w:rsid w:val="00C355F0"/>
    <w:rsid w:val="00C36DD8"/>
    <w:rsid w:val="00C3702F"/>
    <w:rsid w:val="00C40AE9"/>
    <w:rsid w:val="00C41E41"/>
    <w:rsid w:val="00C42586"/>
    <w:rsid w:val="00C42F78"/>
    <w:rsid w:val="00C45318"/>
    <w:rsid w:val="00C46346"/>
    <w:rsid w:val="00C56285"/>
    <w:rsid w:val="00C5671E"/>
    <w:rsid w:val="00C56B2C"/>
    <w:rsid w:val="00C5734D"/>
    <w:rsid w:val="00C6327C"/>
    <w:rsid w:val="00C656B1"/>
    <w:rsid w:val="00C662DB"/>
    <w:rsid w:val="00C70315"/>
    <w:rsid w:val="00C80929"/>
    <w:rsid w:val="00C80995"/>
    <w:rsid w:val="00C81AB8"/>
    <w:rsid w:val="00C82BAF"/>
    <w:rsid w:val="00C837A1"/>
    <w:rsid w:val="00C83854"/>
    <w:rsid w:val="00C90447"/>
    <w:rsid w:val="00C90CCE"/>
    <w:rsid w:val="00C94B1C"/>
    <w:rsid w:val="00CA077C"/>
    <w:rsid w:val="00CB1C82"/>
    <w:rsid w:val="00CB2BBB"/>
    <w:rsid w:val="00CB7782"/>
    <w:rsid w:val="00CC18FD"/>
    <w:rsid w:val="00CC1B70"/>
    <w:rsid w:val="00CD3413"/>
    <w:rsid w:val="00CD6410"/>
    <w:rsid w:val="00CE08AA"/>
    <w:rsid w:val="00CE7279"/>
    <w:rsid w:val="00CF203F"/>
    <w:rsid w:val="00D01B85"/>
    <w:rsid w:val="00D04E87"/>
    <w:rsid w:val="00D066B1"/>
    <w:rsid w:val="00D0747B"/>
    <w:rsid w:val="00D10D0D"/>
    <w:rsid w:val="00D1515B"/>
    <w:rsid w:val="00D15797"/>
    <w:rsid w:val="00D2178F"/>
    <w:rsid w:val="00D23D61"/>
    <w:rsid w:val="00D30049"/>
    <w:rsid w:val="00D352AE"/>
    <w:rsid w:val="00D41513"/>
    <w:rsid w:val="00D41A64"/>
    <w:rsid w:val="00D423C1"/>
    <w:rsid w:val="00D44188"/>
    <w:rsid w:val="00D45158"/>
    <w:rsid w:val="00D47CF7"/>
    <w:rsid w:val="00D531C8"/>
    <w:rsid w:val="00D55A7A"/>
    <w:rsid w:val="00D56A20"/>
    <w:rsid w:val="00D57786"/>
    <w:rsid w:val="00D57E43"/>
    <w:rsid w:val="00D6085B"/>
    <w:rsid w:val="00D640CA"/>
    <w:rsid w:val="00D70D54"/>
    <w:rsid w:val="00D71D7E"/>
    <w:rsid w:val="00D72873"/>
    <w:rsid w:val="00D72F59"/>
    <w:rsid w:val="00D72FDC"/>
    <w:rsid w:val="00D73082"/>
    <w:rsid w:val="00D73147"/>
    <w:rsid w:val="00D769CD"/>
    <w:rsid w:val="00D86783"/>
    <w:rsid w:val="00D91D4D"/>
    <w:rsid w:val="00D91EE8"/>
    <w:rsid w:val="00D924E4"/>
    <w:rsid w:val="00D935BB"/>
    <w:rsid w:val="00D9480F"/>
    <w:rsid w:val="00D94E7A"/>
    <w:rsid w:val="00D95598"/>
    <w:rsid w:val="00D97B6F"/>
    <w:rsid w:val="00DB1967"/>
    <w:rsid w:val="00DC0111"/>
    <w:rsid w:val="00DC1745"/>
    <w:rsid w:val="00DC1D3E"/>
    <w:rsid w:val="00DC3872"/>
    <w:rsid w:val="00DC496C"/>
    <w:rsid w:val="00DC53D8"/>
    <w:rsid w:val="00DD2E34"/>
    <w:rsid w:val="00DE1D45"/>
    <w:rsid w:val="00DE5F31"/>
    <w:rsid w:val="00DE5FB3"/>
    <w:rsid w:val="00DE7AA7"/>
    <w:rsid w:val="00DE7BF5"/>
    <w:rsid w:val="00DF50BF"/>
    <w:rsid w:val="00E001D5"/>
    <w:rsid w:val="00E015B7"/>
    <w:rsid w:val="00E01AB3"/>
    <w:rsid w:val="00E02D5C"/>
    <w:rsid w:val="00E04971"/>
    <w:rsid w:val="00E1124D"/>
    <w:rsid w:val="00E1254D"/>
    <w:rsid w:val="00E1378B"/>
    <w:rsid w:val="00E26940"/>
    <w:rsid w:val="00E33F0F"/>
    <w:rsid w:val="00E34259"/>
    <w:rsid w:val="00E40936"/>
    <w:rsid w:val="00E41A87"/>
    <w:rsid w:val="00E426AA"/>
    <w:rsid w:val="00E436A2"/>
    <w:rsid w:val="00E43CDC"/>
    <w:rsid w:val="00E474BA"/>
    <w:rsid w:val="00E5264F"/>
    <w:rsid w:val="00E53B88"/>
    <w:rsid w:val="00E53D9D"/>
    <w:rsid w:val="00E549A6"/>
    <w:rsid w:val="00E55780"/>
    <w:rsid w:val="00E55A04"/>
    <w:rsid w:val="00E55C60"/>
    <w:rsid w:val="00E71BD9"/>
    <w:rsid w:val="00E80A2A"/>
    <w:rsid w:val="00E82D7D"/>
    <w:rsid w:val="00E84D4D"/>
    <w:rsid w:val="00E91F43"/>
    <w:rsid w:val="00E94A1D"/>
    <w:rsid w:val="00E94BEE"/>
    <w:rsid w:val="00E96AB3"/>
    <w:rsid w:val="00EA0BD0"/>
    <w:rsid w:val="00EB0796"/>
    <w:rsid w:val="00EB11ED"/>
    <w:rsid w:val="00EB18FA"/>
    <w:rsid w:val="00EB2426"/>
    <w:rsid w:val="00EB39F1"/>
    <w:rsid w:val="00EB3B3F"/>
    <w:rsid w:val="00EB5C8A"/>
    <w:rsid w:val="00EC1E84"/>
    <w:rsid w:val="00EC5F25"/>
    <w:rsid w:val="00ED06C5"/>
    <w:rsid w:val="00ED09B1"/>
    <w:rsid w:val="00ED201A"/>
    <w:rsid w:val="00ED3035"/>
    <w:rsid w:val="00ED5F88"/>
    <w:rsid w:val="00ED7561"/>
    <w:rsid w:val="00EE175A"/>
    <w:rsid w:val="00EE40FC"/>
    <w:rsid w:val="00EE7403"/>
    <w:rsid w:val="00EF48EC"/>
    <w:rsid w:val="00EF7E80"/>
    <w:rsid w:val="00F01486"/>
    <w:rsid w:val="00F02DCF"/>
    <w:rsid w:val="00F03263"/>
    <w:rsid w:val="00F05181"/>
    <w:rsid w:val="00F057FC"/>
    <w:rsid w:val="00F06AF1"/>
    <w:rsid w:val="00F12CBF"/>
    <w:rsid w:val="00F139A1"/>
    <w:rsid w:val="00F14886"/>
    <w:rsid w:val="00F20469"/>
    <w:rsid w:val="00F21125"/>
    <w:rsid w:val="00F2220E"/>
    <w:rsid w:val="00F23A07"/>
    <w:rsid w:val="00F26B7C"/>
    <w:rsid w:val="00F301DF"/>
    <w:rsid w:val="00F36221"/>
    <w:rsid w:val="00F37039"/>
    <w:rsid w:val="00F379DA"/>
    <w:rsid w:val="00F42441"/>
    <w:rsid w:val="00F44C6E"/>
    <w:rsid w:val="00F4500C"/>
    <w:rsid w:val="00F458FD"/>
    <w:rsid w:val="00F50321"/>
    <w:rsid w:val="00F505DE"/>
    <w:rsid w:val="00F507B0"/>
    <w:rsid w:val="00F511EF"/>
    <w:rsid w:val="00F5467D"/>
    <w:rsid w:val="00F55D49"/>
    <w:rsid w:val="00F56314"/>
    <w:rsid w:val="00F56509"/>
    <w:rsid w:val="00F57145"/>
    <w:rsid w:val="00F62B8D"/>
    <w:rsid w:val="00F66B1E"/>
    <w:rsid w:val="00F66C96"/>
    <w:rsid w:val="00F70469"/>
    <w:rsid w:val="00F737DA"/>
    <w:rsid w:val="00F74AFF"/>
    <w:rsid w:val="00F74F5C"/>
    <w:rsid w:val="00F77037"/>
    <w:rsid w:val="00F7792D"/>
    <w:rsid w:val="00F87564"/>
    <w:rsid w:val="00F877AF"/>
    <w:rsid w:val="00F9176A"/>
    <w:rsid w:val="00F91AFC"/>
    <w:rsid w:val="00F955E1"/>
    <w:rsid w:val="00FA25C7"/>
    <w:rsid w:val="00FA4AA8"/>
    <w:rsid w:val="00FA4ECD"/>
    <w:rsid w:val="00FA64C6"/>
    <w:rsid w:val="00FA71FE"/>
    <w:rsid w:val="00FB42A7"/>
    <w:rsid w:val="00FB54EE"/>
    <w:rsid w:val="00FC58DC"/>
    <w:rsid w:val="00FD3C3E"/>
    <w:rsid w:val="00FD5D1F"/>
    <w:rsid w:val="00FE04EE"/>
    <w:rsid w:val="00FE76D2"/>
    <w:rsid w:val="00FF2163"/>
    <w:rsid w:val="00FF5B2C"/>
    <w:rsid w:val="00FF783E"/>
    <w:rsid w:val="00FF78CB"/>
    <w:rsid w:val="06657138"/>
    <w:rsid w:val="0E616826"/>
    <w:rsid w:val="136A5FD2"/>
    <w:rsid w:val="166443ED"/>
    <w:rsid w:val="18BB370C"/>
    <w:rsid w:val="19967095"/>
    <w:rsid w:val="27AC4401"/>
    <w:rsid w:val="2ACD2201"/>
    <w:rsid w:val="2B09718A"/>
    <w:rsid w:val="355035A2"/>
    <w:rsid w:val="373965DA"/>
    <w:rsid w:val="483419AC"/>
    <w:rsid w:val="4F0D3DA7"/>
    <w:rsid w:val="54D10816"/>
    <w:rsid w:val="5E321FE3"/>
    <w:rsid w:val="5F9A62A0"/>
    <w:rsid w:val="63BA3E3D"/>
    <w:rsid w:val="695A161E"/>
    <w:rsid w:val="76525E57"/>
    <w:rsid w:val="79D062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8"/>
    <w:qFormat/>
    <w:uiPriority w:val="9"/>
    <w:pPr>
      <w:numPr>
        <w:ilvl w:val="0"/>
        <w:numId w:val="1"/>
      </w:numPr>
      <w:spacing w:line="360" w:lineRule="auto"/>
      <w:outlineLvl w:val="0"/>
    </w:pPr>
    <w:rPr>
      <w:rFonts w:eastAsia="黑体"/>
      <w:sz w:val="32"/>
      <w:szCs w:val="32"/>
    </w:rPr>
  </w:style>
  <w:style w:type="paragraph" w:styleId="3">
    <w:name w:val="heading 2"/>
    <w:basedOn w:val="1"/>
    <w:next w:val="1"/>
    <w:link w:val="39"/>
    <w:unhideWhenUsed/>
    <w:qFormat/>
    <w:uiPriority w:val="99"/>
    <w:pPr>
      <w:numPr>
        <w:ilvl w:val="1"/>
        <w:numId w:val="1"/>
      </w:numPr>
      <w:spacing w:line="360" w:lineRule="auto"/>
      <w:outlineLvl w:val="1"/>
    </w:pPr>
    <w:rPr>
      <w:rFonts w:eastAsia="黑体"/>
      <w:sz w:val="32"/>
      <w:szCs w:val="32"/>
    </w:rPr>
  </w:style>
  <w:style w:type="paragraph" w:styleId="4">
    <w:name w:val="heading 3"/>
    <w:basedOn w:val="1"/>
    <w:next w:val="1"/>
    <w:link w:val="40"/>
    <w:unhideWhenUsed/>
    <w:qFormat/>
    <w:uiPriority w:val="9"/>
    <w:pPr>
      <w:numPr>
        <w:ilvl w:val="2"/>
        <w:numId w:val="1"/>
      </w:numPr>
      <w:spacing w:line="360" w:lineRule="auto"/>
      <w:outlineLvl w:val="2"/>
    </w:pPr>
    <w:rPr>
      <w:rFonts w:ascii="楷体_GB2312" w:eastAsia="楷体_GB2312"/>
      <w:b/>
      <w:sz w:val="32"/>
      <w:szCs w:val="32"/>
    </w:rPr>
  </w:style>
  <w:style w:type="paragraph" w:styleId="5">
    <w:name w:val="heading 4"/>
    <w:basedOn w:val="1"/>
    <w:next w:val="1"/>
    <w:link w:val="41"/>
    <w:unhideWhenUsed/>
    <w:qFormat/>
    <w:uiPriority w:val="9"/>
    <w:pPr>
      <w:numPr>
        <w:ilvl w:val="3"/>
        <w:numId w:val="1"/>
      </w:numPr>
      <w:ind w:firstLine="643" w:firstLineChars="200"/>
      <w:outlineLvl w:val="3"/>
    </w:pPr>
    <w:rPr>
      <w:rFonts w:eastAsia="仿宋_GB2312"/>
      <w:b/>
      <w:sz w:val="32"/>
      <w:szCs w:val="3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Calibri" w:hAnsi="Calibri" w:cs="Calibri"/>
      <w:sz w:val="18"/>
      <w:szCs w:val="18"/>
    </w:rPr>
  </w:style>
  <w:style w:type="paragraph" w:styleId="7">
    <w:name w:val="Normal Indent"/>
    <w:basedOn w:val="1"/>
    <w:link w:val="111"/>
    <w:qFormat/>
    <w:uiPriority w:val="0"/>
    <w:pPr>
      <w:adjustRightInd w:val="0"/>
      <w:spacing w:line="312" w:lineRule="atLeast"/>
      <w:ind w:firstLine="425"/>
    </w:pPr>
    <w:rPr>
      <w:kern w:val="0"/>
      <w:szCs w:val="20"/>
    </w:rPr>
  </w:style>
  <w:style w:type="paragraph" w:styleId="8">
    <w:name w:val="caption"/>
    <w:basedOn w:val="1"/>
    <w:next w:val="1"/>
    <w:qFormat/>
    <w:uiPriority w:val="35"/>
    <w:pPr>
      <w:spacing w:line="360" w:lineRule="auto"/>
      <w:jc w:val="center"/>
    </w:pPr>
    <w:rPr>
      <w:rFonts w:ascii="Arial" w:hAnsi="Arial" w:eastAsia="黑体"/>
      <w:sz w:val="24"/>
      <w:szCs w:val="21"/>
    </w:rPr>
  </w:style>
  <w:style w:type="paragraph" w:styleId="9">
    <w:name w:val="Document Map"/>
    <w:basedOn w:val="1"/>
    <w:link w:val="43"/>
    <w:unhideWhenUsed/>
    <w:qFormat/>
    <w:uiPriority w:val="99"/>
    <w:rPr>
      <w:rFonts w:ascii="宋体"/>
      <w:sz w:val="18"/>
      <w:szCs w:val="18"/>
    </w:rPr>
  </w:style>
  <w:style w:type="paragraph" w:styleId="10">
    <w:name w:val="annotation text"/>
    <w:basedOn w:val="1"/>
    <w:link w:val="58"/>
    <w:unhideWhenUsed/>
    <w:qFormat/>
    <w:uiPriority w:val="99"/>
    <w:pPr>
      <w:jc w:val="left"/>
    </w:pPr>
    <w:rPr>
      <w:kern w:val="0"/>
      <w:sz w:val="20"/>
      <w:szCs w:val="20"/>
    </w:rPr>
  </w:style>
  <w:style w:type="paragraph" w:styleId="11">
    <w:name w:val="Body Text Indent"/>
    <w:basedOn w:val="1"/>
    <w:link w:val="63"/>
    <w:qFormat/>
    <w:uiPriority w:val="0"/>
    <w:pPr>
      <w:spacing w:line="360" w:lineRule="auto"/>
      <w:ind w:firstLine="480" w:firstLineChars="200"/>
    </w:pPr>
    <w:rPr>
      <w:rFonts w:eastAsia="仿宋_GB2312"/>
      <w:kern w:val="0"/>
      <w:sz w:val="24"/>
      <w:szCs w:val="24"/>
    </w:r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420"/>
      <w:jc w:val="left"/>
    </w:pPr>
    <w:rPr>
      <w:rFonts w:ascii="Calibri" w:hAnsi="Calibri" w:cs="Calibri"/>
      <w:i/>
      <w:iCs/>
      <w:sz w:val="20"/>
      <w:szCs w:val="20"/>
    </w:rPr>
  </w:style>
  <w:style w:type="paragraph" w:styleId="14">
    <w:name w:val="Plain Text"/>
    <w:basedOn w:val="1"/>
    <w:link w:val="113"/>
    <w:qFormat/>
    <w:uiPriority w:val="99"/>
    <w:rPr>
      <w:rFonts w:ascii="宋体" w:hAnsi="Courier New" w:cs="宋体" w:eastAsiaTheme="minorEastAsia"/>
      <w:szCs w:val="24"/>
    </w:rPr>
  </w:style>
  <w:style w:type="paragraph" w:styleId="15">
    <w:name w:val="toc 8"/>
    <w:basedOn w:val="1"/>
    <w:next w:val="1"/>
    <w:unhideWhenUsed/>
    <w:qFormat/>
    <w:uiPriority w:val="39"/>
    <w:pPr>
      <w:ind w:left="1470"/>
      <w:jc w:val="left"/>
    </w:pPr>
    <w:rPr>
      <w:rFonts w:ascii="Calibri" w:hAnsi="Calibri" w:cs="Calibri"/>
      <w:sz w:val="18"/>
      <w:szCs w:val="18"/>
    </w:rPr>
  </w:style>
  <w:style w:type="paragraph" w:styleId="16">
    <w:name w:val="Date"/>
    <w:basedOn w:val="1"/>
    <w:next w:val="1"/>
    <w:link w:val="91"/>
    <w:semiHidden/>
    <w:unhideWhenUsed/>
    <w:qFormat/>
    <w:uiPriority w:val="99"/>
    <w:pPr>
      <w:ind w:left="100" w:leftChars="2500"/>
    </w:pPr>
    <w:rPr>
      <w:rFonts w:asciiTheme="minorHAnsi" w:hAnsiTheme="minorHAnsi" w:eastAsiaTheme="minorEastAsia" w:cstheme="minorBidi"/>
    </w:rPr>
  </w:style>
  <w:style w:type="paragraph" w:styleId="17">
    <w:name w:val="Balloon Text"/>
    <w:basedOn w:val="1"/>
    <w:link w:val="57"/>
    <w:unhideWhenUsed/>
    <w:qFormat/>
    <w:uiPriority w:val="99"/>
    <w:rPr>
      <w:rFonts w:asciiTheme="minorHAnsi" w:hAnsiTheme="minorHAnsi" w:eastAsiaTheme="minorEastAsia" w:cstheme="minorBidi"/>
      <w:sz w:val="18"/>
      <w:szCs w:val="18"/>
    </w:rPr>
  </w:style>
  <w:style w:type="paragraph" w:styleId="18">
    <w:name w:val="footer"/>
    <w:basedOn w:val="1"/>
    <w:link w:val="48"/>
    <w:unhideWhenUsed/>
    <w:qFormat/>
    <w:uiPriority w:val="99"/>
    <w:pPr>
      <w:tabs>
        <w:tab w:val="center" w:pos="4153"/>
        <w:tab w:val="right" w:pos="8306"/>
      </w:tabs>
      <w:snapToGrid w:val="0"/>
      <w:jc w:val="left"/>
    </w:pPr>
    <w:rPr>
      <w:sz w:val="18"/>
      <w:szCs w:val="18"/>
    </w:rPr>
  </w:style>
  <w:style w:type="paragraph" w:styleId="19">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left" w:pos="840"/>
        <w:tab w:val="right" w:leader="dot" w:pos="8296"/>
      </w:tabs>
      <w:spacing w:before="120" w:after="120"/>
      <w:jc w:val="left"/>
    </w:pPr>
    <w:rPr>
      <w:rFonts w:ascii="楷体_GB2312" w:eastAsia="楷体_GB2312"/>
      <w:b/>
      <w:bCs/>
      <w:caps/>
      <w:sz w:val="28"/>
      <w:szCs w:val="28"/>
    </w:rPr>
  </w:style>
  <w:style w:type="paragraph" w:styleId="21">
    <w:name w:val="toc 4"/>
    <w:basedOn w:val="1"/>
    <w:next w:val="1"/>
    <w:unhideWhenUsed/>
    <w:qFormat/>
    <w:uiPriority w:val="39"/>
    <w:pPr>
      <w:ind w:left="630"/>
      <w:jc w:val="left"/>
    </w:pPr>
    <w:rPr>
      <w:rFonts w:ascii="Calibri" w:hAnsi="Calibri" w:cs="Calibri"/>
      <w:sz w:val="18"/>
      <w:szCs w:val="18"/>
    </w:rPr>
  </w:style>
  <w:style w:type="paragraph" w:styleId="22">
    <w:name w:val="footnote text"/>
    <w:basedOn w:val="1"/>
    <w:link w:val="84"/>
    <w:semiHidden/>
    <w:unhideWhenUsed/>
    <w:qFormat/>
    <w:uiPriority w:val="99"/>
    <w:pPr>
      <w:snapToGrid w:val="0"/>
      <w:jc w:val="left"/>
    </w:pPr>
    <w:rPr>
      <w:rFonts w:asciiTheme="minorHAnsi" w:hAnsiTheme="minorHAnsi" w:eastAsiaTheme="minorEastAsia" w:cstheme="minorBidi"/>
      <w:sz w:val="18"/>
      <w:szCs w:val="18"/>
    </w:rPr>
  </w:style>
  <w:style w:type="paragraph" w:styleId="23">
    <w:name w:val="toc 6"/>
    <w:basedOn w:val="1"/>
    <w:next w:val="1"/>
    <w:unhideWhenUsed/>
    <w:qFormat/>
    <w:uiPriority w:val="39"/>
    <w:pPr>
      <w:ind w:left="1050"/>
      <w:jc w:val="left"/>
    </w:pPr>
    <w:rPr>
      <w:rFonts w:ascii="Calibri" w:hAnsi="Calibri" w:cs="Calibri"/>
      <w:sz w:val="18"/>
      <w:szCs w:val="18"/>
    </w:rPr>
  </w:style>
  <w:style w:type="paragraph" w:styleId="24">
    <w:name w:val="toc 2"/>
    <w:basedOn w:val="1"/>
    <w:next w:val="1"/>
    <w:unhideWhenUsed/>
    <w:qFormat/>
    <w:uiPriority w:val="39"/>
    <w:pPr>
      <w:ind w:left="210"/>
      <w:jc w:val="left"/>
    </w:pPr>
    <w:rPr>
      <w:rFonts w:ascii="Calibri" w:hAnsi="Calibri" w:cs="Calibri"/>
      <w:smallCaps/>
      <w:sz w:val="20"/>
      <w:szCs w:val="20"/>
    </w:rPr>
  </w:style>
  <w:style w:type="paragraph" w:styleId="25">
    <w:name w:val="toc 9"/>
    <w:basedOn w:val="1"/>
    <w:next w:val="1"/>
    <w:unhideWhenUsed/>
    <w:qFormat/>
    <w:uiPriority w:val="39"/>
    <w:pPr>
      <w:ind w:left="1680"/>
      <w:jc w:val="left"/>
    </w:pPr>
    <w:rPr>
      <w:rFonts w:ascii="Calibri" w:hAnsi="Calibri" w:cs="Calibri"/>
      <w:sz w:val="18"/>
      <w:szCs w:val="18"/>
    </w:rPr>
  </w:style>
  <w:style w:type="paragraph" w:styleId="2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7">
    <w:name w:val="Title"/>
    <w:basedOn w:val="1"/>
    <w:next w:val="1"/>
    <w:link w:val="116"/>
    <w:qFormat/>
    <w:uiPriority w:val="10"/>
    <w:pPr>
      <w:spacing w:line="360" w:lineRule="auto"/>
      <w:ind w:firstLine="482"/>
      <w:jc w:val="center"/>
    </w:pPr>
    <w:rPr>
      <w:rFonts w:cstheme="majorBidi"/>
      <w:b/>
      <w:bCs/>
      <w:color w:val="000000"/>
      <w:kern w:val="0"/>
      <w:sz w:val="24"/>
      <w:szCs w:val="32"/>
    </w:rPr>
  </w:style>
  <w:style w:type="paragraph" w:styleId="28">
    <w:name w:val="annotation subject"/>
    <w:basedOn w:val="10"/>
    <w:next w:val="10"/>
    <w:link w:val="68"/>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FollowedHyperlink"/>
    <w:unhideWhenUsed/>
    <w:qFormat/>
    <w:uiPriority w:val="99"/>
    <w:rPr>
      <w:color w:val="800080"/>
      <w:u w:val="single"/>
    </w:rPr>
  </w:style>
  <w:style w:type="character" w:styleId="34">
    <w:name w:val="Emphasis"/>
    <w:qFormat/>
    <w:uiPriority w:val="20"/>
    <w:rPr>
      <w:i/>
      <w:iCs/>
    </w:rPr>
  </w:style>
  <w:style w:type="character" w:styleId="35">
    <w:name w:val="Hyperlink"/>
    <w:unhideWhenUsed/>
    <w:qFormat/>
    <w:uiPriority w:val="99"/>
    <w:rPr>
      <w:color w:val="0000FF"/>
      <w:u w:val="single"/>
    </w:rPr>
  </w:style>
  <w:style w:type="character" w:styleId="36">
    <w:name w:val="annotation reference"/>
    <w:unhideWhenUsed/>
    <w:qFormat/>
    <w:uiPriority w:val="99"/>
    <w:rPr>
      <w:sz w:val="21"/>
      <w:szCs w:val="21"/>
    </w:rPr>
  </w:style>
  <w:style w:type="character" w:styleId="37">
    <w:name w:val="footnote reference"/>
    <w:basedOn w:val="31"/>
    <w:semiHidden/>
    <w:unhideWhenUsed/>
    <w:qFormat/>
    <w:uiPriority w:val="99"/>
    <w:rPr>
      <w:vertAlign w:val="superscript"/>
    </w:rPr>
  </w:style>
  <w:style w:type="character" w:customStyle="1" w:styleId="38">
    <w:name w:val="标题 1 字符"/>
    <w:basedOn w:val="31"/>
    <w:link w:val="2"/>
    <w:qFormat/>
    <w:uiPriority w:val="9"/>
    <w:rPr>
      <w:rFonts w:eastAsia="黑体"/>
      <w:kern w:val="2"/>
      <w:sz w:val="32"/>
      <w:szCs w:val="32"/>
    </w:rPr>
  </w:style>
  <w:style w:type="character" w:customStyle="1" w:styleId="39">
    <w:name w:val="标题 2 字符"/>
    <w:basedOn w:val="31"/>
    <w:link w:val="3"/>
    <w:qFormat/>
    <w:uiPriority w:val="99"/>
    <w:rPr>
      <w:rFonts w:eastAsia="黑体"/>
      <w:kern w:val="2"/>
      <w:sz w:val="32"/>
      <w:szCs w:val="32"/>
    </w:rPr>
  </w:style>
  <w:style w:type="character" w:customStyle="1" w:styleId="40">
    <w:name w:val="标题 3 字符"/>
    <w:basedOn w:val="31"/>
    <w:link w:val="4"/>
    <w:qFormat/>
    <w:uiPriority w:val="9"/>
    <w:rPr>
      <w:rFonts w:ascii="楷体_GB2312" w:eastAsia="楷体_GB2312"/>
      <w:b/>
      <w:kern w:val="2"/>
      <w:sz w:val="32"/>
      <w:szCs w:val="32"/>
    </w:rPr>
  </w:style>
  <w:style w:type="character" w:customStyle="1" w:styleId="41">
    <w:name w:val="标题 4 字符"/>
    <w:basedOn w:val="31"/>
    <w:link w:val="5"/>
    <w:qFormat/>
    <w:uiPriority w:val="9"/>
    <w:rPr>
      <w:rFonts w:eastAsia="仿宋_GB2312"/>
      <w:b/>
      <w:kern w:val="2"/>
      <w:sz w:val="32"/>
      <w:szCs w:val="32"/>
    </w:rPr>
  </w:style>
  <w:style w:type="paragraph" w:customStyle="1" w:styleId="42">
    <w:name w:val="附图"/>
    <w:basedOn w:val="1"/>
    <w:qFormat/>
    <w:uiPriority w:val="0"/>
    <w:pPr>
      <w:numPr>
        <w:ilvl w:val="0"/>
        <w:numId w:val="2"/>
      </w:numPr>
      <w:spacing w:beforeLines="50" w:afterLines="50" w:line="360" w:lineRule="auto"/>
      <w:outlineLvl w:val="0"/>
    </w:pPr>
    <w:rPr>
      <w:rFonts w:eastAsia="黑体"/>
      <w:sz w:val="30"/>
      <w:szCs w:val="30"/>
    </w:rPr>
  </w:style>
  <w:style w:type="character" w:customStyle="1" w:styleId="43">
    <w:name w:val="文档结构图 字符"/>
    <w:basedOn w:val="31"/>
    <w:link w:val="9"/>
    <w:qFormat/>
    <w:uiPriority w:val="99"/>
    <w:rPr>
      <w:rFonts w:ascii="宋体"/>
      <w:sz w:val="18"/>
      <w:szCs w:val="18"/>
    </w:rPr>
  </w:style>
  <w:style w:type="paragraph" w:customStyle="1" w:styleId="44">
    <w:name w:val="总标题"/>
    <w:basedOn w:val="1"/>
    <w:qFormat/>
    <w:uiPriority w:val="0"/>
    <w:pPr>
      <w:spacing w:before="312" w:beforeLines="100" w:after="156" w:afterLines="50" w:line="360" w:lineRule="auto"/>
      <w:jc w:val="center"/>
      <w:outlineLvl w:val="0"/>
    </w:pPr>
    <w:rPr>
      <w:rFonts w:ascii="华文中宋" w:hAnsi="华文中宋" w:eastAsia="华文中宋"/>
      <w:b/>
      <w:sz w:val="44"/>
      <w:szCs w:val="44"/>
    </w:rPr>
  </w:style>
  <w:style w:type="paragraph" w:customStyle="1" w:styleId="45">
    <w:name w:val="标准文字"/>
    <w:basedOn w:val="1"/>
    <w:link w:val="46"/>
    <w:qFormat/>
    <w:uiPriority w:val="0"/>
    <w:pPr>
      <w:overflowPunct w:val="0"/>
      <w:spacing w:line="360" w:lineRule="auto"/>
      <w:ind w:firstLine="640" w:firstLineChars="200"/>
    </w:pPr>
    <w:rPr>
      <w:rFonts w:eastAsia="仿宋_GB2312"/>
      <w:sz w:val="32"/>
      <w:szCs w:val="32"/>
    </w:rPr>
  </w:style>
  <w:style w:type="character" w:customStyle="1" w:styleId="46">
    <w:name w:val="标准文字 Char"/>
    <w:link w:val="45"/>
    <w:qFormat/>
    <w:locked/>
    <w:uiPriority w:val="0"/>
    <w:rPr>
      <w:rFonts w:eastAsia="仿宋_GB2312"/>
      <w:kern w:val="2"/>
      <w:sz w:val="32"/>
      <w:szCs w:val="32"/>
    </w:rPr>
  </w:style>
  <w:style w:type="character" w:customStyle="1" w:styleId="47">
    <w:name w:val="页眉 字符"/>
    <w:basedOn w:val="31"/>
    <w:link w:val="19"/>
    <w:qFormat/>
    <w:uiPriority w:val="99"/>
    <w:rPr>
      <w:kern w:val="2"/>
      <w:sz w:val="18"/>
      <w:szCs w:val="18"/>
    </w:rPr>
  </w:style>
  <w:style w:type="character" w:customStyle="1" w:styleId="48">
    <w:name w:val="页脚 字符"/>
    <w:basedOn w:val="31"/>
    <w:link w:val="18"/>
    <w:qFormat/>
    <w:uiPriority w:val="99"/>
    <w:rPr>
      <w:kern w:val="2"/>
      <w:sz w:val="18"/>
      <w:szCs w:val="18"/>
    </w:rPr>
  </w:style>
  <w:style w:type="table" w:customStyle="1" w:styleId="49">
    <w:name w:val="标准表格"/>
    <w:basedOn w:val="29"/>
    <w:qFormat/>
    <w:uiPriority w:val="99"/>
    <w:pPr>
      <w:jc w:val="center"/>
    </w:pPr>
    <w:rPr>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vAlign w:val="center"/>
    </w:tcPr>
    <w:tblStylePr w:type="firstRow">
      <w:pPr>
        <w:jc w:val="center"/>
      </w:pPr>
      <w:rPr>
        <w:rFonts w:ascii="Arial" w:hAnsi="Arial" w:eastAsia="黑体"/>
        <w:sz w:val="21"/>
      </w:rPr>
    </w:tblStylePr>
    <w:tblStylePr w:type="lastRow">
      <w:rPr>
        <w:b/>
      </w:rPr>
    </w:tblStylePr>
  </w:style>
  <w:style w:type="paragraph" w:customStyle="1" w:styleId="50">
    <w:name w:val="附件1级"/>
    <w:basedOn w:val="1"/>
    <w:qFormat/>
    <w:uiPriority w:val="0"/>
    <w:pPr>
      <w:spacing w:before="156" w:beforeLines="50" w:after="156" w:afterLines="50" w:line="360" w:lineRule="auto"/>
      <w:jc w:val="left"/>
      <w:outlineLvl w:val="0"/>
    </w:pPr>
    <w:rPr>
      <w:rFonts w:eastAsia="黑体"/>
      <w:sz w:val="32"/>
    </w:rPr>
  </w:style>
  <w:style w:type="paragraph" w:customStyle="1" w:styleId="51">
    <w:name w:val="附件2级"/>
    <w:basedOn w:val="1"/>
    <w:qFormat/>
    <w:uiPriority w:val="0"/>
    <w:pPr>
      <w:spacing w:line="360" w:lineRule="auto"/>
      <w:outlineLvl w:val="1"/>
    </w:pPr>
    <w:rPr>
      <w:rFonts w:eastAsia="黑体" w:cstheme="minorBidi"/>
      <w:sz w:val="30"/>
    </w:rPr>
  </w:style>
  <w:style w:type="paragraph" w:customStyle="1" w:styleId="52">
    <w:name w:val="前言目录"/>
    <w:basedOn w:val="1"/>
    <w:qFormat/>
    <w:uiPriority w:val="0"/>
    <w:pPr>
      <w:spacing w:line="360" w:lineRule="auto"/>
      <w:jc w:val="center"/>
      <w:outlineLvl w:val="0"/>
    </w:pPr>
    <w:rPr>
      <w:rFonts w:eastAsia="黑体"/>
      <w:sz w:val="30"/>
    </w:rPr>
  </w:style>
  <w:style w:type="paragraph" w:customStyle="1" w:styleId="53">
    <w:name w:val="附件3级"/>
    <w:basedOn w:val="1"/>
    <w:qFormat/>
    <w:uiPriority w:val="0"/>
    <w:pPr>
      <w:numPr>
        <w:ilvl w:val="2"/>
        <w:numId w:val="3"/>
      </w:numPr>
      <w:spacing w:line="360" w:lineRule="auto"/>
      <w:ind w:firstLine="640" w:firstLineChars="200"/>
      <w:outlineLvl w:val="1"/>
    </w:pPr>
    <w:rPr>
      <w:rFonts w:ascii="Arial" w:hAnsi="Arial" w:eastAsia="黑体"/>
      <w:sz w:val="32"/>
    </w:rPr>
  </w:style>
  <w:style w:type="paragraph" w:customStyle="1" w:styleId="54">
    <w:name w:val="附件4级"/>
    <w:basedOn w:val="1"/>
    <w:next w:val="45"/>
    <w:qFormat/>
    <w:uiPriority w:val="0"/>
    <w:pPr>
      <w:spacing w:line="360" w:lineRule="auto"/>
      <w:ind w:firstLine="640" w:firstLineChars="200"/>
      <w:outlineLvl w:val="2"/>
    </w:pPr>
    <w:rPr>
      <w:rFonts w:ascii="Arial" w:hAnsi="Arial" w:eastAsia="黑体"/>
      <w:sz w:val="32"/>
    </w:rPr>
  </w:style>
  <w:style w:type="paragraph" w:customStyle="1" w:styleId="55">
    <w:name w:val="附件5级"/>
    <w:basedOn w:val="1"/>
    <w:next w:val="45"/>
    <w:qFormat/>
    <w:uiPriority w:val="0"/>
    <w:pPr>
      <w:spacing w:line="360" w:lineRule="auto"/>
      <w:outlineLvl w:val="3"/>
    </w:pPr>
    <w:rPr>
      <w:rFonts w:eastAsia="楷体"/>
      <w:b/>
      <w:sz w:val="30"/>
    </w:rPr>
  </w:style>
  <w:style w:type="paragraph" w:styleId="56">
    <w:name w:val="List Paragraph"/>
    <w:basedOn w:val="1"/>
    <w:qFormat/>
    <w:uiPriority w:val="34"/>
    <w:pPr>
      <w:ind w:firstLine="420" w:firstLineChars="200"/>
    </w:pPr>
    <w:rPr>
      <w:rFonts w:asciiTheme="minorHAnsi" w:hAnsiTheme="minorHAnsi" w:eastAsiaTheme="minorEastAsia" w:cstheme="minorBidi"/>
    </w:rPr>
  </w:style>
  <w:style w:type="character" w:customStyle="1" w:styleId="57">
    <w:name w:val="批注框文本 字符"/>
    <w:basedOn w:val="31"/>
    <w:link w:val="17"/>
    <w:qFormat/>
    <w:uiPriority w:val="99"/>
    <w:rPr>
      <w:rFonts w:asciiTheme="minorHAnsi" w:hAnsiTheme="minorHAnsi" w:eastAsiaTheme="minorEastAsia" w:cstheme="minorBidi"/>
      <w:kern w:val="2"/>
      <w:sz w:val="18"/>
      <w:szCs w:val="18"/>
    </w:rPr>
  </w:style>
  <w:style w:type="character" w:customStyle="1" w:styleId="58">
    <w:name w:val="批注文字 字符"/>
    <w:basedOn w:val="31"/>
    <w:link w:val="10"/>
    <w:qFormat/>
    <w:uiPriority w:val="99"/>
  </w:style>
  <w:style w:type="character" w:customStyle="1" w:styleId="59">
    <w:name w:val="批注文字 字符1"/>
    <w:basedOn w:val="31"/>
    <w:semiHidden/>
    <w:qFormat/>
    <w:uiPriority w:val="99"/>
    <w:rPr>
      <w:kern w:val="2"/>
      <w:sz w:val="21"/>
      <w:szCs w:val="22"/>
    </w:rPr>
  </w:style>
  <w:style w:type="character" w:customStyle="1" w:styleId="60">
    <w:name w:val="文档结构图 字符1"/>
    <w:basedOn w:val="31"/>
    <w:semiHidden/>
    <w:qFormat/>
    <w:uiPriority w:val="99"/>
    <w:rPr>
      <w:rFonts w:ascii="Microsoft YaHei UI" w:eastAsia="Microsoft YaHei UI"/>
      <w:sz w:val="18"/>
      <w:szCs w:val="18"/>
    </w:rPr>
  </w:style>
  <w:style w:type="character" w:customStyle="1" w:styleId="61">
    <w:name w:val="表格 Char Char"/>
    <w:link w:val="62"/>
    <w:qFormat/>
    <w:uiPriority w:val="0"/>
    <w:rPr>
      <w:rFonts w:eastAsia="仿宋_GB2312"/>
      <w:szCs w:val="21"/>
    </w:rPr>
  </w:style>
  <w:style w:type="paragraph" w:customStyle="1" w:styleId="62">
    <w:name w:val="表格"/>
    <w:basedOn w:val="1"/>
    <w:link w:val="61"/>
    <w:qFormat/>
    <w:uiPriority w:val="0"/>
    <w:pPr>
      <w:adjustRightInd w:val="0"/>
      <w:spacing w:line="312" w:lineRule="atLeast"/>
      <w:jc w:val="center"/>
    </w:pPr>
    <w:rPr>
      <w:rFonts w:eastAsia="仿宋_GB2312"/>
      <w:kern w:val="0"/>
      <w:sz w:val="20"/>
      <w:szCs w:val="21"/>
    </w:rPr>
  </w:style>
  <w:style w:type="character" w:customStyle="1" w:styleId="63">
    <w:name w:val="正文文本缩进 字符"/>
    <w:link w:val="11"/>
    <w:qFormat/>
    <w:uiPriority w:val="0"/>
    <w:rPr>
      <w:rFonts w:eastAsia="仿宋_GB2312"/>
      <w:sz w:val="24"/>
      <w:szCs w:val="24"/>
    </w:rPr>
  </w:style>
  <w:style w:type="character" w:customStyle="1" w:styleId="64">
    <w:name w:val="正文文本缩进 字符1"/>
    <w:basedOn w:val="31"/>
    <w:semiHidden/>
    <w:qFormat/>
    <w:uiPriority w:val="99"/>
    <w:rPr>
      <w:kern w:val="2"/>
      <w:sz w:val="21"/>
      <w:szCs w:val="22"/>
    </w:rPr>
  </w:style>
  <w:style w:type="character" w:customStyle="1" w:styleId="65">
    <w:name w:val="text1"/>
    <w:qFormat/>
    <w:uiPriority w:val="0"/>
    <w:rPr>
      <w:rFonts w:hint="eastAsia" w:ascii="宋体" w:hAnsi="宋体" w:eastAsia="宋体"/>
      <w:color w:val="000000"/>
      <w:spacing w:val="15"/>
      <w:sz w:val="21"/>
      <w:szCs w:val="21"/>
    </w:rPr>
  </w:style>
  <w:style w:type="character" w:customStyle="1" w:styleId="66">
    <w:name w:val="0A 小四正文 Char"/>
    <w:link w:val="67"/>
    <w:qFormat/>
    <w:uiPriority w:val="0"/>
    <w:rPr>
      <w:sz w:val="28"/>
      <w:szCs w:val="24"/>
    </w:rPr>
  </w:style>
  <w:style w:type="paragraph" w:customStyle="1" w:styleId="67">
    <w:name w:val="0A 小四正文"/>
    <w:link w:val="66"/>
    <w:qFormat/>
    <w:uiPriority w:val="0"/>
    <w:pPr>
      <w:widowControl w:val="0"/>
      <w:snapToGrid w:val="0"/>
      <w:spacing w:line="360" w:lineRule="auto"/>
      <w:ind w:firstLine="200" w:firstLineChars="200"/>
    </w:pPr>
    <w:rPr>
      <w:rFonts w:ascii="Times New Roman" w:hAnsi="Times New Roman" w:eastAsia="宋体" w:cs="Times New Roman"/>
      <w:sz w:val="28"/>
      <w:szCs w:val="24"/>
      <w:lang w:val="en-US" w:eastAsia="zh-CN" w:bidi="ar-SA"/>
    </w:rPr>
  </w:style>
  <w:style w:type="character" w:customStyle="1" w:styleId="68">
    <w:name w:val="批注主题 字符"/>
    <w:link w:val="28"/>
    <w:qFormat/>
    <w:uiPriority w:val="99"/>
    <w:rPr>
      <w:b/>
      <w:bCs/>
    </w:rPr>
  </w:style>
  <w:style w:type="character" w:customStyle="1" w:styleId="69">
    <w:name w:val="批注主题 字符1"/>
    <w:basedOn w:val="59"/>
    <w:semiHidden/>
    <w:qFormat/>
    <w:uiPriority w:val="99"/>
    <w:rPr>
      <w:b/>
      <w:bCs/>
      <w:kern w:val="2"/>
      <w:sz w:val="21"/>
      <w:szCs w:val="22"/>
    </w:rPr>
  </w:style>
  <w:style w:type="paragraph" w:customStyle="1" w:styleId="70">
    <w:name w:val="无间隔1"/>
    <w:qFormat/>
    <w:uiPriority w:val="0"/>
    <w:pPr>
      <w:adjustRightInd w:val="0"/>
      <w:snapToGrid w:val="0"/>
    </w:pPr>
    <w:rPr>
      <w:rFonts w:ascii="Times New Roman" w:hAnsi="Times New Roman" w:eastAsia="宋体" w:cs="Times New Roman"/>
      <w:sz w:val="21"/>
      <w:szCs w:val="22"/>
      <w:lang w:val="en-US" w:eastAsia="en-US" w:bidi="ar-SA"/>
    </w:rPr>
  </w:style>
  <w:style w:type="paragraph" w:customStyle="1" w:styleId="7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3">
    <w:name w:val="列出段落1"/>
    <w:basedOn w:val="1"/>
    <w:qFormat/>
    <w:uiPriority w:val="34"/>
    <w:pPr>
      <w:ind w:firstLine="420" w:firstLineChars="200"/>
    </w:pPr>
    <w:rPr>
      <w:rFonts w:ascii="Calibri" w:hAnsi="Calibri"/>
    </w:rPr>
  </w:style>
  <w:style w:type="paragraph" w:customStyle="1" w:styleId="74">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75">
    <w:name w:val="正文小四"/>
    <w:qFormat/>
    <w:uiPriority w:val="0"/>
    <w:pPr>
      <w:spacing w:line="560" w:lineRule="atLeast"/>
      <w:ind w:firstLine="200" w:firstLineChars="200"/>
      <w:jc w:val="both"/>
    </w:pPr>
    <w:rPr>
      <w:rFonts w:ascii="Times New Roman" w:hAnsi="Times New Roman" w:eastAsia="仿宋_GB2312" w:cs="Times New Roman"/>
      <w:sz w:val="32"/>
      <w:lang w:val="en-US" w:eastAsia="zh-CN" w:bidi="ar-SA"/>
    </w:rPr>
  </w:style>
  <w:style w:type="paragraph" w:customStyle="1" w:styleId="7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7">
    <w:name w:val="正文文本样式"/>
    <w:basedOn w:val="1"/>
    <w:qFormat/>
    <w:uiPriority w:val="0"/>
    <w:pPr>
      <w:tabs>
        <w:tab w:val="left" w:pos="0"/>
      </w:tabs>
      <w:spacing w:line="560" w:lineRule="atLeast"/>
      <w:ind w:firstLine="640" w:firstLineChars="200"/>
    </w:pPr>
    <w:rPr>
      <w:rFonts w:eastAsia="仿宋_GB2312"/>
      <w:kern w:val="0"/>
      <w:sz w:val="32"/>
      <w:szCs w:val="32"/>
    </w:rPr>
  </w:style>
  <w:style w:type="paragraph" w:customStyle="1" w:styleId="78">
    <w:name w:val="TOC 标题1"/>
    <w:basedOn w:val="2"/>
    <w:next w:val="1"/>
    <w:qFormat/>
    <w:uiPriority w:val="39"/>
    <w:pPr>
      <w:keepNext/>
      <w:keepLines/>
      <w:widowControl/>
      <w:numPr>
        <w:numId w:val="0"/>
      </w:numPr>
      <w:spacing w:before="480" w:line="276" w:lineRule="auto"/>
      <w:jc w:val="left"/>
      <w:outlineLvl w:val="9"/>
    </w:pPr>
    <w:rPr>
      <w:rFonts w:ascii="Cambria" w:hAnsi="Cambria" w:eastAsia="宋体"/>
      <w:b/>
      <w:bCs/>
      <w:color w:val="365F91"/>
      <w:kern w:val="0"/>
      <w:sz w:val="28"/>
      <w:szCs w:val="28"/>
    </w:rPr>
  </w:style>
  <w:style w:type="paragraph" w:customStyle="1" w:styleId="79">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80">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81">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8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脚注文本 字符"/>
    <w:basedOn w:val="31"/>
    <w:link w:val="22"/>
    <w:semiHidden/>
    <w:qFormat/>
    <w:uiPriority w:val="99"/>
    <w:rPr>
      <w:rFonts w:asciiTheme="minorHAnsi" w:hAnsiTheme="minorHAnsi" w:eastAsiaTheme="minorEastAsia" w:cstheme="minorBidi"/>
      <w:kern w:val="2"/>
      <w:sz w:val="18"/>
      <w:szCs w:val="18"/>
    </w:rPr>
  </w:style>
  <w:style w:type="table" w:customStyle="1" w:styleId="85">
    <w:name w:val="网格型1"/>
    <w:basedOn w:val="29"/>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6">
    <w:name w:val="湿地正文"/>
    <w:basedOn w:val="1"/>
    <w:link w:val="87"/>
    <w:qFormat/>
    <w:uiPriority w:val="0"/>
    <w:pPr>
      <w:widowControl/>
      <w:spacing w:line="360" w:lineRule="auto"/>
      <w:ind w:firstLine="200" w:firstLineChars="200"/>
      <w:jc w:val="left"/>
    </w:pPr>
    <w:rPr>
      <w:rFonts w:cs="黑体" w:asciiTheme="minorEastAsia" w:hAnsiTheme="minorEastAsia" w:eastAsiaTheme="minorEastAsia"/>
      <w:color w:val="000000"/>
      <w:kern w:val="0"/>
      <w:sz w:val="24"/>
      <w:szCs w:val="24"/>
      <w:lang w:val="zh-CN"/>
    </w:rPr>
  </w:style>
  <w:style w:type="character" w:customStyle="1" w:styleId="87">
    <w:name w:val="湿地正文 Char"/>
    <w:basedOn w:val="31"/>
    <w:link w:val="86"/>
    <w:qFormat/>
    <w:uiPriority w:val="0"/>
    <w:rPr>
      <w:rFonts w:cs="黑体" w:asciiTheme="minorEastAsia" w:hAnsiTheme="minorEastAsia" w:eastAsiaTheme="minorEastAsia"/>
      <w:color w:val="000000"/>
      <w:sz w:val="24"/>
      <w:szCs w:val="24"/>
      <w:lang w:val="zh-CN"/>
    </w:rPr>
  </w:style>
  <w:style w:type="paragraph" w:customStyle="1" w:styleId="88">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89">
    <w:name w:val="三级标题 Char1"/>
    <w:basedOn w:val="31"/>
    <w:link w:val="90"/>
    <w:qFormat/>
    <w:uiPriority w:val="0"/>
    <w:rPr>
      <w:rFonts w:eastAsia="楷体_GB2312"/>
      <w:sz w:val="32"/>
      <w:szCs w:val="32"/>
    </w:rPr>
  </w:style>
  <w:style w:type="paragraph" w:customStyle="1" w:styleId="90">
    <w:name w:val="三级标题"/>
    <w:basedOn w:val="1"/>
    <w:link w:val="89"/>
    <w:qFormat/>
    <w:uiPriority w:val="0"/>
    <w:pPr>
      <w:snapToGrid w:val="0"/>
      <w:spacing w:line="560" w:lineRule="exact"/>
      <w:ind w:firstLine="200" w:firstLineChars="200"/>
      <w:outlineLvl w:val="2"/>
    </w:pPr>
    <w:rPr>
      <w:rFonts w:eastAsia="楷体_GB2312"/>
      <w:kern w:val="0"/>
      <w:sz w:val="32"/>
      <w:szCs w:val="32"/>
    </w:rPr>
  </w:style>
  <w:style w:type="character" w:customStyle="1" w:styleId="91">
    <w:name w:val="日期 字符"/>
    <w:basedOn w:val="31"/>
    <w:link w:val="16"/>
    <w:semiHidden/>
    <w:qFormat/>
    <w:uiPriority w:val="99"/>
    <w:rPr>
      <w:rFonts w:asciiTheme="minorHAnsi" w:hAnsiTheme="minorHAnsi" w:eastAsiaTheme="minorEastAsia" w:cstheme="minorBidi"/>
      <w:kern w:val="2"/>
      <w:sz w:val="21"/>
      <w:szCs w:val="22"/>
    </w:rPr>
  </w:style>
  <w:style w:type="character" w:customStyle="1" w:styleId="92">
    <w:name w:val="图表标题 Char"/>
    <w:link w:val="93"/>
    <w:qFormat/>
    <w:locked/>
    <w:uiPriority w:val="0"/>
    <w:rPr>
      <w:b/>
      <w:sz w:val="24"/>
      <w:szCs w:val="24"/>
    </w:rPr>
  </w:style>
  <w:style w:type="paragraph" w:customStyle="1" w:styleId="93">
    <w:name w:val="图表标题"/>
    <w:basedOn w:val="1"/>
    <w:link w:val="92"/>
    <w:qFormat/>
    <w:uiPriority w:val="0"/>
    <w:pPr>
      <w:spacing w:before="50" w:beforeLines="50" w:after="50" w:afterLines="50" w:line="560" w:lineRule="exact"/>
      <w:jc w:val="center"/>
    </w:pPr>
    <w:rPr>
      <w:b/>
      <w:kern w:val="0"/>
      <w:sz w:val="24"/>
      <w:szCs w:val="24"/>
    </w:rPr>
  </w:style>
  <w:style w:type="paragraph" w:customStyle="1" w:styleId="94">
    <w:name w:val="图"/>
    <w:basedOn w:val="1"/>
    <w:qFormat/>
    <w:uiPriority w:val="0"/>
    <w:pPr>
      <w:jc w:val="center"/>
    </w:pPr>
    <w:rPr>
      <w:rFonts w:ascii="仿宋" w:hAnsi="仿宋" w:eastAsia="仿宋"/>
      <w:szCs w:val="36"/>
    </w:rPr>
  </w:style>
  <w:style w:type="paragraph" w:customStyle="1" w:styleId="95">
    <w:name w:val="font6"/>
    <w:basedOn w:val="1"/>
    <w:qFormat/>
    <w:uiPriority w:val="0"/>
    <w:pPr>
      <w:widowControl/>
      <w:spacing w:before="100" w:beforeAutospacing="1" w:after="100" w:afterAutospacing="1"/>
      <w:jc w:val="left"/>
    </w:pPr>
    <w:rPr>
      <w:rFonts w:ascii="黑体" w:hAnsi="黑体" w:eastAsia="黑体" w:cs="宋体"/>
      <w:color w:val="000000"/>
      <w:kern w:val="0"/>
      <w:sz w:val="20"/>
      <w:szCs w:val="20"/>
    </w:rPr>
  </w:style>
  <w:style w:type="paragraph" w:customStyle="1" w:styleId="96">
    <w:name w:val="font7"/>
    <w:basedOn w:val="1"/>
    <w:qFormat/>
    <w:uiPriority w:val="0"/>
    <w:pPr>
      <w:widowControl/>
      <w:spacing w:before="100" w:beforeAutospacing="1" w:after="100" w:afterAutospacing="1"/>
      <w:jc w:val="left"/>
    </w:pPr>
    <w:rPr>
      <w:rFonts w:ascii="黑体" w:hAnsi="黑体" w:eastAsia="黑体" w:cs="宋体"/>
      <w:color w:val="000000"/>
      <w:kern w:val="0"/>
      <w:sz w:val="20"/>
      <w:szCs w:val="20"/>
    </w:rPr>
  </w:style>
  <w:style w:type="paragraph" w:customStyle="1" w:styleId="97">
    <w:name w:val="font8"/>
    <w:basedOn w:val="1"/>
    <w:uiPriority w:val="0"/>
    <w:pPr>
      <w:widowControl/>
      <w:spacing w:before="100" w:beforeAutospacing="1" w:after="100" w:afterAutospacing="1"/>
      <w:jc w:val="left"/>
    </w:pPr>
    <w:rPr>
      <w:color w:val="000000"/>
      <w:kern w:val="0"/>
      <w:sz w:val="20"/>
      <w:szCs w:val="20"/>
    </w:rPr>
  </w:style>
  <w:style w:type="paragraph" w:customStyle="1" w:styleId="98">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20"/>
      <w:szCs w:val="20"/>
    </w:rPr>
  </w:style>
  <w:style w:type="paragraph" w:customStyle="1" w:styleId="10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101">
    <w:name w:val="xl7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kern w:val="0"/>
      <w:szCs w:val="21"/>
    </w:rPr>
  </w:style>
  <w:style w:type="paragraph" w:customStyle="1" w:styleId="102">
    <w:name w:val="xl74"/>
    <w:basedOn w:val="1"/>
    <w:uiPriority w:val="0"/>
    <w:pPr>
      <w:widowControl/>
      <w:pBdr>
        <w:bottom w:val="single" w:color="auto" w:sz="8" w:space="0"/>
        <w:right w:val="single" w:color="auto" w:sz="8" w:space="0"/>
      </w:pBdr>
      <w:spacing w:before="100" w:beforeAutospacing="1" w:after="100" w:afterAutospacing="1"/>
      <w:jc w:val="center"/>
    </w:pPr>
    <w:rPr>
      <w:kern w:val="0"/>
      <w:szCs w:val="21"/>
    </w:rPr>
  </w:style>
  <w:style w:type="paragraph" w:customStyle="1" w:styleId="103">
    <w:name w:val="xl75"/>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黑体" w:hAnsi="黑体" w:eastAsia="黑体" w:cs="宋体"/>
      <w:kern w:val="0"/>
      <w:szCs w:val="21"/>
    </w:rPr>
  </w:style>
  <w:style w:type="paragraph" w:customStyle="1" w:styleId="104">
    <w:name w:val="xl7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黑体" w:hAnsi="黑体" w:eastAsia="黑体" w:cs="宋体"/>
      <w:kern w:val="0"/>
      <w:szCs w:val="21"/>
    </w:rPr>
  </w:style>
  <w:style w:type="paragraph" w:customStyle="1" w:styleId="105">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黑体" w:hAnsi="黑体" w:eastAsia="黑体" w:cs="宋体"/>
      <w:kern w:val="0"/>
      <w:szCs w:val="21"/>
    </w:rPr>
  </w:style>
  <w:style w:type="paragraph" w:customStyle="1" w:styleId="106">
    <w:name w:val="xl78"/>
    <w:basedOn w:val="1"/>
    <w:qFormat/>
    <w:uiPriority w:val="0"/>
    <w:pPr>
      <w:widowControl/>
      <w:pBdr>
        <w:top w:val="single" w:color="auto" w:sz="8" w:space="0"/>
        <w:left w:val="single" w:color="auto" w:sz="8" w:space="0"/>
      </w:pBdr>
      <w:spacing w:before="100" w:beforeAutospacing="1" w:after="100" w:afterAutospacing="1"/>
      <w:jc w:val="center"/>
    </w:pPr>
    <w:rPr>
      <w:rFonts w:ascii="黑体" w:hAnsi="黑体" w:eastAsia="黑体" w:cs="宋体"/>
      <w:kern w:val="0"/>
      <w:szCs w:val="21"/>
    </w:rPr>
  </w:style>
  <w:style w:type="paragraph" w:customStyle="1" w:styleId="107">
    <w:name w:val="xl79"/>
    <w:basedOn w:val="1"/>
    <w:qFormat/>
    <w:uiPriority w:val="0"/>
    <w:pPr>
      <w:widowControl/>
      <w:pBdr>
        <w:top w:val="single" w:color="auto" w:sz="8" w:space="0"/>
      </w:pBdr>
      <w:spacing w:before="100" w:beforeAutospacing="1" w:after="100" w:afterAutospacing="1"/>
      <w:jc w:val="center"/>
    </w:pPr>
    <w:rPr>
      <w:rFonts w:ascii="黑体" w:hAnsi="黑体" w:eastAsia="黑体" w:cs="宋体"/>
      <w:kern w:val="0"/>
      <w:szCs w:val="21"/>
    </w:rPr>
  </w:style>
  <w:style w:type="paragraph" w:customStyle="1" w:styleId="108">
    <w:name w:val="xl80"/>
    <w:basedOn w:val="1"/>
    <w:qFormat/>
    <w:uiPriority w:val="0"/>
    <w:pPr>
      <w:widowControl/>
      <w:pBdr>
        <w:top w:val="single" w:color="auto" w:sz="8" w:space="0"/>
        <w:right w:val="single" w:color="auto" w:sz="8" w:space="0"/>
      </w:pBdr>
      <w:spacing w:before="100" w:beforeAutospacing="1" w:after="100" w:afterAutospacing="1"/>
      <w:jc w:val="center"/>
    </w:pPr>
    <w:rPr>
      <w:rFonts w:ascii="黑体" w:hAnsi="黑体" w:eastAsia="黑体" w:cs="宋体"/>
      <w:kern w:val="0"/>
      <w:szCs w:val="21"/>
    </w:rPr>
  </w:style>
  <w:style w:type="paragraph" w:customStyle="1" w:styleId="109">
    <w:name w:val="TOC Heading"/>
    <w:basedOn w:val="2"/>
    <w:next w:val="1"/>
    <w:unhideWhenUsed/>
    <w:qFormat/>
    <w:uiPriority w:val="39"/>
    <w:pPr>
      <w:keepNext/>
      <w:keepLines/>
      <w:widowControl/>
      <w:numPr>
        <w:numId w:val="0"/>
      </w:numPr>
      <w:spacing w:before="240" w:line="259" w:lineRule="auto"/>
      <w:jc w:val="left"/>
      <w:outlineLvl w:val="9"/>
    </w:pPr>
    <w:rPr>
      <w:rFonts w:asciiTheme="majorHAnsi" w:hAnsiTheme="majorHAnsi" w:eastAsiaTheme="majorEastAsia" w:cstheme="majorBidi"/>
      <w:color w:val="2E75B6" w:themeColor="accent1" w:themeShade="BF"/>
      <w:kern w:val="0"/>
    </w:rPr>
  </w:style>
  <w:style w:type="paragraph" w:customStyle="1" w:styleId="110">
    <w:name w:val="Default"/>
    <w:qFormat/>
    <w:uiPriority w:val="0"/>
    <w:pPr>
      <w:widowControl w:val="0"/>
      <w:autoSpaceDE w:val="0"/>
      <w:autoSpaceDN w:val="0"/>
      <w:adjustRightInd w:val="0"/>
    </w:pPr>
    <w:rPr>
      <w:rFonts w:ascii="仿宋_GB2312" w:hAnsi="仿宋_GB2312" w:eastAsia="Times New Roman" w:cs="Times New Roman"/>
      <w:color w:val="000000"/>
      <w:sz w:val="24"/>
      <w:lang w:val="en-US" w:eastAsia="zh-CN" w:bidi="ar-SA"/>
    </w:rPr>
  </w:style>
  <w:style w:type="character" w:customStyle="1" w:styleId="111">
    <w:name w:val="正文缩进 字符"/>
    <w:link w:val="7"/>
    <w:qFormat/>
    <w:uiPriority w:val="0"/>
    <w:rPr>
      <w:sz w:val="21"/>
    </w:rPr>
  </w:style>
  <w:style w:type="paragraph" w:customStyle="1" w:styleId="112">
    <w:name w:val="Char Char Char1 Char Char Char Char"/>
    <w:basedOn w:val="1"/>
    <w:qFormat/>
    <w:uiPriority w:val="0"/>
    <w:pPr>
      <w:numPr>
        <w:ilvl w:val="0"/>
        <w:numId w:val="4"/>
      </w:numPr>
    </w:pPr>
    <w:rPr>
      <w:szCs w:val="24"/>
    </w:rPr>
  </w:style>
  <w:style w:type="character" w:customStyle="1" w:styleId="113">
    <w:name w:val="纯文本 字符"/>
    <w:basedOn w:val="31"/>
    <w:link w:val="14"/>
    <w:qFormat/>
    <w:uiPriority w:val="99"/>
    <w:rPr>
      <w:rFonts w:ascii="宋体" w:hAnsi="Courier New" w:cs="宋体" w:eastAsiaTheme="minorEastAsia"/>
      <w:kern w:val="2"/>
      <w:sz w:val="21"/>
      <w:szCs w:val="24"/>
    </w:rPr>
  </w:style>
  <w:style w:type="paragraph" w:customStyle="1" w:styleId="114">
    <w:name w:val="正文01"/>
    <w:basedOn w:val="1"/>
    <w:qFormat/>
    <w:uiPriority w:val="0"/>
    <w:pPr>
      <w:spacing w:line="560" w:lineRule="exact"/>
      <w:ind w:firstLine="200" w:firstLineChars="200"/>
    </w:pPr>
    <w:rPr>
      <w:rFonts w:ascii="Calibri" w:hAnsi="Calibri" w:eastAsiaTheme="minorEastAsia" w:cstheme="minorBidi"/>
      <w:szCs w:val="36"/>
    </w:rPr>
  </w:style>
  <w:style w:type="paragraph" w:customStyle="1" w:styleId="115">
    <w:name w:val="!正文"/>
    <w:basedOn w:val="1"/>
    <w:qFormat/>
    <w:uiPriority w:val="0"/>
    <w:pPr>
      <w:adjustRightInd w:val="0"/>
      <w:snapToGrid w:val="0"/>
      <w:spacing w:line="560" w:lineRule="exact"/>
      <w:ind w:firstLine="200" w:firstLineChars="200"/>
    </w:pPr>
    <w:rPr>
      <w:rFonts w:eastAsia="仿宋"/>
      <w:sz w:val="30"/>
      <w:szCs w:val="28"/>
    </w:rPr>
  </w:style>
  <w:style w:type="character" w:customStyle="1" w:styleId="116">
    <w:name w:val="标题 字符"/>
    <w:basedOn w:val="31"/>
    <w:link w:val="27"/>
    <w:qFormat/>
    <w:uiPriority w:val="10"/>
    <w:rPr>
      <w:rFonts w:cstheme="majorBidi"/>
      <w:b/>
      <w:bCs/>
      <w:color w:val="000000"/>
      <w:sz w:val="24"/>
      <w:szCs w:val="32"/>
    </w:rPr>
  </w:style>
  <w:style w:type="paragraph" w:customStyle="1" w:styleId="117">
    <w:name w:val="表格样式"/>
    <w:link w:val="118"/>
    <w:qFormat/>
    <w:uiPriority w:val="0"/>
    <w:rPr>
      <w:rFonts w:ascii="Times New Roman" w:hAnsi="Times New Roman" w:eastAsiaTheme="minorEastAsia" w:cstheme="majorBidi"/>
      <w:bCs/>
      <w:kern w:val="28"/>
      <w:sz w:val="21"/>
      <w:szCs w:val="32"/>
      <w:lang w:val="en-US" w:eastAsia="zh-CN" w:bidi="ar-SA"/>
    </w:rPr>
  </w:style>
  <w:style w:type="character" w:customStyle="1" w:styleId="118">
    <w:name w:val="表格样式 Char"/>
    <w:basedOn w:val="31"/>
    <w:link w:val="117"/>
    <w:qFormat/>
    <w:uiPriority w:val="0"/>
    <w:rPr>
      <w:rFonts w:eastAsiaTheme="minorEastAsia" w:cstheme="majorBidi"/>
      <w:bCs/>
      <w:kern w:val="28"/>
      <w:sz w:val="21"/>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chart" Target="charts/chart10.xml"/><Relationship Id="rId16" Type="http://schemas.openxmlformats.org/officeDocument/2006/relationships/chart" Target="charts/chart9.xml"/><Relationship Id="rId15" Type="http://schemas.openxmlformats.org/officeDocument/2006/relationships/chart" Target="charts/chart8.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lekuan\&#35268;&#21010;\&#37325;&#28857;&#27969;&#22495;&#27700;&#27745;&#26579;&#38450;&#27835;&#35268;&#21010;\&#35268;&#21010;&#32534;&#21046;\&#21313;&#19977;&#20116;\&#19968;&#33324;&#26448;&#26009;.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1335;&#27988;&#21306;&#27700;&#36164;&#28304;&#20844;&#25253;&#25968;&#25454;201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015-2020&#24180;&#21335;&#27988;&#21306;&#21439;&#25511;&#20197;&#19978;&#26029;&#38754;&#22320;&#34920;&#27700;&#30417;&#27979;&#25968;&#25454;&#26126;&#32454;&#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015-2020&#24180;&#21335;&#27988;&#21306;&#21439;&#25511;&#20197;&#19978;&#26029;&#38754;&#22320;&#34920;&#27700;&#30417;&#27979;&#25968;&#25454;&#26126;&#32454;&#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015-2020&#24180;&#21335;&#27988;&#21306;&#21439;&#25511;&#20197;&#19978;&#26029;&#38754;&#22320;&#34920;&#27700;&#30417;&#27979;&#25968;&#25454;&#26126;&#32454;&#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015-2020&#24180;&#21335;&#27988;&#21306;&#21439;&#25511;&#20197;&#19978;&#26029;&#38754;&#22320;&#34920;&#27700;&#30417;&#27979;&#25968;&#25454;&#26126;&#32454;&#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015-2020&#24180;&#21335;&#27988;&#21306;&#21439;&#25511;&#20197;&#19978;&#26029;&#38754;&#22320;&#34920;&#27700;&#30417;&#27979;&#25968;&#25454;&#26126;&#32454;&#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015-2020&#24180;&#21335;&#27988;&#21306;&#21439;&#25511;&#20197;&#19978;&#26029;&#38754;&#22320;&#34920;&#27700;&#30417;&#27979;&#25968;&#25454;&#26126;&#32454;&#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1335;&#27988;&#21306;&#27700;&#36164;&#28304;&#20844;&#25253;&#25968;&#25454;2010-20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24037;&#20316;\2021&#24180;&#24037;&#20316;\&#21335;&#27988;&#21306;&#21313;&#22235;&#20116;&#27700;&#29983;&#24577;&#29615;&#20445;&#35268;&#21010;\&#25991;&#26412;\&#21335;&#27988;&#21306;&#27700;&#36164;&#28304;&#20844;&#25253;&#25968;&#25454;201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Sheet1!$A$2</c:f>
              <c:strCache>
                <c:ptCount val="1"/>
                <c:pt idx="0">
                  <c:v>Ⅲ</c:v>
                </c:pt>
              </c:strCache>
            </c:strRef>
          </c:tx>
          <c:invertIfNegative val="0"/>
          <c:dLbls>
            <c:delete val="1"/>
          </c:dLbls>
          <c:cat>
            <c:strRef>
              <c:f>Sheet1!$B$1:$G$1</c:f>
              <c:strCache>
                <c:ptCount val="6"/>
                <c:pt idx="0">
                  <c:v>2015年</c:v>
                </c:pt>
                <c:pt idx="1">
                  <c:v>2016年</c:v>
                </c:pt>
                <c:pt idx="2">
                  <c:v>2017年</c:v>
                </c:pt>
                <c:pt idx="3">
                  <c:v>2018年</c:v>
                </c:pt>
                <c:pt idx="4">
                  <c:v>2019年</c:v>
                </c:pt>
                <c:pt idx="5">
                  <c:v>2020年</c:v>
                </c:pt>
              </c:strCache>
            </c:strRef>
          </c:cat>
          <c:val>
            <c:numRef>
              <c:f>Sheet1!$B$2:$G$2</c:f>
              <c:numCache>
                <c:formatCode>General</c:formatCode>
                <c:ptCount val="6"/>
                <c:pt idx="0">
                  <c:v>7</c:v>
                </c:pt>
                <c:pt idx="1">
                  <c:v>6</c:v>
                </c:pt>
                <c:pt idx="2">
                  <c:v>7</c:v>
                </c:pt>
                <c:pt idx="3">
                  <c:v>1</c:v>
                </c:pt>
                <c:pt idx="4">
                  <c:v>7</c:v>
                </c:pt>
                <c:pt idx="5">
                  <c:v>7</c:v>
                </c:pt>
              </c:numCache>
            </c:numRef>
          </c:val>
        </c:ser>
        <c:ser>
          <c:idx val="1"/>
          <c:order val="1"/>
          <c:tx>
            <c:strRef>
              <c:f>Sheet1!$A$3</c:f>
              <c:strCache>
                <c:ptCount val="1"/>
                <c:pt idx="0">
                  <c:v>Ⅱ</c:v>
                </c:pt>
              </c:strCache>
            </c:strRef>
          </c:tx>
          <c:invertIfNegative val="0"/>
          <c:dLbls>
            <c:delete val="1"/>
          </c:dLbls>
          <c:cat>
            <c:strRef>
              <c:f>Sheet1!$B$1:$G$1</c:f>
              <c:strCache>
                <c:ptCount val="6"/>
                <c:pt idx="0">
                  <c:v>2015年</c:v>
                </c:pt>
                <c:pt idx="1">
                  <c:v>2016年</c:v>
                </c:pt>
                <c:pt idx="2">
                  <c:v>2017年</c:v>
                </c:pt>
                <c:pt idx="3">
                  <c:v>2018年</c:v>
                </c:pt>
                <c:pt idx="4">
                  <c:v>2019年</c:v>
                </c:pt>
                <c:pt idx="5">
                  <c:v>2020年</c:v>
                </c:pt>
              </c:strCache>
            </c:strRef>
          </c:cat>
          <c:val>
            <c:numRef>
              <c:f>Sheet1!$B$3:$G$3</c:f>
              <c:numCache>
                <c:formatCode>General</c:formatCode>
                <c:ptCount val="6"/>
                <c:pt idx="0">
                  <c:v>0</c:v>
                </c:pt>
                <c:pt idx="1">
                  <c:v>1</c:v>
                </c:pt>
                <c:pt idx="2">
                  <c:v>0</c:v>
                </c:pt>
                <c:pt idx="3">
                  <c:v>6</c:v>
                </c:pt>
                <c:pt idx="4">
                  <c:v>0</c:v>
                </c:pt>
                <c:pt idx="5">
                  <c:v>0</c:v>
                </c:pt>
              </c:numCache>
            </c:numRef>
          </c:val>
        </c:ser>
        <c:dLbls>
          <c:showLegendKey val="0"/>
          <c:showVal val="0"/>
          <c:showCatName val="0"/>
          <c:showSerName val="0"/>
          <c:showPercent val="0"/>
          <c:showBubbleSize val="0"/>
        </c:dLbls>
        <c:gapWidth val="75"/>
        <c:overlap val="100"/>
        <c:axId val="31890816"/>
        <c:axId val="32304512"/>
      </c:barChart>
      <c:catAx>
        <c:axId val="31890816"/>
        <c:scaling>
          <c:orientation val="minMax"/>
        </c:scaling>
        <c:delete val="0"/>
        <c:axPos val="l"/>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2304512"/>
        <c:crosses val="autoZero"/>
        <c:auto val="1"/>
        <c:lblAlgn val="ctr"/>
        <c:lblOffset val="100"/>
        <c:noMultiLvlLbl val="0"/>
      </c:catAx>
      <c:valAx>
        <c:axId val="32304512"/>
        <c:scaling>
          <c:orientation val="minMax"/>
        </c:scaling>
        <c:delete val="0"/>
        <c:axPos val="b"/>
        <c:majorGridlines/>
        <c:numFmt formatCode="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189081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noFill/>
    <a:ln w="6350" cap="flat" cmpd="sng" algn="ctr">
      <a:noFill/>
      <a:prstDash val="solid"/>
      <a:round/>
    </a:ln>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10612815862"/>
          <c:y val="0.058143596151031"/>
          <c:w val="0.665637552927101"/>
          <c:h val="0.810661569896065"/>
        </c:manualLayout>
      </c:layout>
      <c:barChart>
        <c:barDir val="col"/>
        <c:grouping val="stacked"/>
        <c:varyColors val="0"/>
        <c:ser>
          <c:idx val="0"/>
          <c:order val="0"/>
          <c:tx>
            <c:strRef>
              <c:f>Sheet1!$I$1</c:f>
              <c:strCache>
                <c:ptCount val="1"/>
                <c:pt idx="0">
                  <c:v>农业用水量</c:v>
                </c:pt>
              </c:strCache>
            </c:strRef>
          </c:tx>
          <c:invertIfNegative val="0"/>
          <c:dLbls>
            <c:delete val="1"/>
          </c:dLbls>
          <c:cat>
            <c:numRef>
              <c:f>Sheet1!$A$2:$A$12</c:f>
              <c:numCache>
                <c:formatCode>0_);[Red]\(0\)</c:formatCode>
                <c:ptCount val="11"/>
                <c:pt idx="0" c:formatCode="0_);[Red]\(0\)">
                  <c:v>2010</c:v>
                </c:pt>
                <c:pt idx="1" c:formatCode="0_);[Red]\(0\)">
                  <c:v>2011</c:v>
                </c:pt>
                <c:pt idx="2" c:formatCode="0_);[Red]\(0\)">
                  <c:v>2012</c:v>
                </c:pt>
                <c:pt idx="3" c:formatCode="0_);[Red]\(0\)">
                  <c:v>2013</c:v>
                </c:pt>
                <c:pt idx="4" c:formatCode="0_);[Red]\(0\)">
                  <c:v>2014</c:v>
                </c:pt>
                <c:pt idx="5" c:formatCode="0_);[Red]\(0\)">
                  <c:v>2015</c:v>
                </c:pt>
                <c:pt idx="6" c:formatCode="0_);[Red]\(0\)">
                  <c:v>2016</c:v>
                </c:pt>
                <c:pt idx="7" c:formatCode="0_);[Red]\(0\)">
                  <c:v>2017</c:v>
                </c:pt>
                <c:pt idx="8" c:formatCode="0_);[Red]\(0\)">
                  <c:v>2018</c:v>
                </c:pt>
                <c:pt idx="9" c:formatCode="0_);[Red]\(0\)">
                  <c:v>2019</c:v>
                </c:pt>
                <c:pt idx="10" c:formatCode="0_);[Red]\(0\)">
                  <c:v>2020</c:v>
                </c:pt>
              </c:numCache>
            </c:numRef>
          </c:cat>
          <c:val>
            <c:numRef>
              <c:f>Sheet1!$I$2:$I$12</c:f>
              <c:numCache>
                <c:formatCode>0.00_);[Red]\(0.00\)</c:formatCode>
                <c:ptCount val="11"/>
                <c:pt idx="0">
                  <c:v>2.7324</c:v>
                </c:pt>
                <c:pt idx="1">
                  <c:v>2.5508</c:v>
                </c:pt>
                <c:pt idx="2">
                  <c:v>2.3839</c:v>
                </c:pt>
                <c:pt idx="3">
                  <c:v>2.4707</c:v>
                </c:pt>
                <c:pt idx="4">
                  <c:v>2.0191</c:v>
                </c:pt>
                <c:pt idx="5">
                  <c:v>2.2047</c:v>
                </c:pt>
                <c:pt idx="6">
                  <c:v>1.9941</c:v>
                </c:pt>
                <c:pt idx="7">
                  <c:v>2.1388</c:v>
                </c:pt>
                <c:pt idx="8">
                  <c:v>1.9182</c:v>
                </c:pt>
                <c:pt idx="9">
                  <c:v>1.7209</c:v>
                </c:pt>
                <c:pt idx="10">
                  <c:v>1.6557</c:v>
                </c:pt>
              </c:numCache>
            </c:numRef>
          </c:val>
        </c:ser>
        <c:ser>
          <c:idx val="1"/>
          <c:order val="1"/>
          <c:tx>
            <c:strRef>
              <c:f>Sheet1!$J$1</c:f>
              <c:strCache>
                <c:ptCount val="1"/>
                <c:pt idx="0">
                  <c:v>工业用水量</c:v>
                </c:pt>
              </c:strCache>
            </c:strRef>
          </c:tx>
          <c:invertIfNegative val="0"/>
          <c:dLbls>
            <c:delete val="1"/>
          </c:dLbls>
          <c:cat>
            <c:numRef>
              <c:f>Sheet1!$A$2:$A$12</c:f>
              <c:numCache>
                <c:formatCode>0_);[Red]\(0\)</c:formatCode>
                <c:ptCount val="11"/>
                <c:pt idx="0" c:formatCode="0_);[Red]\(0\)">
                  <c:v>2010</c:v>
                </c:pt>
                <c:pt idx="1" c:formatCode="0_);[Red]\(0\)">
                  <c:v>2011</c:v>
                </c:pt>
                <c:pt idx="2" c:formatCode="0_);[Red]\(0\)">
                  <c:v>2012</c:v>
                </c:pt>
                <c:pt idx="3" c:formatCode="0_);[Red]\(0\)">
                  <c:v>2013</c:v>
                </c:pt>
                <c:pt idx="4" c:formatCode="0_);[Red]\(0\)">
                  <c:v>2014</c:v>
                </c:pt>
                <c:pt idx="5" c:formatCode="0_);[Red]\(0\)">
                  <c:v>2015</c:v>
                </c:pt>
                <c:pt idx="6" c:formatCode="0_);[Red]\(0\)">
                  <c:v>2016</c:v>
                </c:pt>
                <c:pt idx="7" c:formatCode="0_);[Red]\(0\)">
                  <c:v>2017</c:v>
                </c:pt>
                <c:pt idx="8" c:formatCode="0_);[Red]\(0\)">
                  <c:v>2018</c:v>
                </c:pt>
                <c:pt idx="9" c:formatCode="0_);[Red]\(0\)">
                  <c:v>2019</c:v>
                </c:pt>
                <c:pt idx="10" c:formatCode="0_);[Red]\(0\)">
                  <c:v>2020</c:v>
                </c:pt>
              </c:numCache>
            </c:numRef>
          </c:cat>
          <c:val>
            <c:numRef>
              <c:f>Sheet1!$J$2:$J$12</c:f>
              <c:numCache>
                <c:formatCode>0.00_);[Red]\(0.00\)</c:formatCode>
                <c:ptCount val="11"/>
                <c:pt idx="0">
                  <c:v>0.6381</c:v>
                </c:pt>
                <c:pt idx="1">
                  <c:v>0.7244</c:v>
                </c:pt>
                <c:pt idx="2">
                  <c:v>0.6996</c:v>
                </c:pt>
                <c:pt idx="3">
                  <c:v>0.7083</c:v>
                </c:pt>
                <c:pt idx="4">
                  <c:v>0.6792</c:v>
                </c:pt>
                <c:pt idx="5">
                  <c:v>0.6788</c:v>
                </c:pt>
                <c:pt idx="6">
                  <c:v>0.4926</c:v>
                </c:pt>
                <c:pt idx="7">
                  <c:v>0.3782</c:v>
                </c:pt>
                <c:pt idx="8">
                  <c:v>0.3773</c:v>
                </c:pt>
                <c:pt idx="9">
                  <c:v>0.3665</c:v>
                </c:pt>
                <c:pt idx="10">
                  <c:v>0.3651</c:v>
                </c:pt>
              </c:numCache>
            </c:numRef>
          </c:val>
        </c:ser>
        <c:ser>
          <c:idx val="2"/>
          <c:order val="2"/>
          <c:tx>
            <c:strRef>
              <c:f>Sheet1!$K$1</c:f>
              <c:strCache>
                <c:ptCount val="1"/>
                <c:pt idx="0">
                  <c:v>生活用水量</c:v>
                </c:pt>
              </c:strCache>
            </c:strRef>
          </c:tx>
          <c:invertIfNegative val="0"/>
          <c:dLbls>
            <c:delete val="1"/>
          </c:dLbls>
          <c:cat>
            <c:numRef>
              <c:f>Sheet1!$A$2:$A$12</c:f>
              <c:numCache>
                <c:formatCode>0_);[Red]\(0\)</c:formatCode>
                <c:ptCount val="11"/>
                <c:pt idx="0" c:formatCode="0_);[Red]\(0\)">
                  <c:v>2010</c:v>
                </c:pt>
                <c:pt idx="1" c:formatCode="0_);[Red]\(0\)">
                  <c:v>2011</c:v>
                </c:pt>
                <c:pt idx="2" c:formatCode="0_);[Red]\(0\)">
                  <c:v>2012</c:v>
                </c:pt>
                <c:pt idx="3" c:formatCode="0_);[Red]\(0\)">
                  <c:v>2013</c:v>
                </c:pt>
                <c:pt idx="4" c:formatCode="0_);[Red]\(0\)">
                  <c:v>2014</c:v>
                </c:pt>
                <c:pt idx="5" c:formatCode="0_);[Red]\(0\)">
                  <c:v>2015</c:v>
                </c:pt>
                <c:pt idx="6" c:formatCode="0_);[Red]\(0\)">
                  <c:v>2016</c:v>
                </c:pt>
                <c:pt idx="7" c:formatCode="0_);[Red]\(0\)">
                  <c:v>2017</c:v>
                </c:pt>
                <c:pt idx="8" c:formatCode="0_);[Red]\(0\)">
                  <c:v>2018</c:v>
                </c:pt>
                <c:pt idx="9" c:formatCode="0_);[Red]\(0\)">
                  <c:v>2019</c:v>
                </c:pt>
                <c:pt idx="10" c:formatCode="0_);[Red]\(0\)">
                  <c:v>2020</c:v>
                </c:pt>
              </c:numCache>
            </c:numRef>
          </c:cat>
          <c:val>
            <c:numRef>
              <c:f>Sheet1!$K$2:$K$12</c:f>
              <c:numCache>
                <c:formatCode>0.00_);[Red]\(0.00\)</c:formatCode>
                <c:ptCount val="11"/>
                <c:pt idx="0">
                  <c:v>0.2824</c:v>
                </c:pt>
                <c:pt idx="1">
                  <c:v>0.3423</c:v>
                </c:pt>
                <c:pt idx="2">
                  <c:v>0.2905</c:v>
                </c:pt>
                <c:pt idx="3">
                  <c:v>0.3417</c:v>
                </c:pt>
                <c:pt idx="4">
                  <c:v>0.3631</c:v>
                </c:pt>
                <c:pt idx="5">
                  <c:v>0.3363</c:v>
                </c:pt>
                <c:pt idx="6">
                  <c:v>0.4148</c:v>
                </c:pt>
                <c:pt idx="7">
                  <c:v>0.4435</c:v>
                </c:pt>
                <c:pt idx="8">
                  <c:v>0.4329</c:v>
                </c:pt>
                <c:pt idx="9">
                  <c:v>0.4269</c:v>
                </c:pt>
                <c:pt idx="10">
                  <c:v>0.4314</c:v>
                </c:pt>
              </c:numCache>
            </c:numRef>
          </c:val>
        </c:ser>
        <c:ser>
          <c:idx val="3"/>
          <c:order val="3"/>
          <c:tx>
            <c:strRef>
              <c:f>Sheet1!$L$1</c:f>
              <c:strCache>
                <c:ptCount val="1"/>
                <c:pt idx="0">
                  <c:v>生态环境用水量</c:v>
                </c:pt>
              </c:strCache>
            </c:strRef>
          </c:tx>
          <c:invertIfNegative val="0"/>
          <c:dLbls>
            <c:delete val="1"/>
          </c:dLbls>
          <c:cat>
            <c:numRef>
              <c:f>Sheet1!$A$2:$A$12</c:f>
              <c:numCache>
                <c:formatCode>0_);[Red]\(0\)</c:formatCode>
                <c:ptCount val="11"/>
                <c:pt idx="0" c:formatCode="0_);[Red]\(0\)">
                  <c:v>2010</c:v>
                </c:pt>
                <c:pt idx="1" c:formatCode="0_);[Red]\(0\)">
                  <c:v>2011</c:v>
                </c:pt>
                <c:pt idx="2" c:formatCode="0_);[Red]\(0\)">
                  <c:v>2012</c:v>
                </c:pt>
                <c:pt idx="3" c:formatCode="0_);[Red]\(0\)">
                  <c:v>2013</c:v>
                </c:pt>
                <c:pt idx="4" c:formatCode="0_);[Red]\(0\)">
                  <c:v>2014</c:v>
                </c:pt>
                <c:pt idx="5" c:formatCode="0_);[Red]\(0\)">
                  <c:v>2015</c:v>
                </c:pt>
                <c:pt idx="6" c:formatCode="0_);[Red]\(0\)">
                  <c:v>2016</c:v>
                </c:pt>
                <c:pt idx="7" c:formatCode="0_);[Red]\(0\)">
                  <c:v>2017</c:v>
                </c:pt>
                <c:pt idx="8" c:formatCode="0_);[Red]\(0\)">
                  <c:v>2018</c:v>
                </c:pt>
                <c:pt idx="9" c:formatCode="0_);[Red]\(0\)">
                  <c:v>2019</c:v>
                </c:pt>
                <c:pt idx="10" c:formatCode="0_);[Red]\(0\)">
                  <c:v>2020</c:v>
                </c:pt>
              </c:numCache>
            </c:numRef>
          </c:cat>
          <c:val>
            <c:numRef>
              <c:f>Sheet1!$L$2:$L$12</c:f>
              <c:numCache>
                <c:formatCode>0.00_);[Red]\(0.00\)</c:formatCode>
                <c:ptCount val="11"/>
                <c:pt idx="0">
                  <c:v>0.163</c:v>
                </c:pt>
                <c:pt idx="1">
                  <c:v>0.0904</c:v>
                </c:pt>
                <c:pt idx="2">
                  <c:v>0.1371</c:v>
                </c:pt>
                <c:pt idx="3">
                  <c:v>0.1409</c:v>
                </c:pt>
                <c:pt idx="4">
                  <c:v>0.1172</c:v>
                </c:pt>
                <c:pt idx="5">
                  <c:v>0.0934</c:v>
                </c:pt>
                <c:pt idx="6">
                  <c:v>0.0882</c:v>
                </c:pt>
                <c:pt idx="7">
                  <c:v>0.0899</c:v>
                </c:pt>
                <c:pt idx="8">
                  <c:v>0.095</c:v>
                </c:pt>
                <c:pt idx="9">
                  <c:v>0.0955</c:v>
                </c:pt>
                <c:pt idx="10">
                  <c:v>0.0907</c:v>
                </c:pt>
              </c:numCache>
            </c:numRef>
          </c:val>
        </c:ser>
        <c:dLbls>
          <c:showLegendKey val="0"/>
          <c:showVal val="0"/>
          <c:showCatName val="0"/>
          <c:showSerName val="0"/>
          <c:showPercent val="0"/>
          <c:showBubbleSize val="0"/>
        </c:dLbls>
        <c:gapWidth val="300"/>
        <c:overlap val="100"/>
        <c:axId val="164135680"/>
        <c:axId val="164295424"/>
      </c:barChart>
      <c:catAx>
        <c:axId val="164135680"/>
        <c:scaling>
          <c:orientation val="minMax"/>
        </c:scaling>
        <c:delete val="0"/>
        <c:axPos val="b"/>
        <c:numFmt formatCode="0_);[Red]\(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4295424"/>
        <c:crosses val="autoZero"/>
        <c:auto val="1"/>
        <c:lblAlgn val="ctr"/>
        <c:lblOffset val="100"/>
        <c:noMultiLvlLbl val="0"/>
      </c:catAx>
      <c:valAx>
        <c:axId val="164295424"/>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亿立方米</a:t>
                </a:r>
                <a:endParaRPr lang="zh-CN" altLang="en-US"/>
              </a:p>
            </c:rich>
          </c:tx>
          <c:layout/>
          <c:overlay val="0"/>
        </c:title>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4135680"/>
        <c:crosses val="autoZero"/>
        <c:crossBetween val="between"/>
      </c:valAx>
    </c:plotArea>
    <c:legend>
      <c:legendPos val="r"/>
      <c:layout>
        <c:manualLayout>
          <c:xMode val="edge"/>
          <c:yMode val="edge"/>
          <c:x val="0.796289141989482"/>
          <c:y val="0.326328572636197"/>
          <c:w val="0.201410665100286"/>
          <c:h val="0.378785954506694"/>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Sheet2!$L$11</c:f>
              <c:strCache>
                <c:ptCount val="1"/>
                <c:pt idx="0">
                  <c:v>南浔</c:v>
                </c:pt>
              </c:strCache>
            </c:strRef>
          </c:tx>
          <c:dLbls>
            <c:delete val="1"/>
          </c:dLbls>
          <c:cat>
            <c:strRef>
              <c:f>Sheet2!$N$10:$R$10</c:f>
              <c:strCache>
                <c:ptCount val="5"/>
                <c:pt idx="0">
                  <c:v>2016年</c:v>
                </c:pt>
                <c:pt idx="1">
                  <c:v>2017年</c:v>
                </c:pt>
                <c:pt idx="2">
                  <c:v>2018年</c:v>
                </c:pt>
                <c:pt idx="3">
                  <c:v>2019年</c:v>
                </c:pt>
                <c:pt idx="4">
                  <c:v>2020年</c:v>
                </c:pt>
              </c:strCache>
            </c:strRef>
          </c:cat>
          <c:val>
            <c:numRef>
              <c:f>Sheet2!$N$11:$R$11</c:f>
              <c:numCache>
                <c:formatCode>0.00_ </c:formatCode>
                <c:ptCount val="5"/>
                <c:pt idx="0">
                  <c:v>2.26083333333333</c:v>
                </c:pt>
                <c:pt idx="1">
                  <c:v>2.14083333333333</c:v>
                </c:pt>
                <c:pt idx="2">
                  <c:v>2.6375</c:v>
                </c:pt>
                <c:pt idx="3">
                  <c:v>2.26833333333333</c:v>
                </c:pt>
                <c:pt idx="4">
                  <c:v>2.3725</c:v>
                </c:pt>
              </c:numCache>
            </c:numRef>
          </c:val>
          <c:smooth val="0"/>
        </c:ser>
        <c:ser>
          <c:idx val="1"/>
          <c:order val="1"/>
          <c:tx>
            <c:strRef>
              <c:f>Sheet2!$L$12</c:f>
              <c:strCache>
                <c:ptCount val="1"/>
                <c:pt idx="0">
                  <c:v>双林</c:v>
                </c:pt>
              </c:strCache>
            </c:strRef>
          </c:tx>
          <c:dLbls>
            <c:delete val="1"/>
          </c:dLbls>
          <c:cat>
            <c:strRef>
              <c:f>Sheet2!$N$10:$R$10</c:f>
              <c:strCache>
                <c:ptCount val="5"/>
                <c:pt idx="0">
                  <c:v>2016年</c:v>
                </c:pt>
                <c:pt idx="1">
                  <c:v>2017年</c:v>
                </c:pt>
                <c:pt idx="2">
                  <c:v>2018年</c:v>
                </c:pt>
                <c:pt idx="3">
                  <c:v>2019年</c:v>
                </c:pt>
                <c:pt idx="4">
                  <c:v>2020年</c:v>
                </c:pt>
              </c:strCache>
            </c:strRef>
          </c:cat>
          <c:val>
            <c:numRef>
              <c:f>Sheet2!$N$12:$R$12</c:f>
              <c:numCache>
                <c:formatCode>0.00_ </c:formatCode>
                <c:ptCount val="5"/>
                <c:pt idx="0">
                  <c:v>2.13</c:v>
                </c:pt>
                <c:pt idx="1">
                  <c:v>2.17916666666667</c:v>
                </c:pt>
                <c:pt idx="2">
                  <c:v>2.025</c:v>
                </c:pt>
                <c:pt idx="3">
                  <c:v>2.06083333333333</c:v>
                </c:pt>
                <c:pt idx="4">
                  <c:v>2.04083333333333</c:v>
                </c:pt>
              </c:numCache>
            </c:numRef>
          </c:val>
          <c:smooth val="0"/>
        </c:ser>
        <c:ser>
          <c:idx val="2"/>
          <c:order val="2"/>
          <c:tx>
            <c:strRef>
              <c:f>Sheet2!$L$13</c:f>
              <c:strCache>
                <c:ptCount val="1"/>
                <c:pt idx="0">
                  <c:v>古溇港</c:v>
                </c:pt>
              </c:strCache>
            </c:strRef>
          </c:tx>
          <c:dLbls>
            <c:delete val="1"/>
          </c:dLbls>
          <c:cat>
            <c:strRef>
              <c:f>Sheet2!$N$10:$R$10</c:f>
              <c:strCache>
                <c:ptCount val="5"/>
                <c:pt idx="0">
                  <c:v>2016年</c:v>
                </c:pt>
                <c:pt idx="1">
                  <c:v>2017年</c:v>
                </c:pt>
                <c:pt idx="2">
                  <c:v>2018年</c:v>
                </c:pt>
                <c:pt idx="3">
                  <c:v>2019年</c:v>
                </c:pt>
                <c:pt idx="4">
                  <c:v>2020年</c:v>
                </c:pt>
              </c:strCache>
            </c:strRef>
          </c:cat>
          <c:val>
            <c:numRef>
              <c:f>Sheet2!$N$13:$R$13</c:f>
              <c:numCache>
                <c:formatCode>0.00_ </c:formatCode>
                <c:ptCount val="5"/>
                <c:pt idx="0">
                  <c:v>1.416</c:v>
                </c:pt>
                <c:pt idx="1">
                  <c:v>1.55333333333333</c:v>
                </c:pt>
                <c:pt idx="2">
                  <c:v>1.38583333333333</c:v>
                </c:pt>
                <c:pt idx="3">
                  <c:v>1.54666666666667</c:v>
                </c:pt>
                <c:pt idx="4">
                  <c:v>1.43666666666667</c:v>
                </c:pt>
              </c:numCache>
            </c:numRef>
          </c:val>
          <c:smooth val="0"/>
        </c:ser>
        <c:ser>
          <c:idx val="3"/>
          <c:order val="3"/>
          <c:tx>
            <c:strRef>
              <c:f>Sheet2!$L$14</c:f>
              <c:strCache>
                <c:ptCount val="1"/>
                <c:pt idx="0">
                  <c:v>和孚漾</c:v>
                </c:pt>
              </c:strCache>
            </c:strRef>
          </c:tx>
          <c:dLbls>
            <c:delete val="1"/>
          </c:dLbls>
          <c:cat>
            <c:strRef>
              <c:f>Sheet2!$N$10:$R$10</c:f>
              <c:strCache>
                <c:ptCount val="5"/>
                <c:pt idx="0">
                  <c:v>2016年</c:v>
                </c:pt>
                <c:pt idx="1">
                  <c:v>2017年</c:v>
                </c:pt>
                <c:pt idx="2">
                  <c:v>2018年</c:v>
                </c:pt>
                <c:pt idx="3">
                  <c:v>2019年</c:v>
                </c:pt>
                <c:pt idx="4">
                  <c:v>2020年</c:v>
                </c:pt>
              </c:strCache>
            </c:strRef>
          </c:cat>
          <c:val>
            <c:numRef>
              <c:f>Sheet2!$N$14:$R$14</c:f>
              <c:numCache>
                <c:formatCode>0.00_ </c:formatCode>
                <c:ptCount val="5"/>
                <c:pt idx="0">
                  <c:v>2.60333333333333</c:v>
                </c:pt>
                <c:pt idx="1">
                  <c:v>2.505</c:v>
                </c:pt>
                <c:pt idx="2">
                  <c:v>2.20166666666667</c:v>
                </c:pt>
                <c:pt idx="3">
                  <c:v>2.36</c:v>
                </c:pt>
                <c:pt idx="4">
                  <c:v>1.73666666666667</c:v>
                </c:pt>
              </c:numCache>
            </c:numRef>
          </c:val>
          <c:smooth val="0"/>
        </c:ser>
        <c:ser>
          <c:idx val="4"/>
          <c:order val="4"/>
          <c:tx>
            <c:strRef>
              <c:f>Sheet2!$L$15</c:f>
              <c:strCache>
                <c:ptCount val="1"/>
                <c:pt idx="0">
                  <c:v>乌镇</c:v>
                </c:pt>
              </c:strCache>
            </c:strRef>
          </c:tx>
          <c:dLbls>
            <c:delete val="1"/>
          </c:dLbls>
          <c:cat>
            <c:strRef>
              <c:f>Sheet2!$N$10:$R$10</c:f>
              <c:strCache>
                <c:ptCount val="5"/>
                <c:pt idx="0">
                  <c:v>2016年</c:v>
                </c:pt>
                <c:pt idx="1">
                  <c:v>2017年</c:v>
                </c:pt>
                <c:pt idx="2">
                  <c:v>2018年</c:v>
                </c:pt>
                <c:pt idx="3">
                  <c:v>2019年</c:v>
                </c:pt>
                <c:pt idx="4">
                  <c:v>2020年</c:v>
                </c:pt>
              </c:strCache>
            </c:strRef>
          </c:cat>
          <c:val>
            <c:numRef>
              <c:f>Sheet2!$N$15:$R$15</c:f>
              <c:numCache>
                <c:formatCode>0.00_ </c:formatCode>
                <c:ptCount val="5"/>
                <c:pt idx="0">
                  <c:v>2.61</c:v>
                </c:pt>
                <c:pt idx="1">
                  <c:v>2.83166666666667</c:v>
                </c:pt>
                <c:pt idx="2">
                  <c:v>2.215</c:v>
                </c:pt>
                <c:pt idx="3">
                  <c:v>2.36727272727273</c:v>
                </c:pt>
                <c:pt idx="4">
                  <c:v>2.38727272727273</c:v>
                </c:pt>
              </c:numCache>
            </c:numRef>
          </c:val>
          <c:smooth val="0"/>
        </c:ser>
        <c:dLbls>
          <c:showLegendKey val="0"/>
          <c:showVal val="0"/>
          <c:showCatName val="0"/>
          <c:showSerName val="0"/>
          <c:showPercent val="0"/>
          <c:showBubbleSize val="0"/>
        </c:dLbls>
        <c:marker val="1"/>
        <c:smooth val="0"/>
        <c:axId val="79058048"/>
        <c:axId val="79059584"/>
      </c:lineChart>
      <c:catAx>
        <c:axId val="7905804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059584"/>
        <c:crosses val="autoZero"/>
        <c:auto val="1"/>
        <c:lblAlgn val="ctr"/>
        <c:lblOffset val="100"/>
        <c:noMultiLvlLbl val="0"/>
      </c:catAx>
      <c:valAx>
        <c:axId val="79059584"/>
        <c:scaling>
          <c:orientation val="minMax"/>
          <c:min val="1"/>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总氮浓度（</a:t>
                </a:r>
                <a:r>
                  <a:rPr lang="en-US" altLang="zh-CN"/>
                  <a:t>mg/L</a:t>
                </a:r>
                <a:r>
                  <a:rPr lang="zh-CN" altLang="en-US"/>
                  <a:t>）</a:t>
                </a:r>
                <a:endParaRPr lang="zh-CN" altLang="en-US"/>
              </a:p>
            </c:rich>
          </c:tx>
          <c:layout/>
          <c:overlay val="0"/>
        </c:title>
        <c:numFmt formatCode="0.00_ "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05804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南浔!$I$1</c:f>
              <c:strCache>
                <c:ptCount val="1"/>
                <c:pt idx="0">
                  <c:v>2015年</c:v>
                </c:pt>
              </c:strCache>
            </c:strRef>
          </c:tx>
          <c:dLbls>
            <c:delete val="1"/>
          </c:dLbls>
          <c:val>
            <c:numRef>
              <c:f>南浔!$I$2:$I$13</c:f>
              <c:numCache>
                <c:formatCode>General</c:formatCode>
                <c:ptCount val="12"/>
                <c:pt idx="0">
                  <c:v>2.62</c:v>
                </c:pt>
                <c:pt idx="1">
                  <c:v>2.1</c:v>
                </c:pt>
                <c:pt idx="2">
                  <c:v>3.4</c:v>
                </c:pt>
                <c:pt idx="3">
                  <c:v>4.62</c:v>
                </c:pt>
                <c:pt idx="4">
                  <c:v>3.4</c:v>
                </c:pt>
                <c:pt idx="5">
                  <c:v>2.15</c:v>
                </c:pt>
                <c:pt idx="6">
                  <c:v>2.46</c:v>
                </c:pt>
                <c:pt idx="7">
                  <c:v>1.69</c:v>
                </c:pt>
                <c:pt idx="8">
                  <c:v>2.27</c:v>
                </c:pt>
                <c:pt idx="9">
                  <c:v>2.16</c:v>
                </c:pt>
                <c:pt idx="10">
                  <c:v>2.36</c:v>
                </c:pt>
                <c:pt idx="11">
                  <c:v>3.73</c:v>
                </c:pt>
              </c:numCache>
            </c:numRef>
          </c:val>
          <c:smooth val="0"/>
        </c:ser>
        <c:ser>
          <c:idx val="1"/>
          <c:order val="1"/>
          <c:tx>
            <c:strRef>
              <c:f>南浔!$J$1</c:f>
              <c:strCache>
                <c:ptCount val="1"/>
                <c:pt idx="0">
                  <c:v>2016年</c:v>
                </c:pt>
              </c:strCache>
            </c:strRef>
          </c:tx>
          <c:dLbls>
            <c:delete val="1"/>
          </c:dLbls>
          <c:val>
            <c:numRef>
              <c:f>南浔!$J$2:$J$13</c:f>
              <c:numCache>
                <c:formatCode>General</c:formatCode>
                <c:ptCount val="12"/>
                <c:pt idx="0">
                  <c:v>2.32</c:v>
                </c:pt>
                <c:pt idx="1">
                  <c:v>2.11</c:v>
                </c:pt>
                <c:pt idx="2">
                  <c:v>3.2</c:v>
                </c:pt>
                <c:pt idx="3">
                  <c:v>2.15</c:v>
                </c:pt>
                <c:pt idx="4">
                  <c:v>1.81</c:v>
                </c:pt>
                <c:pt idx="5">
                  <c:v>3.11</c:v>
                </c:pt>
                <c:pt idx="6">
                  <c:v>2.53</c:v>
                </c:pt>
                <c:pt idx="7">
                  <c:v>0.69</c:v>
                </c:pt>
                <c:pt idx="8">
                  <c:v>2.25</c:v>
                </c:pt>
                <c:pt idx="9">
                  <c:v>2.2</c:v>
                </c:pt>
                <c:pt idx="10">
                  <c:v>2.43</c:v>
                </c:pt>
                <c:pt idx="11">
                  <c:v>2.33</c:v>
                </c:pt>
              </c:numCache>
            </c:numRef>
          </c:val>
          <c:smooth val="0"/>
        </c:ser>
        <c:ser>
          <c:idx val="2"/>
          <c:order val="2"/>
          <c:tx>
            <c:strRef>
              <c:f>南浔!$K$1</c:f>
              <c:strCache>
                <c:ptCount val="1"/>
                <c:pt idx="0">
                  <c:v>2017年</c:v>
                </c:pt>
              </c:strCache>
            </c:strRef>
          </c:tx>
          <c:dLbls>
            <c:delete val="1"/>
          </c:dLbls>
          <c:val>
            <c:numRef>
              <c:f>南浔!$K$2:$K$13</c:f>
              <c:numCache>
                <c:formatCode>General</c:formatCode>
                <c:ptCount val="12"/>
                <c:pt idx="0">
                  <c:v>2.16</c:v>
                </c:pt>
                <c:pt idx="1">
                  <c:v>2</c:v>
                </c:pt>
                <c:pt idx="2">
                  <c:v>2.35</c:v>
                </c:pt>
                <c:pt idx="3">
                  <c:v>3.73</c:v>
                </c:pt>
                <c:pt idx="4">
                  <c:v>2.96</c:v>
                </c:pt>
                <c:pt idx="5">
                  <c:v>2.34</c:v>
                </c:pt>
                <c:pt idx="6">
                  <c:v>2.72</c:v>
                </c:pt>
                <c:pt idx="7">
                  <c:v>1.3</c:v>
                </c:pt>
                <c:pt idx="8">
                  <c:v>1.42</c:v>
                </c:pt>
                <c:pt idx="9">
                  <c:v>1.92</c:v>
                </c:pt>
                <c:pt idx="10">
                  <c:v>1.74</c:v>
                </c:pt>
                <c:pt idx="11">
                  <c:v>1.05</c:v>
                </c:pt>
              </c:numCache>
            </c:numRef>
          </c:val>
          <c:smooth val="0"/>
        </c:ser>
        <c:ser>
          <c:idx val="3"/>
          <c:order val="3"/>
          <c:tx>
            <c:strRef>
              <c:f>南浔!$L$1</c:f>
              <c:strCache>
                <c:ptCount val="1"/>
                <c:pt idx="0">
                  <c:v>2018年</c:v>
                </c:pt>
              </c:strCache>
            </c:strRef>
          </c:tx>
          <c:dLbls>
            <c:delete val="1"/>
          </c:dLbls>
          <c:val>
            <c:numRef>
              <c:f>南浔!$L$2:$L$13</c:f>
              <c:numCache>
                <c:formatCode>General</c:formatCode>
                <c:ptCount val="12"/>
                <c:pt idx="0">
                  <c:v>2.27</c:v>
                </c:pt>
                <c:pt idx="1">
                  <c:v>2.51</c:v>
                </c:pt>
                <c:pt idx="2">
                  <c:v>4.61</c:v>
                </c:pt>
                <c:pt idx="3">
                  <c:v>3.4</c:v>
                </c:pt>
                <c:pt idx="4">
                  <c:v>3.39</c:v>
                </c:pt>
                <c:pt idx="5">
                  <c:v>3.18</c:v>
                </c:pt>
                <c:pt idx="6">
                  <c:v>3.05</c:v>
                </c:pt>
                <c:pt idx="7">
                  <c:v>2.24</c:v>
                </c:pt>
                <c:pt idx="8">
                  <c:v>2.18</c:v>
                </c:pt>
                <c:pt idx="9">
                  <c:v>0.86</c:v>
                </c:pt>
                <c:pt idx="10">
                  <c:v>1.1</c:v>
                </c:pt>
                <c:pt idx="11">
                  <c:v>2.86</c:v>
                </c:pt>
              </c:numCache>
            </c:numRef>
          </c:val>
          <c:smooth val="0"/>
        </c:ser>
        <c:ser>
          <c:idx val="4"/>
          <c:order val="4"/>
          <c:tx>
            <c:strRef>
              <c:f>南浔!$M$1</c:f>
              <c:strCache>
                <c:ptCount val="1"/>
                <c:pt idx="0">
                  <c:v>2019年</c:v>
                </c:pt>
              </c:strCache>
            </c:strRef>
          </c:tx>
          <c:dLbls>
            <c:delete val="1"/>
          </c:dLbls>
          <c:val>
            <c:numRef>
              <c:f>南浔!$M$2:$M$13</c:f>
              <c:numCache>
                <c:formatCode>General</c:formatCode>
                <c:ptCount val="12"/>
                <c:pt idx="0">
                  <c:v>2.03</c:v>
                </c:pt>
                <c:pt idx="1">
                  <c:v>2.9</c:v>
                </c:pt>
                <c:pt idx="2">
                  <c:v>3.48</c:v>
                </c:pt>
                <c:pt idx="3">
                  <c:v>2.68</c:v>
                </c:pt>
                <c:pt idx="4">
                  <c:v>3.27</c:v>
                </c:pt>
                <c:pt idx="5">
                  <c:v>3.4</c:v>
                </c:pt>
                <c:pt idx="6">
                  <c:v>2.46</c:v>
                </c:pt>
                <c:pt idx="7">
                  <c:v>1.22</c:v>
                </c:pt>
                <c:pt idx="8">
                  <c:v>2</c:v>
                </c:pt>
                <c:pt idx="9">
                  <c:v>1.12</c:v>
                </c:pt>
                <c:pt idx="10">
                  <c:v>1.06</c:v>
                </c:pt>
                <c:pt idx="11">
                  <c:v>1.6</c:v>
                </c:pt>
              </c:numCache>
            </c:numRef>
          </c:val>
          <c:smooth val="0"/>
        </c:ser>
        <c:ser>
          <c:idx val="5"/>
          <c:order val="5"/>
          <c:tx>
            <c:strRef>
              <c:f>南浔!$N$1</c:f>
              <c:strCache>
                <c:ptCount val="1"/>
                <c:pt idx="0">
                  <c:v>2020年</c:v>
                </c:pt>
              </c:strCache>
            </c:strRef>
          </c:tx>
          <c:dLbls>
            <c:delete val="1"/>
          </c:dLbls>
          <c:val>
            <c:numRef>
              <c:f>南浔!$N$2:$N$13</c:f>
              <c:numCache>
                <c:formatCode>General</c:formatCode>
                <c:ptCount val="12"/>
                <c:pt idx="0">
                  <c:v>3.16</c:v>
                </c:pt>
                <c:pt idx="1">
                  <c:v>2.88</c:v>
                </c:pt>
                <c:pt idx="2">
                  <c:v>1.82</c:v>
                </c:pt>
                <c:pt idx="3">
                  <c:v>3.25</c:v>
                </c:pt>
                <c:pt idx="4">
                  <c:v>3.06</c:v>
                </c:pt>
                <c:pt idx="5">
                  <c:v>3.19</c:v>
                </c:pt>
                <c:pt idx="6">
                  <c:v>2.4</c:v>
                </c:pt>
                <c:pt idx="7">
                  <c:v>1.37</c:v>
                </c:pt>
                <c:pt idx="8">
                  <c:v>1.72</c:v>
                </c:pt>
                <c:pt idx="9">
                  <c:v>1.59</c:v>
                </c:pt>
                <c:pt idx="10">
                  <c:v>1.74</c:v>
                </c:pt>
                <c:pt idx="11">
                  <c:v>2.29</c:v>
                </c:pt>
              </c:numCache>
            </c:numRef>
          </c:val>
          <c:smooth val="0"/>
        </c:ser>
        <c:dLbls>
          <c:showLegendKey val="0"/>
          <c:showVal val="0"/>
          <c:showCatName val="0"/>
          <c:showSerName val="0"/>
          <c:showPercent val="0"/>
          <c:showBubbleSize val="0"/>
        </c:dLbls>
        <c:marker val="1"/>
        <c:smooth val="0"/>
        <c:axId val="79459072"/>
        <c:axId val="79460608"/>
      </c:lineChart>
      <c:catAx>
        <c:axId val="79459072"/>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460608"/>
        <c:crosses val="autoZero"/>
        <c:auto val="1"/>
        <c:lblAlgn val="ctr"/>
        <c:lblOffset val="100"/>
        <c:noMultiLvlLbl val="0"/>
      </c:catAx>
      <c:valAx>
        <c:axId val="79460608"/>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总氮浓度（</a:t>
                </a:r>
                <a:r>
                  <a:rPr lang="en-US" altLang="zh-CN"/>
                  <a:t>mg/L</a:t>
                </a:r>
                <a:r>
                  <a:rPr lang="zh-CN" altLang="en-US"/>
                  <a:t>）</a:t>
                </a:r>
                <a:endParaRPr lang="zh-CN" alt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45907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双林!$K$1</c:f>
              <c:strCache>
                <c:ptCount val="1"/>
                <c:pt idx="0">
                  <c:v>2015年</c:v>
                </c:pt>
              </c:strCache>
            </c:strRef>
          </c:tx>
          <c:dLbls>
            <c:delete val="1"/>
          </c:dLbls>
          <c:val>
            <c:numRef>
              <c:f>双林!$K$2:$K$13</c:f>
              <c:numCache>
                <c:formatCode>General</c:formatCode>
                <c:ptCount val="12"/>
                <c:pt idx="0">
                  <c:v>2.44</c:v>
                </c:pt>
                <c:pt idx="1">
                  <c:v>2.24</c:v>
                </c:pt>
                <c:pt idx="2">
                  <c:v>3.81</c:v>
                </c:pt>
                <c:pt idx="3">
                  <c:v>3.84</c:v>
                </c:pt>
                <c:pt idx="4">
                  <c:v>3.03</c:v>
                </c:pt>
                <c:pt idx="5">
                  <c:v>2.54</c:v>
                </c:pt>
                <c:pt idx="6">
                  <c:v>2.44</c:v>
                </c:pt>
                <c:pt idx="7">
                  <c:v>1.79</c:v>
                </c:pt>
                <c:pt idx="8">
                  <c:v>2.1</c:v>
                </c:pt>
                <c:pt idx="9">
                  <c:v>1.94</c:v>
                </c:pt>
                <c:pt idx="10">
                  <c:v>1.58</c:v>
                </c:pt>
                <c:pt idx="11">
                  <c:v>3.58</c:v>
                </c:pt>
              </c:numCache>
            </c:numRef>
          </c:val>
          <c:smooth val="0"/>
        </c:ser>
        <c:ser>
          <c:idx val="1"/>
          <c:order val="1"/>
          <c:tx>
            <c:strRef>
              <c:f>双林!$L$1</c:f>
              <c:strCache>
                <c:ptCount val="1"/>
                <c:pt idx="0">
                  <c:v>2016年</c:v>
                </c:pt>
              </c:strCache>
            </c:strRef>
          </c:tx>
          <c:dLbls>
            <c:delete val="1"/>
          </c:dLbls>
          <c:val>
            <c:numRef>
              <c:f>双林!$L$2:$L$13</c:f>
              <c:numCache>
                <c:formatCode>General</c:formatCode>
                <c:ptCount val="12"/>
                <c:pt idx="0">
                  <c:v>2.82</c:v>
                </c:pt>
                <c:pt idx="1">
                  <c:v>3.6</c:v>
                </c:pt>
                <c:pt idx="2">
                  <c:v>1.77</c:v>
                </c:pt>
                <c:pt idx="3">
                  <c:v>2.33</c:v>
                </c:pt>
                <c:pt idx="4">
                  <c:v>2.1</c:v>
                </c:pt>
                <c:pt idx="5">
                  <c:v>1.92</c:v>
                </c:pt>
                <c:pt idx="6">
                  <c:v>1.8</c:v>
                </c:pt>
                <c:pt idx="7">
                  <c:v>0.97</c:v>
                </c:pt>
                <c:pt idx="8">
                  <c:v>0.91</c:v>
                </c:pt>
                <c:pt idx="9">
                  <c:v>1.96</c:v>
                </c:pt>
                <c:pt idx="10">
                  <c:v>2.76</c:v>
                </c:pt>
                <c:pt idx="11">
                  <c:v>2.62</c:v>
                </c:pt>
              </c:numCache>
            </c:numRef>
          </c:val>
          <c:smooth val="0"/>
        </c:ser>
        <c:ser>
          <c:idx val="2"/>
          <c:order val="2"/>
          <c:tx>
            <c:strRef>
              <c:f>双林!$M$1</c:f>
              <c:strCache>
                <c:ptCount val="1"/>
                <c:pt idx="0">
                  <c:v>2017年</c:v>
                </c:pt>
              </c:strCache>
            </c:strRef>
          </c:tx>
          <c:dLbls>
            <c:delete val="1"/>
          </c:dLbls>
          <c:val>
            <c:numRef>
              <c:f>双林!$M$2:$M$13</c:f>
              <c:numCache>
                <c:formatCode>General</c:formatCode>
                <c:ptCount val="12"/>
                <c:pt idx="0">
                  <c:v>2.9</c:v>
                </c:pt>
                <c:pt idx="1">
                  <c:v>2.34</c:v>
                </c:pt>
                <c:pt idx="2">
                  <c:v>2.18</c:v>
                </c:pt>
                <c:pt idx="3">
                  <c:v>3.49</c:v>
                </c:pt>
                <c:pt idx="4">
                  <c:v>2.54</c:v>
                </c:pt>
                <c:pt idx="5">
                  <c:v>2.08</c:v>
                </c:pt>
                <c:pt idx="6">
                  <c:v>2.68</c:v>
                </c:pt>
                <c:pt idx="7">
                  <c:v>0.94</c:v>
                </c:pt>
                <c:pt idx="8">
                  <c:v>1.18</c:v>
                </c:pt>
                <c:pt idx="9">
                  <c:v>2.41</c:v>
                </c:pt>
                <c:pt idx="10">
                  <c:v>1.73</c:v>
                </c:pt>
                <c:pt idx="11">
                  <c:v>1.68</c:v>
                </c:pt>
              </c:numCache>
            </c:numRef>
          </c:val>
          <c:smooth val="0"/>
        </c:ser>
        <c:ser>
          <c:idx val="3"/>
          <c:order val="3"/>
          <c:tx>
            <c:strRef>
              <c:f>双林!$N$1</c:f>
              <c:strCache>
                <c:ptCount val="1"/>
                <c:pt idx="0">
                  <c:v>2018年</c:v>
                </c:pt>
              </c:strCache>
            </c:strRef>
          </c:tx>
          <c:dLbls>
            <c:delete val="1"/>
          </c:dLbls>
          <c:val>
            <c:numRef>
              <c:f>双林!$N$2:$N$13</c:f>
              <c:numCache>
                <c:formatCode>General</c:formatCode>
                <c:ptCount val="12"/>
                <c:pt idx="0">
                  <c:v>1.41</c:v>
                </c:pt>
                <c:pt idx="1">
                  <c:v>2.9</c:v>
                </c:pt>
                <c:pt idx="2">
                  <c:v>2.61</c:v>
                </c:pt>
                <c:pt idx="3">
                  <c:v>3.26</c:v>
                </c:pt>
                <c:pt idx="4">
                  <c:v>2.72</c:v>
                </c:pt>
                <c:pt idx="5">
                  <c:v>1.6</c:v>
                </c:pt>
                <c:pt idx="6">
                  <c:v>2.41</c:v>
                </c:pt>
                <c:pt idx="7">
                  <c:v>1.43</c:v>
                </c:pt>
                <c:pt idx="8">
                  <c:v>1.67</c:v>
                </c:pt>
                <c:pt idx="9">
                  <c:v>1.23</c:v>
                </c:pt>
                <c:pt idx="10">
                  <c:v>1.15</c:v>
                </c:pt>
                <c:pt idx="11">
                  <c:v>1.91</c:v>
                </c:pt>
              </c:numCache>
            </c:numRef>
          </c:val>
          <c:smooth val="0"/>
        </c:ser>
        <c:ser>
          <c:idx val="4"/>
          <c:order val="4"/>
          <c:tx>
            <c:strRef>
              <c:f>双林!$O$1</c:f>
              <c:strCache>
                <c:ptCount val="1"/>
                <c:pt idx="0">
                  <c:v>2019年</c:v>
                </c:pt>
              </c:strCache>
            </c:strRef>
          </c:tx>
          <c:dLbls>
            <c:delete val="1"/>
          </c:dLbls>
          <c:val>
            <c:numRef>
              <c:f>双林!$O$2:$O$13</c:f>
              <c:numCache>
                <c:formatCode>General</c:formatCode>
                <c:ptCount val="12"/>
                <c:pt idx="0">
                  <c:v>2.83</c:v>
                </c:pt>
                <c:pt idx="1">
                  <c:v>2.2</c:v>
                </c:pt>
                <c:pt idx="2">
                  <c:v>3.25</c:v>
                </c:pt>
                <c:pt idx="3">
                  <c:v>2.95</c:v>
                </c:pt>
                <c:pt idx="4">
                  <c:v>2.94</c:v>
                </c:pt>
                <c:pt idx="5">
                  <c:v>2.39</c:v>
                </c:pt>
                <c:pt idx="6">
                  <c:v>2.09</c:v>
                </c:pt>
                <c:pt idx="7">
                  <c:v>1.11</c:v>
                </c:pt>
                <c:pt idx="8">
                  <c:v>1.2</c:v>
                </c:pt>
                <c:pt idx="9">
                  <c:v>1.42</c:v>
                </c:pt>
                <c:pt idx="10">
                  <c:v>1.13</c:v>
                </c:pt>
                <c:pt idx="11">
                  <c:v>1.22</c:v>
                </c:pt>
              </c:numCache>
            </c:numRef>
          </c:val>
          <c:smooth val="0"/>
        </c:ser>
        <c:ser>
          <c:idx val="5"/>
          <c:order val="5"/>
          <c:tx>
            <c:strRef>
              <c:f>双林!$P$1</c:f>
              <c:strCache>
                <c:ptCount val="1"/>
                <c:pt idx="0">
                  <c:v>2020年</c:v>
                </c:pt>
              </c:strCache>
            </c:strRef>
          </c:tx>
          <c:dLbls>
            <c:delete val="1"/>
          </c:dLbls>
          <c:val>
            <c:numRef>
              <c:f>双林!$P$2:$P$13</c:f>
              <c:numCache>
                <c:formatCode>General</c:formatCode>
                <c:ptCount val="12"/>
                <c:pt idx="0">
                  <c:v>2.16</c:v>
                </c:pt>
                <c:pt idx="1">
                  <c:v>2.48</c:v>
                </c:pt>
                <c:pt idx="2">
                  <c:v>2.8</c:v>
                </c:pt>
                <c:pt idx="3">
                  <c:v>3.1</c:v>
                </c:pt>
                <c:pt idx="4">
                  <c:v>2.59</c:v>
                </c:pt>
                <c:pt idx="5">
                  <c:v>1.86</c:v>
                </c:pt>
                <c:pt idx="6">
                  <c:v>2.34</c:v>
                </c:pt>
                <c:pt idx="7">
                  <c:v>1.74</c:v>
                </c:pt>
                <c:pt idx="8">
                  <c:v>0.93</c:v>
                </c:pt>
                <c:pt idx="9">
                  <c:v>2.02</c:v>
                </c:pt>
                <c:pt idx="10">
                  <c:v>1.56</c:v>
                </c:pt>
                <c:pt idx="11">
                  <c:v>0.91</c:v>
                </c:pt>
              </c:numCache>
            </c:numRef>
          </c:val>
          <c:smooth val="0"/>
        </c:ser>
        <c:dLbls>
          <c:showLegendKey val="0"/>
          <c:showVal val="0"/>
          <c:showCatName val="0"/>
          <c:showSerName val="0"/>
          <c:showPercent val="0"/>
          <c:showBubbleSize val="0"/>
        </c:dLbls>
        <c:marker val="1"/>
        <c:smooth val="0"/>
        <c:axId val="80617856"/>
        <c:axId val="80620160"/>
      </c:lineChart>
      <c:catAx>
        <c:axId val="8061785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0620160"/>
        <c:crosses val="autoZero"/>
        <c:auto val="1"/>
        <c:lblAlgn val="ctr"/>
        <c:lblOffset val="100"/>
        <c:noMultiLvlLbl val="0"/>
      </c:catAx>
      <c:valAx>
        <c:axId val="80620160"/>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总氮浓度（</a:t>
                </a:r>
                <a:r>
                  <a:rPr lang="en-US" altLang="zh-CN"/>
                  <a:t>mg/L</a:t>
                </a:r>
                <a:r>
                  <a:rPr lang="zh-CN" altLang="en-US"/>
                  <a:t>）</a:t>
                </a:r>
                <a:endParaRPr lang="zh-CN" alt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061785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Sheet2!$L$20</c:f>
              <c:strCache>
                <c:ptCount val="1"/>
                <c:pt idx="0">
                  <c:v>南浔</c:v>
                </c:pt>
              </c:strCache>
            </c:strRef>
          </c:tx>
          <c:dLbls>
            <c:delete val="1"/>
          </c:dLbls>
          <c:cat>
            <c:strRef>
              <c:f>Sheet2!$M$19:$R$19</c:f>
              <c:strCache>
                <c:ptCount val="6"/>
                <c:pt idx="0">
                  <c:v>2015年</c:v>
                </c:pt>
                <c:pt idx="1">
                  <c:v>2016年</c:v>
                </c:pt>
                <c:pt idx="2">
                  <c:v>2017年</c:v>
                </c:pt>
                <c:pt idx="3">
                  <c:v>2018年</c:v>
                </c:pt>
                <c:pt idx="4">
                  <c:v>2019年</c:v>
                </c:pt>
                <c:pt idx="5">
                  <c:v>2020年</c:v>
                </c:pt>
              </c:strCache>
            </c:strRef>
          </c:cat>
          <c:val>
            <c:numRef>
              <c:f>Sheet2!$M$20:$R$20</c:f>
              <c:numCache>
                <c:formatCode>0.000_ </c:formatCode>
                <c:ptCount val="6"/>
                <c:pt idx="0">
                  <c:v>0.122916666666667</c:v>
                </c:pt>
                <c:pt idx="1">
                  <c:v>0.128083333333333</c:v>
                </c:pt>
                <c:pt idx="2">
                  <c:v>0.14</c:v>
                </c:pt>
                <c:pt idx="3">
                  <c:v>0.0820833333333333</c:v>
                </c:pt>
                <c:pt idx="4">
                  <c:v>0.115833333333333</c:v>
                </c:pt>
                <c:pt idx="5">
                  <c:v>0.12</c:v>
                </c:pt>
              </c:numCache>
            </c:numRef>
          </c:val>
          <c:smooth val="0"/>
        </c:ser>
        <c:ser>
          <c:idx val="1"/>
          <c:order val="1"/>
          <c:tx>
            <c:strRef>
              <c:f>Sheet2!$L$21</c:f>
              <c:strCache>
                <c:ptCount val="1"/>
                <c:pt idx="0">
                  <c:v>双林</c:v>
                </c:pt>
              </c:strCache>
            </c:strRef>
          </c:tx>
          <c:dLbls>
            <c:delete val="1"/>
          </c:dLbls>
          <c:cat>
            <c:strRef>
              <c:f>Sheet2!$M$19:$R$19</c:f>
              <c:strCache>
                <c:ptCount val="6"/>
                <c:pt idx="0">
                  <c:v>2015年</c:v>
                </c:pt>
                <c:pt idx="1">
                  <c:v>2016年</c:v>
                </c:pt>
                <c:pt idx="2">
                  <c:v>2017年</c:v>
                </c:pt>
                <c:pt idx="3">
                  <c:v>2018年</c:v>
                </c:pt>
                <c:pt idx="4">
                  <c:v>2019年</c:v>
                </c:pt>
                <c:pt idx="5">
                  <c:v>2020年</c:v>
                </c:pt>
              </c:strCache>
            </c:strRef>
          </c:cat>
          <c:val>
            <c:numRef>
              <c:f>Sheet2!$M$21:$R$21</c:f>
              <c:numCache>
                <c:formatCode>0.000_ </c:formatCode>
                <c:ptCount val="6"/>
                <c:pt idx="0">
                  <c:v>0.11925</c:v>
                </c:pt>
                <c:pt idx="1">
                  <c:v>0.105583333333333</c:v>
                </c:pt>
                <c:pt idx="2">
                  <c:v>0.10525</c:v>
                </c:pt>
                <c:pt idx="3">
                  <c:v>0.0525</c:v>
                </c:pt>
                <c:pt idx="4">
                  <c:v>0.105</c:v>
                </c:pt>
                <c:pt idx="5">
                  <c:v>0.129</c:v>
                </c:pt>
              </c:numCache>
            </c:numRef>
          </c:val>
          <c:smooth val="0"/>
        </c:ser>
        <c:ser>
          <c:idx val="2"/>
          <c:order val="2"/>
          <c:tx>
            <c:strRef>
              <c:f>Sheet2!$L$22</c:f>
              <c:strCache>
                <c:ptCount val="1"/>
                <c:pt idx="0">
                  <c:v>古溇港</c:v>
                </c:pt>
              </c:strCache>
            </c:strRef>
          </c:tx>
          <c:dLbls>
            <c:delete val="1"/>
          </c:dLbls>
          <c:cat>
            <c:strRef>
              <c:f>Sheet2!$M$19:$R$19</c:f>
              <c:strCache>
                <c:ptCount val="6"/>
                <c:pt idx="0">
                  <c:v>2015年</c:v>
                </c:pt>
                <c:pt idx="1">
                  <c:v>2016年</c:v>
                </c:pt>
                <c:pt idx="2">
                  <c:v>2017年</c:v>
                </c:pt>
                <c:pt idx="3">
                  <c:v>2018年</c:v>
                </c:pt>
                <c:pt idx="4">
                  <c:v>2019年</c:v>
                </c:pt>
                <c:pt idx="5">
                  <c:v>2020年</c:v>
                </c:pt>
              </c:strCache>
            </c:strRef>
          </c:cat>
          <c:val>
            <c:numRef>
              <c:f>Sheet2!$M$22:$R$22</c:f>
              <c:numCache>
                <c:formatCode>0.000_ </c:formatCode>
                <c:ptCount val="6"/>
                <c:pt idx="0">
                  <c:v>0.16075</c:v>
                </c:pt>
                <c:pt idx="1">
                  <c:v>0.145</c:v>
                </c:pt>
                <c:pt idx="2">
                  <c:v>0.137</c:v>
                </c:pt>
                <c:pt idx="3">
                  <c:v>0.0991666666666667</c:v>
                </c:pt>
                <c:pt idx="4">
                  <c:v>0.0966666666666667</c:v>
                </c:pt>
                <c:pt idx="5">
                  <c:v>0.111666666666667</c:v>
                </c:pt>
              </c:numCache>
            </c:numRef>
          </c:val>
          <c:smooth val="0"/>
        </c:ser>
        <c:ser>
          <c:idx val="3"/>
          <c:order val="3"/>
          <c:tx>
            <c:strRef>
              <c:f>Sheet2!$L$23</c:f>
              <c:strCache>
                <c:ptCount val="1"/>
                <c:pt idx="0">
                  <c:v>和孚漾</c:v>
                </c:pt>
              </c:strCache>
            </c:strRef>
          </c:tx>
          <c:dLbls>
            <c:delete val="1"/>
          </c:dLbls>
          <c:cat>
            <c:strRef>
              <c:f>Sheet2!$M$19:$R$19</c:f>
              <c:strCache>
                <c:ptCount val="6"/>
                <c:pt idx="0">
                  <c:v>2015年</c:v>
                </c:pt>
                <c:pt idx="1">
                  <c:v>2016年</c:v>
                </c:pt>
                <c:pt idx="2">
                  <c:v>2017年</c:v>
                </c:pt>
                <c:pt idx="3">
                  <c:v>2018年</c:v>
                </c:pt>
                <c:pt idx="4">
                  <c:v>2019年</c:v>
                </c:pt>
                <c:pt idx="5">
                  <c:v>2020年</c:v>
                </c:pt>
              </c:strCache>
            </c:strRef>
          </c:cat>
          <c:val>
            <c:numRef>
              <c:f>Sheet2!$M$23:$R$23</c:f>
              <c:numCache>
                <c:formatCode>0.000_ </c:formatCode>
                <c:ptCount val="6"/>
                <c:pt idx="0">
                  <c:v>0.109833333333333</c:v>
                </c:pt>
                <c:pt idx="1">
                  <c:v>0.102</c:v>
                </c:pt>
                <c:pt idx="2">
                  <c:v>0.122</c:v>
                </c:pt>
                <c:pt idx="3">
                  <c:v>0.071</c:v>
                </c:pt>
                <c:pt idx="4">
                  <c:v>0.132</c:v>
                </c:pt>
                <c:pt idx="5">
                  <c:v>0.13</c:v>
                </c:pt>
              </c:numCache>
            </c:numRef>
          </c:val>
          <c:smooth val="0"/>
        </c:ser>
        <c:ser>
          <c:idx val="4"/>
          <c:order val="4"/>
          <c:tx>
            <c:strRef>
              <c:f>Sheet2!$L$24</c:f>
              <c:strCache>
                <c:ptCount val="1"/>
                <c:pt idx="0">
                  <c:v>乌镇</c:v>
                </c:pt>
              </c:strCache>
            </c:strRef>
          </c:tx>
          <c:dLbls>
            <c:delete val="1"/>
          </c:dLbls>
          <c:cat>
            <c:strRef>
              <c:f>Sheet2!$M$19:$R$19</c:f>
              <c:strCache>
                <c:ptCount val="6"/>
                <c:pt idx="0">
                  <c:v>2015年</c:v>
                </c:pt>
                <c:pt idx="1">
                  <c:v>2016年</c:v>
                </c:pt>
                <c:pt idx="2">
                  <c:v>2017年</c:v>
                </c:pt>
                <c:pt idx="3">
                  <c:v>2018年</c:v>
                </c:pt>
                <c:pt idx="4">
                  <c:v>2019年</c:v>
                </c:pt>
                <c:pt idx="5">
                  <c:v>2020年</c:v>
                </c:pt>
              </c:strCache>
            </c:strRef>
          </c:cat>
          <c:val>
            <c:numRef>
              <c:f>Sheet2!$M$24:$R$24</c:f>
              <c:numCache>
                <c:formatCode>0.000_ </c:formatCode>
                <c:ptCount val="6"/>
                <c:pt idx="0">
                  <c:v>0.113</c:v>
                </c:pt>
                <c:pt idx="1">
                  <c:v>0.131</c:v>
                </c:pt>
                <c:pt idx="2">
                  <c:v>0.106</c:v>
                </c:pt>
                <c:pt idx="3">
                  <c:v>0.065</c:v>
                </c:pt>
                <c:pt idx="4">
                  <c:v>0.135</c:v>
                </c:pt>
                <c:pt idx="5">
                  <c:v>0.146</c:v>
                </c:pt>
              </c:numCache>
            </c:numRef>
          </c:val>
          <c:smooth val="0"/>
        </c:ser>
        <c:dLbls>
          <c:showLegendKey val="0"/>
          <c:showVal val="0"/>
          <c:showCatName val="0"/>
          <c:showSerName val="0"/>
          <c:showPercent val="0"/>
          <c:showBubbleSize val="0"/>
        </c:dLbls>
        <c:marker val="1"/>
        <c:smooth val="0"/>
        <c:axId val="99754752"/>
        <c:axId val="99756288"/>
      </c:lineChart>
      <c:catAx>
        <c:axId val="99754752"/>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9756288"/>
        <c:crosses val="autoZero"/>
        <c:auto val="1"/>
        <c:lblAlgn val="ctr"/>
        <c:lblOffset val="100"/>
        <c:noMultiLvlLbl val="0"/>
      </c:catAx>
      <c:valAx>
        <c:axId val="99756288"/>
        <c:scaling>
          <c:orientation val="minMax"/>
          <c:min val="0.04"/>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总磷浓度（</a:t>
                </a:r>
                <a:r>
                  <a:rPr lang="en-US" altLang="zh-CN" sz="1000" b="1" i="0" u="none" strike="noStrike" baseline="0">
                    <a:effectLst/>
                  </a:rPr>
                  <a:t>mg/L</a:t>
                </a:r>
                <a:r>
                  <a:rPr lang="zh-CN" altLang="en-US" sz="1000" b="1" i="0" u="none" strike="noStrike" baseline="0">
                    <a:effectLst/>
                  </a:rPr>
                  <a:t>）</a:t>
                </a:r>
                <a:endParaRPr lang="zh-CN" altLang="en-US"/>
              </a:p>
            </c:rich>
          </c:tx>
          <c:layout/>
          <c:overlay val="0"/>
        </c:title>
        <c:numFmt formatCode="0.00_ "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9754752"/>
        <c:crosses val="autoZero"/>
        <c:crossBetween val="between"/>
        <c:majorUnit val="0.02"/>
        <c:minorUnit val="0.004"/>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南浔!$I$15</c:f>
              <c:strCache>
                <c:ptCount val="1"/>
                <c:pt idx="0">
                  <c:v>2015年</c:v>
                </c:pt>
              </c:strCache>
            </c:strRef>
          </c:tx>
          <c:dLbls>
            <c:delete val="1"/>
          </c:dLbls>
          <c:val>
            <c:numRef>
              <c:f>南浔!$I$16:$I$27</c:f>
              <c:numCache>
                <c:formatCode>General</c:formatCode>
                <c:ptCount val="12"/>
                <c:pt idx="0">
                  <c:v>0.168</c:v>
                </c:pt>
                <c:pt idx="1">
                  <c:v>0.149</c:v>
                </c:pt>
                <c:pt idx="2">
                  <c:v>0.174</c:v>
                </c:pt>
                <c:pt idx="3">
                  <c:v>0.111</c:v>
                </c:pt>
                <c:pt idx="4">
                  <c:v>0.115</c:v>
                </c:pt>
                <c:pt idx="5">
                  <c:v>0.141</c:v>
                </c:pt>
                <c:pt idx="6">
                  <c:v>0.158</c:v>
                </c:pt>
                <c:pt idx="7">
                  <c:v>0.101</c:v>
                </c:pt>
                <c:pt idx="8">
                  <c:v>0.093</c:v>
                </c:pt>
                <c:pt idx="9">
                  <c:v>0.098</c:v>
                </c:pt>
                <c:pt idx="10">
                  <c:v>0.063</c:v>
                </c:pt>
                <c:pt idx="11">
                  <c:v>0.104</c:v>
                </c:pt>
              </c:numCache>
            </c:numRef>
          </c:val>
          <c:smooth val="0"/>
        </c:ser>
        <c:ser>
          <c:idx val="1"/>
          <c:order val="1"/>
          <c:tx>
            <c:strRef>
              <c:f>南浔!$J$15</c:f>
              <c:strCache>
                <c:ptCount val="1"/>
                <c:pt idx="0">
                  <c:v>2016年</c:v>
                </c:pt>
              </c:strCache>
            </c:strRef>
          </c:tx>
          <c:dLbls>
            <c:delete val="1"/>
          </c:dLbls>
          <c:val>
            <c:numRef>
              <c:f>南浔!$J$16:$J$27</c:f>
              <c:numCache>
                <c:formatCode>General</c:formatCode>
                <c:ptCount val="12"/>
                <c:pt idx="0">
                  <c:v>0.129</c:v>
                </c:pt>
                <c:pt idx="1">
                  <c:v>0.127</c:v>
                </c:pt>
                <c:pt idx="2">
                  <c:v>0.137</c:v>
                </c:pt>
                <c:pt idx="3">
                  <c:v>0.135</c:v>
                </c:pt>
                <c:pt idx="4">
                  <c:v>0.117</c:v>
                </c:pt>
                <c:pt idx="5">
                  <c:v>0.13</c:v>
                </c:pt>
                <c:pt idx="6">
                  <c:v>0.099</c:v>
                </c:pt>
                <c:pt idx="7">
                  <c:v>0.107</c:v>
                </c:pt>
                <c:pt idx="8">
                  <c:v>0.164</c:v>
                </c:pt>
                <c:pt idx="9">
                  <c:v>0.116</c:v>
                </c:pt>
                <c:pt idx="10">
                  <c:v>0.138</c:v>
                </c:pt>
                <c:pt idx="11">
                  <c:v>0.138</c:v>
                </c:pt>
              </c:numCache>
            </c:numRef>
          </c:val>
          <c:smooth val="0"/>
        </c:ser>
        <c:ser>
          <c:idx val="2"/>
          <c:order val="2"/>
          <c:tx>
            <c:strRef>
              <c:f>南浔!$K$15</c:f>
              <c:strCache>
                <c:ptCount val="1"/>
                <c:pt idx="0">
                  <c:v>2017年</c:v>
                </c:pt>
              </c:strCache>
            </c:strRef>
          </c:tx>
          <c:dLbls>
            <c:delete val="1"/>
          </c:dLbls>
          <c:val>
            <c:numRef>
              <c:f>南浔!$K$16:$K$27</c:f>
              <c:numCache>
                <c:formatCode>General</c:formatCode>
                <c:ptCount val="12"/>
                <c:pt idx="0">
                  <c:v>0.248</c:v>
                </c:pt>
                <c:pt idx="1">
                  <c:v>0.17</c:v>
                </c:pt>
                <c:pt idx="2">
                  <c:v>0.16</c:v>
                </c:pt>
                <c:pt idx="3">
                  <c:v>0.1</c:v>
                </c:pt>
                <c:pt idx="4">
                  <c:v>0.12</c:v>
                </c:pt>
                <c:pt idx="5">
                  <c:v>0.15</c:v>
                </c:pt>
                <c:pt idx="6">
                  <c:v>0.12</c:v>
                </c:pt>
                <c:pt idx="7">
                  <c:v>0.13</c:v>
                </c:pt>
                <c:pt idx="8">
                  <c:v>0.1</c:v>
                </c:pt>
                <c:pt idx="9">
                  <c:v>0.12</c:v>
                </c:pt>
                <c:pt idx="10">
                  <c:v>0.07</c:v>
                </c:pt>
                <c:pt idx="11">
                  <c:v>0.08</c:v>
                </c:pt>
              </c:numCache>
            </c:numRef>
          </c:val>
          <c:smooth val="0"/>
        </c:ser>
        <c:ser>
          <c:idx val="3"/>
          <c:order val="3"/>
          <c:tx>
            <c:strRef>
              <c:f>南浔!$L$15</c:f>
              <c:strCache>
                <c:ptCount val="1"/>
                <c:pt idx="0">
                  <c:v>2018年</c:v>
                </c:pt>
              </c:strCache>
            </c:strRef>
          </c:tx>
          <c:dLbls>
            <c:delete val="1"/>
          </c:dLbls>
          <c:val>
            <c:numRef>
              <c:f>南浔!$L$16:$L$27</c:f>
              <c:numCache>
                <c:formatCode>General</c:formatCode>
                <c:ptCount val="12"/>
                <c:pt idx="0">
                  <c:v>0.125</c:v>
                </c:pt>
                <c:pt idx="1">
                  <c:v>0.08</c:v>
                </c:pt>
                <c:pt idx="2">
                  <c:v>0.05</c:v>
                </c:pt>
                <c:pt idx="3">
                  <c:v>0.06</c:v>
                </c:pt>
                <c:pt idx="4">
                  <c:v>0.06</c:v>
                </c:pt>
                <c:pt idx="5">
                  <c:v>0.1</c:v>
                </c:pt>
                <c:pt idx="6">
                  <c:v>0.08</c:v>
                </c:pt>
                <c:pt idx="7">
                  <c:v>0.12</c:v>
                </c:pt>
                <c:pt idx="8">
                  <c:v>0.07</c:v>
                </c:pt>
                <c:pt idx="9">
                  <c:v>0.08</c:v>
                </c:pt>
                <c:pt idx="10">
                  <c:v>0.07</c:v>
                </c:pt>
                <c:pt idx="11">
                  <c:v>0.09</c:v>
                </c:pt>
              </c:numCache>
            </c:numRef>
          </c:val>
          <c:smooth val="0"/>
        </c:ser>
        <c:ser>
          <c:idx val="4"/>
          <c:order val="4"/>
          <c:tx>
            <c:strRef>
              <c:f>南浔!$M$15</c:f>
              <c:strCache>
                <c:ptCount val="1"/>
                <c:pt idx="0">
                  <c:v>2019年</c:v>
                </c:pt>
              </c:strCache>
            </c:strRef>
          </c:tx>
          <c:dLbls>
            <c:delete val="1"/>
          </c:dLbls>
          <c:val>
            <c:numRef>
              <c:f>南浔!$M$16:$M$27</c:f>
              <c:numCache>
                <c:formatCode>General</c:formatCode>
                <c:ptCount val="12"/>
                <c:pt idx="0">
                  <c:v>0.07</c:v>
                </c:pt>
                <c:pt idx="1">
                  <c:v>0.08</c:v>
                </c:pt>
                <c:pt idx="2">
                  <c:v>0.1</c:v>
                </c:pt>
                <c:pt idx="3">
                  <c:v>0.12</c:v>
                </c:pt>
                <c:pt idx="4">
                  <c:v>0.12</c:v>
                </c:pt>
                <c:pt idx="5">
                  <c:v>0.14</c:v>
                </c:pt>
                <c:pt idx="6">
                  <c:v>0.12</c:v>
                </c:pt>
                <c:pt idx="7">
                  <c:v>0.12</c:v>
                </c:pt>
                <c:pt idx="8">
                  <c:v>0.1</c:v>
                </c:pt>
                <c:pt idx="9">
                  <c:v>0.14</c:v>
                </c:pt>
                <c:pt idx="10">
                  <c:v>0.13</c:v>
                </c:pt>
                <c:pt idx="11">
                  <c:v>0.15</c:v>
                </c:pt>
              </c:numCache>
            </c:numRef>
          </c:val>
          <c:smooth val="0"/>
        </c:ser>
        <c:ser>
          <c:idx val="5"/>
          <c:order val="5"/>
          <c:tx>
            <c:strRef>
              <c:f>南浔!$N$15</c:f>
              <c:strCache>
                <c:ptCount val="1"/>
                <c:pt idx="0">
                  <c:v>2020年</c:v>
                </c:pt>
              </c:strCache>
            </c:strRef>
          </c:tx>
          <c:dLbls>
            <c:delete val="1"/>
          </c:dLbls>
          <c:val>
            <c:numRef>
              <c:f>南浔!$N$16:$N$27</c:f>
              <c:numCache>
                <c:formatCode>General</c:formatCode>
                <c:ptCount val="12"/>
                <c:pt idx="0">
                  <c:v>0.104</c:v>
                </c:pt>
                <c:pt idx="1">
                  <c:v>0.064</c:v>
                </c:pt>
                <c:pt idx="2">
                  <c:v>0.095</c:v>
                </c:pt>
                <c:pt idx="3">
                  <c:v>0.122</c:v>
                </c:pt>
                <c:pt idx="4">
                  <c:v>0.15</c:v>
                </c:pt>
                <c:pt idx="5">
                  <c:v>0.145</c:v>
                </c:pt>
                <c:pt idx="6">
                  <c:v>0.107</c:v>
                </c:pt>
                <c:pt idx="7">
                  <c:v>0.131</c:v>
                </c:pt>
                <c:pt idx="8">
                  <c:v>0.115</c:v>
                </c:pt>
                <c:pt idx="9">
                  <c:v>0.121</c:v>
                </c:pt>
                <c:pt idx="10">
                  <c:v>0.133</c:v>
                </c:pt>
                <c:pt idx="11">
                  <c:v>0.153</c:v>
                </c:pt>
              </c:numCache>
            </c:numRef>
          </c:val>
          <c:smooth val="0"/>
        </c:ser>
        <c:dLbls>
          <c:showLegendKey val="0"/>
          <c:showVal val="0"/>
          <c:showCatName val="0"/>
          <c:showSerName val="0"/>
          <c:showPercent val="0"/>
          <c:showBubbleSize val="0"/>
        </c:dLbls>
        <c:marker val="1"/>
        <c:smooth val="0"/>
        <c:axId val="102274560"/>
        <c:axId val="102276096"/>
      </c:lineChart>
      <c:catAx>
        <c:axId val="10227456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2276096"/>
        <c:crosses val="autoZero"/>
        <c:auto val="1"/>
        <c:lblAlgn val="ctr"/>
        <c:lblOffset val="100"/>
        <c:noMultiLvlLbl val="0"/>
      </c:catAx>
      <c:valAx>
        <c:axId val="102276096"/>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总磷浓度（</a:t>
                </a:r>
                <a:r>
                  <a:rPr lang="en-US" altLang="zh-CN"/>
                  <a:t>mg/L</a:t>
                </a:r>
                <a:r>
                  <a:rPr lang="zh-CN" altLang="en-US"/>
                  <a:t>）</a:t>
                </a:r>
                <a:endParaRPr lang="zh-CN" alt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227456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双林!$K$15</c:f>
              <c:strCache>
                <c:ptCount val="1"/>
                <c:pt idx="0">
                  <c:v>2015年</c:v>
                </c:pt>
              </c:strCache>
            </c:strRef>
          </c:tx>
          <c:dLbls>
            <c:delete val="1"/>
          </c:dLbls>
          <c:val>
            <c:numRef>
              <c:f>双林!$K$16:$K$27</c:f>
              <c:numCache>
                <c:formatCode>General</c:formatCode>
                <c:ptCount val="12"/>
                <c:pt idx="0">
                  <c:v>0.133</c:v>
                </c:pt>
                <c:pt idx="1">
                  <c:v>0.175</c:v>
                </c:pt>
                <c:pt idx="2">
                  <c:v>0.141</c:v>
                </c:pt>
                <c:pt idx="3">
                  <c:v>0.196</c:v>
                </c:pt>
                <c:pt idx="4">
                  <c:v>0.083</c:v>
                </c:pt>
                <c:pt idx="5">
                  <c:v>0.119</c:v>
                </c:pt>
                <c:pt idx="6">
                  <c:v>0.101</c:v>
                </c:pt>
                <c:pt idx="7">
                  <c:v>0.066</c:v>
                </c:pt>
                <c:pt idx="8">
                  <c:v>0.102</c:v>
                </c:pt>
                <c:pt idx="9">
                  <c:v>0.107</c:v>
                </c:pt>
                <c:pt idx="10">
                  <c:v>0.096</c:v>
                </c:pt>
                <c:pt idx="11">
                  <c:v>0.112</c:v>
                </c:pt>
              </c:numCache>
            </c:numRef>
          </c:val>
          <c:smooth val="0"/>
        </c:ser>
        <c:ser>
          <c:idx val="1"/>
          <c:order val="1"/>
          <c:tx>
            <c:strRef>
              <c:f>双林!$L$15</c:f>
              <c:strCache>
                <c:ptCount val="1"/>
                <c:pt idx="0">
                  <c:v>2016年</c:v>
                </c:pt>
              </c:strCache>
            </c:strRef>
          </c:tx>
          <c:dLbls>
            <c:delete val="1"/>
          </c:dLbls>
          <c:val>
            <c:numRef>
              <c:f>双林!$L$16:$L$27</c:f>
              <c:numCache>
                <c:formatCode>General</c:formatCode>
                <c:ptCount val="12"/>
                <c:pt idx="0">
                  <c:v>0.098</c:v>
                </c:pt>
                <c:pt idx="1">
                  <c:v>0.122</c:v>
                </c:pt>
                <c:pt idx="2">
                  <c:v>0.102</c:v>
                </c:pt>
                <c:pt idx="3">
                  <c:v>0.072</c:v>
                </c:pt>
                <c:pt idx="4">
                  <c:v>0.113</c:v>
                </c:pt>
                <c:pt idx="5">
                  <c:v>0.102</c:v>
                </c:pt>
                <c:pt idx="6">
                  <c:v>0.111</c:v>
                </c:pt>
                <c:pt idx="7">
                  <c:v>0.119</c:v>
                </c:pt>
                <c:pt idx="8">
                  <c:v>0.15</c:v>
                </c:pt>
                <c:pt idx="9">
                  <c:v>0.104</c:v>
                </c:pt>
                <c:pt idx="10">
                  <c:v>0.076</c:v>
                </c:pt>
                <c:pt idx="11">
                  <c:v>0.098</c:v>
                </c:pt>
              </c:numCache>
            </c:numRef>
          </c:val>
          <c:smooth val="0"/>
        </c:ser>
        <c:ser>
          <c:idx val="2"/>
          <c:order val="2"/>
          <c:tx>
            <c:strRef>
              <c:f>双林!$M$15</c:f>
              <c:strCache>
                <c:ptCount val="1"/>
                <c:pt idx="0">
                  <c:v>2017年</c:v>
                </c:pt>
              </c:strCache>
            </c:strRef>
          </c:tx>
          <c:dLbls>
            <c:delete val="1"/>
          </c:dLbls>
          <c:val>
            <c:numRef>
              <c:f>双林!$M$16:$M$27</c:f>
              <c:numCache>
                <c:formatCode>General</c:formatCode>
                <c:ptCount val="12"/>
                <c:pt idx="0">
                  <c:v>0.193</c:v>
                </c:pt>
                <c:pt idx="1">
                  <c:v>0.11</c:v>
                </c:pt>
                <c:pt idx="2">
                  <c:v>0.16</c:v>
                </c:pt>
                <c:pt idx="3">
                  <c:v>0.07</c:v>
                </c:pt>
                <c:pt idx="4">
                  <c:v>0.1</c:v>
                </c:pt>
                <c:pt idx="5">
                  <c:v>0.06</c:v>
                </c:pt>
                <c:pt idx="6">
                  <c:v>0.1</c:v>
                </c:pt>
                <c:pt idx="7">
                  <c:v>0.1</c:v>
                </c:pt>
                <c:pt idx="8">
                  <c:v>0.08</c:v>
                </c:pt>
                <c:pt idx="9">
                  <c:v>0.07</c:v>
                </c:pt>
                <c:pt idx="10">
                  <c:v>0.09</c:v>
                </c:pt>
                <c:pt idx="11">
                  <c:v>0.13</c:v>
                </c:pt>
              </c:numCache>
            </c:numRef>
          </c:val>
          <c:smooth val="0"/>
        </c:ser>
        <c:ser>
          <c:idx val="3"/>
          <c:order val="3"/>
          <c:tx>
            <c:strRef>
              <c:f>双林!$N$15</c:f>
              <c:strCache>
                <c:ptCount val="1"/>
                <c:pt idx="0">
                  <c:v>2018年</c:v>
                </c:pt>
              </c:strCache>
            </c:strRef>
          </c:tx>
          <c:dLbls>
            <c:delete val="1"/>
          </c:dLbls>
          <c:val>
            <c:numRef>
              <c:f>双林!$N$16:$N$27</c:f>
              <c:numCache>
                <c:formatCode>General</c:formatCode>
                <c:ptCount val="12"/>
                <c:pt idx="0">
                  <c:v>0.09</c:v>
                </c:pt>
                <c:pt idx="1">
                  <c:v>0.06</c:v>
                </c:pt>
                <c:pt idx="2">
                  <c:v>0.04</c:v>
                </c:pt>
                <c:pt idx="3">
                  <c:v>0.05</c:v>
                </c:pt>
                <c:pt idx="4">
                  <c:v>0.05</c:v>
                </c:pt>
                <c:pt idx="5">
                  <c:v>0.07</c:v>
                </c:pt>
                <c:pt idx="6">
                  <c:v>0.06</c:v>
                </c:pt>
                <c:pt idx="7">
                  <c:v>0.06</c:v>
                </c:pt>
                <c:pt idx="8">
                  <c:v>0.04</c:v>
                </c:pt>
                <c:pt idx="9">
                  <c:v>0.05</c:v>
                </c:pt>
                <c:pt idx="10">
                  <c:v>0.04</c:v>
                </c:pt>
                <c:pt idx="11">
                  <c:v>0.02</c:v>
                </c:pt>
              </c:numCache>
            </c:numRef>
          </c:val>
          <c:smooth val="0"/>
        </c:ser>
        <c:ser>
          <c:idx val="4"/>
          <c:order val="4"/>
          <c:tx>
            <c:strRef>
              <c:f>双林!$O$15</c:f>
              <c:strCache>
                <c:ptCount val="1"/>
                <c:pt idx="0">
                  <c:v>2019年</c:v>
                </c:pt>
              </c:strCache>
            </c:strRef>
          </c:tx>
          <c:dLbls>
            <c:delete val="1"/>
          </c:dLbls>
          <c:val>
            <c:numRef>
              <c:f>双林!$O$16:$O$27</c:f>
              <c:numCache>
                <c:formatCode>General</c:formatCode>
                <c:ptCount val="12"/>
                <c:pt idx="0">
                  <c:v>0.07</c:v>
                </c:pt>
                <c:pt idx="1">
                  <c:v>0.07</c:v>
                </c:pt>
                <c:pt idx="2">
                  <c:v>0.1</c:v>
                </c:pt>
                <c:pt idx="3">
                  <c:v>0.13</c:v>
                </c:pt>
                <c:pt idx="4">
                  <c:v>0.15</c:v>
                </c:pt>
                <c:pt idx="5">
                  <c:v>0.12</c:v>
                </c:pt>
                <c:pt idx="6">
                  <c:v>0.09</c:v>
                </c:pt>
                <c:pt idx="7">
                  <c:v>0.08</c:v>
                </c:pt>
                <c:pt idx="8">
                  <c:v>0.12</c:v>
                </c:pt>
                <c:pt idx="9">
                  <c:v>0.1</c:v>
                </c:pt>
                <c:pt idx="10">
                  <c:v>0.09</c:v>
                </c:pt>
                <c:pt idx="11">
                  <c:v>0.14</c:v>
                </c:pt>
              </c:numCache>
            </c:numRef>
          </c:val>
          <c:smooth val="0"/>
        </c:ser>
        <c:ser>
          <c:idx val="5"/>
          <c:order val="5"/>
          <c:tx>
            <c:strRef>
              <c:f>双林!$P$15</c:f>
              <c:strCache>
                <c:ptCount val="1"/>
                <c:pt idx="0">
                  <c:v>2020年</c:v>
                </c:pt>
              </c:strCache>
            </c:strRef>
          </c:tx>
          <c:dLbls>
            <c:delete val="1"/>
          </c:dLbls>
          <c:val>
            <c:numRef>
              <c:f>双林!$P$16:$P$27</c:f>
              <c:numCache>
                <c:formatCode>General</c:formatCode>
                <c:ptCount val="12"/>
                <c:pt idx="0">
                  <c:v>0.17</c:v>
                </c:pt>
                <c:pt idx="1">
                  <c:v>0.13</c:v>
                </c:pt>
                <c:pt idx="2">
                  <c:v>0.09</c:v>
                </c:pt>
                <c:pt idx="3">
                  <c:v>0.15</c:v>
                </c:pt>
                <c:pt idx="4">
                  <c:v>0.1</c:v>
                </c:pt>
                <c:pt idx="5">
                  <c:v>0.17</c:v>
                </c:pt>
                <c:pt idx="6">
                  <c:v>0.15</c:v>
                </c:pt>
                <c:pt idx="7">
                  <c:v>0.14</c:v>
                </c:pt>
                <c:pt idx="8">
                  <c:v>0.12</c:v>
                </c:pt>
                <c:pt idx="9">
                  <c:v>0.18</c:v>
                </c:pt>
                <c:pt idx="10">
                  <c:v>0.1</c:v>
                </c:pt>
                <c:pt idx="11">
                  <c:v>0.11</c:v>
                </c:pt>
              </c:numCache>
            </c:numRef>
          </c:val>
          <c:smooth val="0"/>
        </c:ser>
        <c:dLbls>
          <c:showLegendKey val="0"/>
          <c:showVal val="0"/>
          <c:showCatName val="0"/>
          <c:showSerName val="0"/>
          <c:showPercent val="0"/>
          <c:showBubbleSize val="0"/>
        </c:dLbls>
        <c:marker val="1"/>
        <c:smooth val="0"/>
        <c:axId val="103426688"/>
        <c:axId val="118296960"/>
      </c:lineChart>
      <c:catAx>
        <c:axId val="10342668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8296960"/>
        <c:crosses val="autoZero"/>
        <c:auto val="1"/>
        <c:lblAlgn val="ctr"/>
        <c:lblOffset val="100"/>
        <c:noMultiLvlLbl val="0"/>
      </c:catAx>
      <c:valAx>
        <c:axId val="118296960"/>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总磷浓度（</a:t>
                </a:r>
                <a:r>
                  <a:rPr lang="en-US" altLang="zh-CN"/>
                  <a:t>mg/L</a:t>
                </a:r>
                <a:r>
                  <a:rPr lang="zh-CN" altLang="en-US"/>
                  <a:t>）</a:t>
                </a:r>
                <a:endParaRPr lang="zh-CN" alt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342668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c:f>
              <c:strCache>
                <c:ptCount val="1"/>
                <c:pt idx="0">
                  <c:v>水资源总量（亿立方米）</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Sheet1!$A$2:$A$11</c:f>
              <c:numCache>
                <c:formatCode>0_);[Red]\(0\)</c:formatCode>
                <c:ptCount val="10"/>
                <c:pt idx="0" c:formatCode="0_);[Red]\(0\)">
                  <c:v>2010</c:v>
                </c:pt>
                <c:pt idx="1" c:formatCode="0_);[Red]\(0\)">
                  <c:v>2011</c:v>
                </c:pt>
                <c:pt idx="2" c:formatCode="0_);[Red]\(0\)">
                  <c:v>2012</c:v>
                </c:pt>
                <c:pt idx="3" c:formatCode="0_);[Red]\(0\)">
                  <c:v>2013</c:v>
                </c:pt>
                <c:pt idx="4" c:formatCode="0_);[Red]\(0\)">
                  <c:v>2014</c:v>
                </c:pt>
                <c:pt idx="5" c:formatCode="0_);[Red]\(0\)">
                  <c:v>2015</c:v>
                </c:pt>
                <c:pt idx="6" c:formatCode="0_);[Red]\(0\)">
                  <c:v>2016</c:v>
                </c:pt>
                <c:pt idx="7" c:formatCode="0_);[Red]\(0\)">
                  <c:v>2017</c:v>
                </c:pt>
                <c:pt idx="8" c:formatCode="0_);[Red]\(0\)">
                  <c:v>2018</c:v>
                </c:pt>
                <c:pt idx="9" c:formatCode="0_);[Red]\(0\)">
                  <c:v>2019</c:v>
                </c:pt>
              </c:numCache>
            </c:numRef>
          </c:cat>
          <c:val>
            <c:numRef>
              <c:f>Sheet1!$D$2:$D$11</c:f>
              <c:numCache>
                <c:formatCode>0.00_);[Red]\(0.00\)</c:formatCode>
                <c:ptCount val="10"/>
                <c:pt idx="0">
                  <c:v>4.8</c:v>
                </c:pt>
                <c:pt idx="1">
                  <c:v>2.66</c:v>
                </c:pt>
                <c:pt idx="2">
                  <c:v>6.21</c:v>
                </c:pt>
                <c:pt idx="3">
                  <c:v>2.88</c:v>
                </c:pt>
                <c:pt idx="4">
                  <c:v>4.18</c:v>
                </c:pt>
                <c:pt idx="5">
                  <c:v>5.88</c:v>
                </c:pt>
                <c:pt idx="6">
                  <c:v>8.14</c:v>
                </c:pt>
                <c:pt idx="7">
                  <c:v>3.92</c:v>
                </c:pt>
                <c:pt idx="8">
                  <c:v>6.44</c:v>
                </c:pt>
                <c:pt idx="9">
                  <c:v>5.11</c:v>
                </c:pt>
              </c:numCache>
            </c:numRef>
          </c:val>
        </c:ser>
        <c:dLbls>
          <c:showLegendKey val="0"/>
          <c:showVal val="1"/>
          <c:showCatName val="0"/>
          <c:showSerName val="0"/>
          <c:showPercent val="0"/>
          <c:showBubbleSize val="0"/>
        </c:dLbls>
        <c:gapWidth val="150"/>
        <c:overlap val="-25"/>
        <c:axId val="130968192"/>
        <c:axId val="152256512"/>
      </c:barChart>
      <c:lineChart>
        <c:grouping val="standard"/>
        <c:varyColors val="0"/>
        <c:ser>
          <c:idx val="1"/>
          <c:order val="1"/>
          <c:tx>
            <c:strRef>
              <c:f>Sheet1!$E$1</c:f>
              <c:strCache>
                <c:ptCount val="1"/>
                <c:pt idx="0">
                  <c:v>多年平均水资源总量（亿立方米）</c:v>
                </c:pt>
              </c:strCache>
            </c:strRef>
          </c:tx>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Sheet1!$A$2:$A$11</c:f>
              <c:numCache>
                <c:formatCode>0_);[Red]\(0\)</c:formatCode>
                <c:ptCount val="10"/>
                <c:pt idx="0" c:formatCode="0_);[Red]\(0\)">
                  <c:v>2010</c:v>
                </c:pt>
                <c:pt idx="1" c:formatCode="0_);[Red]\(0\)">
                  <c:v>2011</c:v>
                </c:pt>
                <c:pt idx="2" c:formatCode="0_);[Red]\(0\)">
                  <c:v>2012</c:v>
                </c:pt>
                <c:pt idx="3" c:formatCode="0_);[Red]\(0\)">
                  <c:v>2013</c:v>
                </c:pt>
                <c:pt idx="4" c:formatCode="0_);[Red]\(0\)">
                  <c:v>2014</c:v>
                </c:pt>
                <c:pt idx="5" c:formatCode="0_);[Red]\(0\)">
                  <c:v>2015</c:v>
                </c:pt>
                <c:pt idx="6" c:formatCode="0_);[Red]\(0\)">
                  <c:v>2016</c:v>
                </c:pt>
                <c:pt idx="7" c:formatCode="0_);[Red]\(0\)">
                  <c:v>2017</c:v>
                </c:pt>
                <c:pt idx="8" c:formatCode="0_);[Red]\(0\)">
                  <c:v>2018</c:v>
                </c:pt>
                <c:pt idx="9" c:formatCode="0_);[Red]\(0\)">
                  <c:v>2019</c:v>
                </c:pt>
              </c:numCache>
            </c:numRef>
          </c:cat>
          <c:val>
            <c:numRef>
              <c:f>Sheet1!$E$2:$E$11</c:f>
              <c:numCache>
                <c:formatCode>0.00_);[Red]\(0.00\)</c:formatCode>
                <c:ptCount val="10"/>
                <c:pt idx="0">
                  <c:v>4.02</c:v>
                </c:pt>
                <c:pt idx="1">
                  <c:v>4.02</c:v>
                </c:pt>
                <c:pt idx="2">
                  <c:v>4.02</c:v>
                </c:pt>
                <c:pt idx="3">
                  <c:v>4.02</c:v>
                </c:pt>
                <c:pt idx="4">
                  <c:v>4.02</c:v>
                </c:pt>
                <c:pt idx="5">
                  <c:v>4.02</c:v>
                </c:pt>
                <c:pt idx="6">
                  <c:v>4.02</c:v>
                </c:pt>
                <c:pt idx="7">
                  <c:v>4.02</c:v>
                </c:pt>
                <c:pt idx="8">
                  <c:v>4.02</c:v>
                </c:pt>
                <c:pt idx="9">
                  <c:v>4.02</c:v>
                </c:pt>
              </c:numCache>
            </c:numRef>
          </c:val>
          <c:smooth val="0"/>
        </c:ser>
        <c:dLbls>
          <c:showLegendKey val="0"/>
          <c:showVal val="1"/>
          <c:showCatName val="0"/>
          <c:showSerName val="0"/>
          <c:showPercent val="0"/>
          <c:showBubbleSize val="0"/>
        </c:dLbls>
        <c:marker val="0"/>
        <c:smooth val="0"/>
        <c:axId val="130968192"/>
        <c:axId val="152256512"/>
      </c:lineChart>
      <c:catAx>
        <c:axId val="130968192"/>
        <c:scaling>
          <c:orientation val="minMax"/>
        </c:scaling>
        <c:delete val="0"/>
        <c:axPos val="b"/>
        <c:numFmt formatCode="0_);[Red]\(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256512"/>
        <c:crosses val="autoZero"/>
        <c:auto val="1"/>
        <c:lblAlgn val="ctr"/>
        <c:lblOffset val="100"/>
        <c:noMultiLvlLbl val="0"/>
      </c:catAx>
      <c:valAx>
        <c:axId val="152256512"/>
        <c:scaling>
          <c:orientation val="minMax"/>
        </c:scaling>
        <c:delete val="1"/>
        <c:axPos val="l"/>
        <c:numFmt formatCode="#,##0_);[Red]\(#,##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0968192"/>
        <c:crosses val="autoZero"/>
        <c:crossBetween val="between"/>
      </c:valAx>
      <c:spPr>
        <a:ln>
          <a:noFill/>
        </a:ln>
      </c:spPr>
    </c:plotArea>
    <c:legend>
      <c:legendPos val="t"/>
      <c:layout>
        <c:manualLayout>
          <c:xMode val="edge"/>
          <c:yMode val="edge"/>
          <c:x val="0.05"/>
          <c:y val="0.0694444444444444"/>
          <c:w val="0.9"/>
          <c:h val="0.08371719160104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降雨量（亿立方米）</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Sheet1!$A$2:$A$11</c:f>
              <c:numCache>
                <c:formatCode>0_);[Red]\(0\)</c:formatCode>
                <c:ptCount val="10"/>
                <c:pt idx="0" c:formatCode="0_);[Red]\(0\)">
                  <c:v>2010</c:v>
                </c:pt>
                <c:pt idx="1" c:formatCode="0_);[Red]\(0\)">
                  <c:v>2011</c:v>
                </c:pt>
                <c:pt idx="2" c:formatCode="0_);[Red]\(0\)">
                  <c:v>2012</c:v>
                </c:pt>
                <c:pt idx="3" c:formatCode="0_);[Red]\(0\)">
                  <c:v>2013</c:v>
                </c:pt>
                <c:pt idx="4" c:formatCode="0_);[Red]\(0\)">
                  <c:v>2014</c:v>
                </c:pt>
                <c:pt idx="5" c:formatCode="0_);[Red]\(0\)">
                  <c:v>2015</c:v>
                </c:pt>
                <c:pt idx="6" c:formatCode="0_);[Red]\(0\)">
                  <c:v>2016</c:v>
                </c:pt>
                <c:pt idx="7" c:formatCode="0_);[Red]\(0\)">
                  <c:v>2017</c:v>
                </c:pt>
                <c:pt idx="8" c:formatCode="0_);[Red]\(0\)">
                  <c:v>2018</c:v>
                </c:pt>
                <c:pt idx="9" c:formatCode="0_);[Red]\(0\)">
                  <c:v>2019</c:v>
                </c:pt>
              </c:numCache>
            </c:numRef>
          </c:cat>
          <c:val>
            <c:numRef>
              <c:f>Sheet1!$B$2:$B$11</c:f>
              <c:numCache>
                <c:formatCode>0.00_);[Red]\(0.00\)</c:formatCode>
                <c:ptCount val="10"/>
                <c:pt idx="0">
                  <c:v>9.57</c:v>
                </c:pt>
                <c:pt idx="1">
                  <c:v>7.45</c:v>
                </c:pt>
                <c:pt idx="2">
                  <c:v>10.63</c:v>
                </c:pt>
                <c:pt idx="3">
                  <c:v>7.64</c:v>
                </c:pt>
                <c:pt idx="4">
                  <c:v>8.75</c:v>
                </c:pt>
                <c:pt idx="5">
                  <c:v>9.95</c:v>
                </c:pt>
                <c:pt idx="6">
                  <c:v>11.98</c:v>
                </c:pt>
                <c:pt idx="7">
                  <c:v>8.49</c:v>
                </c:pt>
                <c:pt idx="8">
                  <c:v>11.61</c:v>
                </c:pt>
                <c:pt idx="9">
                  <c:v>9.71</c:v>
                </c:pt>
              </c:numCache>
            </c:numRef>
          </c:val>
          <c:smooth val="0"/>
        </c:ser>
        <c:ser>
          <c:idx val="1"/>
          <c:order val="1"/>
          <c:tx>
            <c:strRef>
              <c:f>Sheet1!$C$1</c:f>
              <c:strCache>
                <c:ptCount val="1"/>
                <c:pt idx="0">
                  <c:v>多年平均年均降水量（亿立方米）</c:v>
                </c:pt>
              </c:strCache>
            </c:strRef>
          </c:tx>
          <c:marker>
            <c:symbol val="none"/>
          </c:marker>
          <c:dLbls>
            <c:dLbl>
              <c:idx val="0"/>
              <c:delete val="1"/>
            </c:dLbl>
            <c:dLbl>
              <c:idx val="1"/>
              <c:delete val="1"/>
            </c:dLbl>
            <c:dLbl>
              <c:idx val="2"/>
              <c:delete val="1"/>
            </c:dLbl>
            <c:dLbl>
              <c:idx val="3"/>
              <c:delete val="1"/>
            </c:dLbl>
            <c:dLbl>
              <c:idx val="4"/>
              <c:delete val="1"/>
            </c:dLbl>
            <c:dLbl>
              <c:idx val="5"/>
              <c:delete val="1"/>
            </c:dLbl>
            <c:dLbl>
              <c:idx val="6"/>
              <c:layout>
                <c:manualLayout>
                  <c:x val="0.241666666666667"/>
                  <c:y val="0.013888888888888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delete val="1"/>
            </c:dLbl>
            <c:dLbl>
              <c:idx val="8"/>
              <c:delete val="1"/>
            </c:dLbl>
            <c:dLbl>
              <c:idx val="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Sheet1!$A$2:$A$11</c:f>
              <c:numCache>
                <c:formatCode>0_);[Red]\(0\)</c:formatCode>
                <c:ptCount val="10"/>
                <c:pt idx="0" c:formatCode="0_);[Red]\(0\)">
                  <c:v>2010</c:v>
                </c:pt>
                <c:pt idx="1" c:formatCode="0_);[Red]\(0\)">
                  <c:v>2011</c:v>
                </c:pt>
                <c:pt idx="2" c:formatCode="0_);[Red]\(0\)">
                  <c:v>2012</c:v>
                </c:pt>
                <c:pt idx="3" c:formatCode="0_);[Red]\(0\)">
                  <c:v>2013</c:v>
                </c:pt>
                <c:pt idx="4" c:formatCode="0_);[Red]\(0\)">
                  <c:v>2014</c:v>
                </c:pt>
                <c:pt idx="5" c:formatCode="0_);[Red]\(0\)">
                  <c:v>2015</c:v>
                </c:pt>
                <c:pt idx="6" c:formatCode="0_);[Red]\(0\)">
                  <c:v>2016</c:v>
                </c:pt>
                <c:pt idx="7" c:formatCode="0_);[Red]\(0\)">
                  <c:v>2017</c:v>
                </c:pt>
                <c:pt idx="8" c:formatCode="0_);[Red]\(0\)">
                  <c:v>2018</c:v>
                </c:pt>
                <c:pt idx="9" c:formatCode="0_);[Red]\(0\)">
                  <c:v>2019</c:v>
                </c:pt>
              </c:numCache>
            </c:numRef>
          </c:cat>
          <c:val>
            <c:numRef>
              <c:f>Sheet1!$C$2:$C$11</c:f>
              <c:numCache>
                <c:formatCode>0.00_);[Red]\(0.00\)</c:formatCode>
                <c:ptCount val="10"/>
                <c:pt idx="0">
                  <c:v>8.71</c:v>
                </c:pt>
                <c:pt idx="1">
                  <c:v>8.71</c:v>
                </c:pt>
                <c:pt idx="2">
                  <c:v>8.71</c:v>
                </c:pt>
                <c:pt idx="3">
                  <c:v>8.71</c:v>
                </c:pt>
                <c:pt idx="4">
                  <c:v>8.71</c:v>
                </c:pt>
                <c:pt idx="5">
                  <c:v>8.71</c:v>
                </c:pt>
                <c:pt idx="6">
                  <c:v>8.71</c:v>
                </c:pt>
                <c:pt idx="7">
                  <c:v>8.71</c:v>
                </c:pt>
                <c:pt idx="8">
                  <c:v>8.71</c:v>
                </c:pt>
                <c:pt idx="9">
                  <c:v>8.71</c:v>
                </c:pt>
              </c:numCache>
            </c:numRef>
          </c:val>
          <c:smooth val="0"/>
        </c:ser>
        <c:dLbls>
          <c:showLegendKey val="0"/>
          <c:showVal val="0"/>
          <c:showCatName val="0"/>
          <c:showSerName val="0"/>
          <c:showPercent val="0"/>
          <c:showBubbleSize val="0"/>
        </c:dLbls>
        <c:marker val="1"/>
        <c:smooth val="0"/>
        <c:axId val="152945792"/>
        <c:axId val="152947712"/>
      </c:lineChart>
      <c:catAx>
        <c:axId val="152945792"/>
        <c:scaling>
          <c:orientation val="minMax"/>
        </c:scaling>
        <c:delete val="0"/>
        <c:axPos val="b"/>
        <c:numFmt formatCode="0_);[Red]\(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947712"/>
        <c:crosses val="autoZero"/>
        <c:auto val="1"/>
        <c:lblAlgn val="ctr"/>
        <c:lblOffset val="100"/>
        <c:noMultiLvlLbl val="0"/>
      </c:catAx>
      <c:valAx>
        <c:axId val="152947712"/>
        <c:scaling>
          <c:orientation val="minMax"/>
          <c:min val="4"/>
        </c:scaling>
        <c:delete val="0"/>
        <c:axPos val="l"/>
        <c:majorGridlines/>
        <c:numFmt formatCode="#,##0_);[Red]\(#,##0\)" sourceLinked="0"/>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945792"/>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777D4C-234A-4764-8B33-39AFC1F2E78B}">
  <ds:schemaRefs/>
</ds:datastoreItem>
</file>

<file path=docProps/app.xml><?xml version="1.0" encoding="utf-8"?>
<Properties xmlns="http://schemas.openxmlformats.org/officeDocument/2006/extended-properties" xmlns:vt="http://schemas.openxmlformats.org/officeDocument/2006/docPropsVTypes">
  <Template>一般材料.dotx</Template>
  <Company>CAEP</Company>
  <Pages>66</Pages>
  <Words>10285</Words>
  <Characters>58627</Characters>
  <Lines>488</Lines>
  <Paragraphs>137</Paragraphs>
  <TotalTime>16</TotalTime>
  <ScaleCrop>false</ScaleCrop>
  <LinksUpToDate>false</LinksUpToDate>
  <CharactersWithSpaces>68775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2021-08-05T02:07:00Z</dcterms:created>
  <dc:creator>MALK</dc:creator>
  <cp:lastModifiedBy>落＊～</cp:lastModifiedBy>
  <dcterms:modified xsi:type="dcterms:W3CDTF">2021-12-28T03:12:09Z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A5D15E4F11BA441E970E7CD6BDEB2915</vt:lpwstr>
  </property>
</Properties>
</file>