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黑体" w:eastAsia="黑体"/>
          <w:sz w:val="36"/>
          <w:szCs w:val="36"/>
        </w:rPr>
      </w:pPr>
      <w:r>
        <w:rPr>
          <w:rFonts w:hint="eastAsia" w:ascii="黑体" w:hAnsi="黑体" w:eastAsia="黑体"/>
          <w:sz w:val="36"/>
          <w:szCs w:val="36"/>
        </w:rPr>
        <w:t>部分调整南浔区防空地下室结建政策标准</w:t>
      </w:r>
    </w:p>
    <w:p>
      <w:pPr>
        <w:spacing w:line="400" w:lineRule="exact"/>
        <w:jc w:val="center"/>
        <w:rPr>
          <w:rFonts w:hint="eastAsia" w:ascii="黑体" w:hAnsi="黑体" w:eastAsia="黑体"/>
          <w:sz w:val="36"/>
          <w:szCs w:val="36"/>
        </w:rPr>
      </w:pPr>
      <w:r>
        <w:rPr>
          <w:rFonts w:hint="eastAsia" w:ascii="黑体" w:hAnsi="黑体" w:eastAsia="黑体"/>
          <w:sz w:val="36"/>
          <w:szCs w:val="36"/>
        </w:rPr>
        <w:t>（征求意见稿）</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仿宋_GB2312" w:hAnsi="华文中宋" w:eastAsia="仿宋_GB2312"/>
          <w:sz w:val="32"/>
          <w:szCs w:val="32"/>
        </w:rPr>
      </w:pPr>
    </w:p>
    <w:p>
      <w:pPr>
        <w:spacing w:line="560" w:lineRule="exact"/>
        <w:ind w:firstLine="640" w:firstLineChars="200"/>
        <w:jc w:val="both"/>
        <w:rPr>
          <w:rFonts w:hint="eastAsia" w:ascii="仿宋_GB2312" w:hAnsi="华文中宋" w:eastAsia="仿宋_GB2312"/>
          <w:sz w:val="32"/>
          <w:szCs w:val="32"/>
        </w:rPr>
      </w:pPr>
      <w:r>
        <w:rPr>
          <w:rFonts w:hint="eastAsia" w:ascii="仿宋_GB2312" w:hAnsi="华文中宋" w:eastAsia="仿宋_GB2312"/>
          <w:sz w:val="32"/>
          <w:szCs w:val="32"/>
        </w:rPr>
        <w:t>2018年11月，浙江省人防办、浙江省建设厅联合下发了《关于防空地下室结建标准适用的通知》，通知中明确了全省地级市、人防重点城市（县城）和人防重点镇的对应建设标准。2019年2月浙江省人防办又下发了《关于人防重点镇调整为城市规划区的区域结建政策适用标准的批复》，进一步明确了城市规划区需按照城市标准执行。</w:t>
      </w:r>
    </w:p>
    <w:p>
      <w:pPr>
        <w:spacing w:line="560" w:lineRule="exact"/>
        <w:ind w:firstLine="640" w:firstLineChars="200"/>
        <w:jc w:val="both"/>
        <w:rPr>
          <w:rFonts w:hint="eastAsia" w:ascii="仿宋_GB2312" w:hAnsi="华文中宋" w:eastAsia="仿宋_GB2312"/>
          <w:sz w:val="32"/>
          <w:szCs w:val="32"/>
        </w:rPr>
      </w:pPr>
      <w:r>
        <w:rPr>
          <w:rFonts w:hint="eastAsia" w:ascii="仿宋_GB2312" w:hAnsi="华文中宋" w:eastAsia="仿宋_GB2312"/>
          <w:sz w:val="32"/>
          <w:szCs w:val="32"/>
        </w:rPr>
        <w:t>现就我区部分调整防空地下室结建政策作以下具体调整：</w:t>
      </w:r>
    </w:p>
    <w:p>
      <w:pPr>
        <w:spacing w:line="560" w:lineRule="exact"/>
        <w:ind w:firstLine="640"/>
        <w:jc w:val="both"/>
        <w:rPr>
          <w:rFonts w:hint="eastAsia" w:ascii="仿宋_GB2312" w:hAnsi="华文中宋" w:eastAsia="仿宋_GB2312"/>
          <w:sz w:val="32"/>
          <w:szCs w:val="32"/>
        </w:rPr>
      </w:pPr>
      <w:r>
        <w:rPr>
          <w:rFonts w:hint="eastAsia" w:ascii="仿宋_GB2312" w:hAnsi="华文中宋" w:eastAsia="仿宋_GB2312"/>
          <w:sz w:val="32"/>
          <w:szCs w:val="32"/>
        </w:rPr>
        <w:t>1.南浔城区规划区域的人防结建政策调整为湖州市市级标准执行，即新建居民住宅修建比例由7%调整为10%，新建其他民用建筑修建比例由4%调整为7%，人防工程易地建设费收费标准由1300元/平方米调整为2100元/平方米。南浔城区规划区域指东至外环东路，南至湖浔大道，西至白米塘，北至頔塘。</w:t>
      </w:r>
    </w:p>
    <w:p>
      <w:pPr>
        <w:spacing w:line="560" w:lineRule="exact"/>
        <w:ind w:firstLine="640"/>
        <w:jc w:val="both"/>
        <w:rPr>
          <w:rFonts w:hint="eastAsia" w:ascii="仿宋_GB2312" w:hAnsi="华文中宋" w:eastAsia="仿宋_GB2312"/>
          <w:sz w:val="32"/>
          <w:szCs w:val="32"/>
        </w:rPr>
      </w:pPr>
      <w:r>
        <w:rPr>
          <w:rFonts w:hint="eastAsia" w:ascii="仿宋_GB2312" w:hAnsi="华文中宋" w:eastAsia="仿宋_GB2312"/>
          <w:sz w:val="32"/>
          <w:szCs w:val="32"/>
        </w:rPr>
        <w:t>2.南浔城区规划区域内用地建设条件（土地出让方案或规划条件）中已明确人防指标要求的，按照原有确定的人防指标要求执行；用地建设条件（土地出让方案或规划条件）中未明确人防指标要求的，在明确调整时间节点后按照新调整的标准执行。</w:t>
      </w:r>
    </w:p>
    <w:p>
      <w:pPr>
        <w:spacing w:line="560" w:lineRule="exact"/>
        <w:ind w:firstLine="640"/>
        <w:jc w:val="both"/>
        <w:rPr>
          <w:rFonts w:hint="eastAsia" w:ascii="仿宋_GB2312" w:hAnsi="华文中宋" w:eastAsia="仿宋_GB2312"/>
          <w:sz w:val="32"/>
          <w:szCs w:val="32"/>
        </w:rPr>
      </w:pPr>
      <w:r>
        <w:rPr>
          <w:rFonts w:hint="eastAsia" w:ascii="仿宋_GB2312" w:hAnsi="华文中宋" w:eastAsia="仿宋_GB2312"/>
          <w:sz w:val="32"/>
          <w:szCs w:val="32"/>
        </w:rPr>
        <w:t>3.其余城镇规划区域的人防结建政策仍旧按照人防重点镇标准执行。</w:t>
      </w:r>
    </w:p>
    <w:p>
      <w:pPr>
        <w:spacing w:line="560" w:lineRule="exact"/>
        <w:ind w:firstLine="640"/>
        <w:jc w:val="both"/>
        <w:rPr>
          <w:rFonts w:hint="eastAsia" w:ascii="仿宋_GB2312" w:hAnsi="华文中宋" w:eastAsia="仿宋_GB2312"/>
          <w:sz w:val="32"/>
          <w:szCs w:val="32"/>
        </w:rPr>
      </w:pPr>
      <w:r>
        <w:rPr>
          <w:rFonts w:hint="eastAsia" w:ascii="仿宋_GB2312" w:hAnsi="华文中宋" w:eastAsia="仿宋_GB2312"/>
          <w:sz w:val="32"/>
          <w:szCs w:val="32"/>
        </w:rPr>
        <w:t>4.新调整的南浔城区规划区域人防结建政策</w:t>
      </w:r>
      <w:r>
        <w:rPr>
          <w:rFonts w:hint="eastAsia" w:ascii="仿宋_GB2312" w:hAnsi="华文中宋" w:eastAsia="仿宋_GB2312"/>
          <w:b/>
          <w:sz w:val="32"/>
          <w:szCs w:val="32"/>
        </w:rPr>
        <w:t>自2020年1月1日</w:t>
      </w:r>
      <w:r>
        <w:rPr>
          <w:rFonts w:hint="eastAsia" w:ascii="仿宋_GB2312" w:hAnsi="华文中宋" w:eastAsia="仿宋_GB2312"/>
          <w:sz w:val="32"/>
          <w:szCs w:val="32"/>
        </w:rPr>
        <w:t>起执行。</w:t>
      </w:r>
    </w:p>
    <w:p>
      <w:pPr>
        <w:spacing w:line="560" w:lineRule="exact"/>
        <w:jc w:val="center"/>
        <w:rPr>
          <w:rFonts w:hint="eastAsia" w:ascii="华文中宋" w:hAnsi="华文中宋" w:eastAsia="华文中宋"/>
          <w:b/>
          <w:sz w:val="36"/>
          <w:szCs w:val="36"/>
        </w:rPr>
      </w:pPr>
      <w:r>
        <w:rPr>
          <w:rFonts w:hint="eastAsia" w:ascii="华文中宋" w:hAnsi="华文中宋" w:eastAsia="华文中宋"/>
          <w:b/>
          <w:sz w:val="36"/>
          <w:szCs w:val="36"/>
        </w:rPr>
        <w:t>南浔区防空地下室结建标准</w:t>
      </w:r>
    </w:p>
    <w:tbl>
      <w:tblPr>
        <w:tblStyle w:val="5"/>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080"/>
        <w:gridCol w:w="144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64" w:hRule="atLeast"/>
        </w:trPr>
        <w:tc>
          <w:tcPr>
            <w:tcW w:w="2520" w:type="dxa"/>
            <w:gridSpan w:val="2"/>
            <w:noWrap w:val="0"/>
            <w:vAlign w:val="center"/>
          </w:tcPr>
          <w:p>
            <w:pPr>
              <w:spacing w:line="400" w:lineRule="exact"/>
              <w:jc w:val="center"/>
              <w:rPr>
                <w:rFonts w:hint="eastAsia" w:ascii="宋体" w:hAnsi="宋体"/>
                <w:sz w:val="30"/>
                <w:szCs w:val="30"/>
              </w:rPr>
            </w:pPr>
            <w:r>
              <w:rPr>
                <w:rFonts w:hint="eastAsia" w:ascii="宋体" w:hAnsi="宋体"/>
                <w:sz w:val="30"/>
                <w:szCs w:val="30"/>
              </w:rPr>
              <w:t>城镇（政策）</w:t>
            </w:r>
          </w:p>
        </w:tc>
        <w:tc>
          <w:tcPr>
            <w:tcW w:w="1440" w:type="dxa"/>
            <w:noWrap w:val="0"/>
            <w:vAlign w:val="center"/>
          </w:tcPr>
          <w:p>
            <w:pPr>
              <w:spacing w:line="400" w:lineRule="exact"/>
              <w:jc w:val="center"/>
              <w:rPr>
                <w:rFonts w:hint="eastAsia" w:ascii="宋体" w:hAnsi="宋体"/>
                <w:sz w:val="30"/>
                <w:szCs w:val="30"/>
              </w:rPr>
            </w:pPr>
            <w:r>
              <w:rPr>
                <w:rFonts w:hint="eastAsia" w:ascii="宋体" w:hAnsi="宋体"/>
                <w:sz w:val="30"/>
                <w:szCs w:val="30"/>
              </w:rPr>
              <w:t>新建居民住宅修建比例</w:t>
            </w:r>
          </w:p>
        </w:tc>
        <w:tc>
          <w:tcPr>
            <w:tcW w:w="1620" w:type="dxa"/>
            <w:noWrap w:val="0"/>
            <w:vAlign w:val="center"/>
          </w:tcPr>
          <w:p>
            <w:pPr>
              <w:spacing w:line="400" w:lineRule="exact"/>
              <w:jc w:val="center"/>
              <w:rPr>
                <w:rFonts w:hint="eastAsia" w:ascii="宋体" w:hAnsi="宋体"/>
                <w:sz w:val="30"/>
                <w:szCs w:val="30"/>
              </w:rPr>
            </w:pPr>
            <w:r>
              <w:rPr>
                <w:rFonts w:hint="eastAsia" w:ascii="宋体" w:hAnsi="宋体"/>
                <w:sz w:val="30"/>
                <w:szCs w:val="30"/>
              </w:rPr>
              <w:t>新建其他民用建筑修建比例</w:t>
            </w:r>
          </w:p>
        </w:tc>
        <w:tc>
          <w:tcPr>
            <w:tcW w:w="2700" w:type="dxa"/>
            <w:noWrap w:val="0"/>
            <w:vAlign w:val="center"/>
          </w:tcPr>
          <w:p>
            <w:pPr>
              <w:spacing w:line="400" w:lineRule="exact"/>
              <w:jc w:val="center"/>
              <w:rPr>
                <w:rFonts w:hint="eastAsia" w:ascii="宋体" w:hAnsi="宋体"/>
                <w:sz w:val="30"/>
                <w:szCs w:val="30"/>
              </w:rPr>
            </w:pPr>
            <w:r>
              <w:rPr>
                <w:rFonts w:hint="eastAsia" w:ascii="宋体" w:hAnsi="宋体"/>
                <w:sz w:val="30"/>
                <w:szCs w:val="30"/>
              </w:rPr>
              <w:t>人防工程易地</w:t>
            </w:r>
          </w:p>
          <w:p>
            <w:pPr>
              <w:spacing w:line="400" w:lineRule="exact"/>
              <w:jc w:val="center"/>
              <w:rPr>
                <w:rFonts w:hint="eastAsia" w:ascii="宋体" w:hAnsi="宋体"/>
                <w:sz w:val="30"/>
                <w:szCs w:val="30"/>
              </w:rPr>
            </w:pPr>
            <w:r>
              <w:rPr>
                <w:rFonts w:hint="eastAsia" w:ascii="宋体" w:hAnsi="宋体"/>
                <w:sz w:val="30"/>
                <w:szCs w:val="30"/>
              </w:rPr>
              <w:t>建设费收费标准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85" w:hRule="atLeast"/>
        </w:trPr>
        <w:tc>
          <w:tcPr>
            <w:tcW w:w="1440" w:type="dxa"/>
            <w:vMerge w:val="restart"/>
            <w:noWrap w:val="0"/>
            <w:vAlign w:val="center"/>
          </w:tcPr>
          <w:p>
            <w:pPr>
              <w:spacing w:line="400" w:lineRule="exact"/>
              <w:jc w:val="center"/>
              <w:rPr>
                <w:rFonts w:hint="eastAsia" w:ascii="宋体" w:hAnsi="宋体"/>
                <w:sz w:val="30"/>
                <w:szCs w:val="30"/>
              </w:rPr>
            </w:pPr>
            <w:r>
              <w:rPr>
                <w:rFonts w:hint="eastAsia" w:ascii="宋体" w:hAnsi="宋体"/>
                <w:sz w:val="30"/>
                <w:szCs w:val="30"/>
              </w:rPr>
              <w:t>南浔城区规划区域</w:t>
            </w:r>
          </w:p>
        </w:tc>
        <w:tc>
          <w:tcPr>
            <w:tcW w:w="1080" w:type="dxa"/>
            <w:noWrap w:val="0"/>
            <w:vAlign w:val="center"/>
          </w:tcPr>
          <w:p>
            <w:pPr>
              <w:spacing w:line="400" w:lineRule="exact"/>
              <w:rPr>
                <w:rFonts w:hint="eastAsia" w:ascii="宋体" w:hAnsi="宋体"/>
                <w:spacing w:val="-20"/>
                <w:sz w:val="30"/>
                <w:szCs w:val="30"/>
              </w:rPr>
            </w:pPr>
            <w:r>
              <w:rPr>
                <w:rFonts w:hint="eastAsia" w:ascii="宋体" w:hAnsi="宋体"/>
                <w:spacing w:val="-20"/>
                <w:sz w:val="30"/>
                <w:szCs w:val="30"/>
              </w:rPr>
              <w:t>调整前</w:t>
            </w:r>
          </w:p>
        </w:tc>
        <w:tc>
          <w:tcPr>
            <w:tcW w:w="1440" w:type="dxa"/>
            <w:noWrap w:val="0"/>
            <w:vAlign w:val="center"/>
          </w:tcPr>
          <w:p>
            <w:pPr>
              <w:spacing w:line="400" w:lineRule="exact"/>
              <w:jc w:val="center"/>
              <w:rPr>
                <w:rFonts w:hint="eastAsia" w:ascii="宋体" w:hAnsi="宋体"/>
                <w:sz w:val="30"/>
                <w:szCs w:val="30"/>
              </w:rPr>
            </w:pPr>
            <w:r>
              <w:rPr>
                <w:rFonts w:hint="eastAsia" w:ascii="宋体" w:hAnsi="宋体"/>
                <w:sz w:val="30"/>
                <w:szCs w:val="30"/>
              </w:rPr>
              <w:t>7%</w:t>
            </w:r>
          </w:p>
        </w:tc>
        <w:tc>
          <w:tcPr>
            <w:tcW w:w="1620" w:type="dxa"/>
            <w:noWrap w:val="0"/>
            <w:vAlign w:val="center"/>
          </w:tcPr>
          <w:p>
            <w:pPr>
              <w:spacing w:line="400" w:lineRule="exact"/>
              <w:jc w:val="center"/>
              <w:rPr>
                <w:rFonts w:hint="eastAsia" w:ascii="宋体" w:hAnsi="宋体"/>
                <w:sz w:val="30"/>
                <w:szCs w:val="30"/>
              </w:rPr>
            </w:pPr>
            <w:r>
              <w:rPr>
                <w:rFonts w:hint="eastAsia" w:ascii="宋体" w:hAnsi="宋体"/>
                <w:sz w:val="30"/>
                <w:szCs w:val="30"/>
              </w:rPr>
              <w:t>4%</w:t>
            </w:r>
          </w:p>
        </w:tc>
        <w:tc>
          <w:tcPr>
            <w:tcW w:w="2700" w:type="dxa"/>
            <w:noWrap w:val="0"/>
            <w:vAlign w:val="center"/>
          </w:tcPr>
          <w:p>
            <w:pPr>
              <w:spacing w:line="400" w:lineRule="exact"/>
              <w:jc w:val="center"/>
              <w:rPr>
                <w:rFonts w:hint="eastAsia" w:ascii="宋体" w:hAnsi="宋体"/>
                <w:sz w:val="30"/>
                <w:szCs w:val="30"/>
              </w:rPr>
            </w:pPr>
            <w:r>
              <w:rPr>
                <w:rFonts w:hint="eastAsia" w:ascii="宋体" w:hAnsi="宋体"/>
                <w:sz w:val="30"/>
                <w:szCs w:val="30"/>
              </w:rPr>
              <w:t>1300元/平方米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1440" w:type="dxa"/>
            <w:vMerge w:val="continue"/>
            <w:noWrap w:val="0"/>
            <w:vAlign w:val="center"/>
          </w:tcPr>
          <w:p>
            <w:pPr>
              <w:spacing w:line="400" w:lineRule="exact"/>
              <w:rPr>
                <w:rFonts w:hint="eastAsia" w:ascii="宋体" w:hAnsi="宋体"/>
                <w:sz w:val="30"/>
                <w:szCs w:val="30"/>
              </w:rPr>
            </w:pPr>
          </w:p>
        </w:tc>
        <w:tc>
          <w:tcPr>
            <w:tcW w:w="1080" w:type="dxa"/>
            <w:noWrap w:val="0"/>
            <w:vAlign w:val="center"/>
          </w:tcPr>
          <w:p>
            <w:pPr>
              <w:spacing w:line="400" w:lineRule="exact"/>
              <w:rPr>
                <w:rFonts w:hint="eastAsia" w:ascii="宋体" w:hAnsi="宋体"/>
                <w:sz w:val="30"/>
                <w:szCs w:val="30"/>
              </w:rPr>
            </w:pPr>
            <w:r>
              <w:rPr>
                <w:rFonts w:hint="eastAsia" w:ascii="宋体" w:hAnsi="宋体"/>
                <w:spacing w:val="-20"/>
                <w:sz w:val="30"/>
                <w:szCs w:val="30"/>
              </w:rPr>
              <w:t>调整后</w:t>
            </w:r>
          </w:p>
        </w:tc>
        <w:tc>
          <w:tcPr>
            <w:tcW w:w="1440" w:type="dxa"/>
            <w:noWrap w:val="0"/>
            <w:vAlign w:val="center"/>
          </w:tcPr>
          <w:p>
            <w:pPr>
              <w:spacing w:line="400" w:lineRule="exact"/>
              <w:jc w:val="center"/>
              <w:rPr>
                <w:rFonts w:hint="eastAsia" w:ascii="宋体" w:hAnsi="宋体"/>
                <w:sz w:val="30"/>
                <w:szCs w:val="30"/>
              </w:rPr>
            </w:pPr>
            <w:r>
              <w:rPr>
                <w:rFonts w:hint="eastAsia" w:ascii="宋体" w:hAnsi="宋体"/>
                <w:sz w:val="30"/>
                <w:szCs w:val="30"/>
              </w:rPr>
              <w:t>10%</w:t>
            </w:r>
          </w:p>
        </w:tc>
        <w:tc>
          <w:tcPr>
            <w:tcW w:w="1620" w:type="dxa"/>
            <w:noWrap w:val="0"/>
            <w:vAlign w:val="center"/>
          </w:tcPr>
          <w:p>
            <w:pPr>
              <w:spacing w:line="400" w:lineRule="exact"/>
              <w:jc w:val="center"/>
              <w:rPr>
                <w:rFonts w:hint="eastAsia" w:ascii="宋体" w:hAnsi="宋体"/>
                <w:sz w:val="30"/>
                <w:szCs w:val="30"/>
              </w:rPr>
            </w:pPr>
            <w:r>
              <w:rPr>
                <w:rFonts w:hint="eastAsia" w:ascii="宋体" w:hAnsi="宋体"/>
                <w:sz w:val="30"/>
                <w:szCs w:val="30"/>
              </w:rPr>
              <w:t>7%</w:t>
            </w:r>
          </w:p>
        </w:tc>
        <w:tc>
          <w:tcPr>
            <w:tcW w:w="2700" w:type="dxa"/>
            <w:noWrap w:val="0"/>
            <w:vAlign w:val="center"/>
          </w:tcPr>
          <w:p>
            <w:pPr>
              <w:spacing w:line="400" w:lineRule="exact"/>
              <w:jc w:val="center"/>
              <w:rPr>
                <w:rFonts w:hint="eastAsia" w:ascii="宋体" w:hAnsi="宋体"/>
                <w:sz w:val="30"/>
                <w:szCs w:val="30"/>
              </w:rPr>
            </w:pPr>
            <w:r>
              <w:rPr>
                <w:rFonts w:hint="eastAsia" w:ascii="宋体" w:hAnsi="宋体"/>
                <w:sz w:val="30"/>
                <w:szCs w:val="30"/>
              </w:rPr>
              <w:t>2100元/平方米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2520" w:type="dxa"/>
            <w:gridSpan w:val="2"/>
            <w:noWrap w:val="0"/>
            <w:vAlign w:val="center"/>
          </w:tcPr>
          <w:p>
            <w:pPr>
              <w:spacing w:line="400" w:lineRule="exact"/>
              <w:jc w:val="center"/>
              <w:rPr>
                <w:rFonts w:hint="eastAsia" w:ascii="仿宋_GB2312" w:hAnsi="华文中宋" w:eastAsia="仿宋_GB2312"/>
                <w:sz w:val="32"/>
                <w:szCs w:val="32"/>
              </w:rPr>
            </w:pPr>
            <w:r>
              <w:rPr>
                <w:rFonts w:hint="eastAsia" w:ascii="仿宋_GB2312" w:hAnsi="华文中宋" w:eastAsia="仿宋_GB2312"/>
                <w:sz w:val="32"/>
                <w:szCs w:val="32"/>
              </w:rPr>
              <w:t>其余城镇</w:t>
            </w:r>
          </w:p>
          <w:p>
            <w:pPr>
              <w:spacing w:line="400" w:lineRule="exact"/>
              <w:jc w:val="center"/>
              <w:rPr>
                <w:rFonts w:hint="eastAsia" w:ascii="仿宋_GB2312" w:hAnsi="华文中宋" w:eastAsia="仿宋_GB2312"/>
                <w:sz w:val="32"/>
                <w:szCs w:val="32"/>
              </w:rPr>
            </w:pPr>
            <w:r>
              <w:rPr>
                <w:rFonts w:hint="eastAsia" w:ascii="仿宋_GB2312" w:hAnsi="华文中宋" w:eastAsia="仿宋_GB2312"/>
                <w:sz w:val="32"/>
                <w:szCs w:val="32"/>
              </w:rPr>
              <w:t>规划区域</w:t>
            </w:r>
          </w:p>
        </w:tc>
        <w:tc>
          <w:tcPr>
            <w:tcW w:w="1440" w:type="dxa"/>
            <w:noWrap w:val="0"/>
            <w:vAlign w:val="center"/>
          </w:tcPr>
          <w:p>
            <w:pPr>
              <w:spacing w:line="400" w:lineRule="exact"/>
              <w:jc w:val="center"/>
              <w:rPr>
                <w:rFonts w:hint="eastAsia" w:ascii="宋体" w:hAnsi="宋体"/>
                <w:sz w:val="30"/>
                <w:szCs w:val="30"/>
              </w:rPr>
            </w:pPr>
            <w:r>
              <w:rPr>
                <w:rFonts w:hint="eastAsia" w:ascii="宋体" w:hAnsi="宋体"/>
                <w:sz w:val="30"/>
                <w:szCs w:val="30"/>
              </w:rPr>
              <w:t>7%</w:t>
            </w:r>
          </w:p>
          <w:p>
            <w:pPr>
              <w:spacing w:line="400" w:lineRule="exact"/>
              <w:jc w:val="center"/>
              <w:rPr>
                <w:rFonts w:hint="eastAsia" w:ascii="宋体" w:hAnsi="宋体"/>
                <w:sz w:val="30"/>
                <w:szCs w:val="30"/>
              </w:rPr>
            </w:pPr>
            <w:r>
              <w:rPr>
                <w:rFonts w:hint="eastAsia" w:ascii="宋体" w:hAnsi="宋体"/>
                <w:sz w:val="30"/>
                <w:szCs w:val="30"/>
              </w:rPr>
              <w:t>（不变）</w:t>
            </w:r>
          </w:p>
        </w:tc>
        <w:tc>
          <w:tcPr>
            <w:tcW w:w="1620" w:type="dxa"/>
            <w:noWrap w:val="0"/>
            <w:vAlign w:val="center"/>
          </w:tcPr>
          <w:p>
            <w:pPr>
              <w:spacing w:line="400" w:lineRule="exact"/>
              <w:jc w:val="center"/>
              <w:rPr>
                <w:rFonts w:hint="eastAsia" w:ascii="宋体" w:hAnsi="宋体"/>
                <w:sz w:val="30"/>
                <w:szCs w:val="30"/>
              </w:rPr>
            </w:pPr>
            <w:r>
              <w:rPr>
                <w:rFonts w:hint="eastAsia" w:ascii="宋体" w:hAnsi="宋体"/>
                <w:sz w:val="30"/>
                <w:szCs w:val="30"/>
              </w:rPr>
              <w:t>4%</w:t>
            </w:r>
          </w:p>
          <w:p>
            <w:pPr>
              <w:spacing w:line="400" w:lineRule="exact"/>
              <w:jc w:val="center"/>
              <w:rPr>
                <w:rFonts w:hint="eastAsia" w:ascii="宋体" w:hAnsi="宋体"/>
                <w:sz w:val="30"/>
                <w:szCs w:val="30"/>
              </w:rPr>
            </w:pPr>
            <w:r>
              <w:rPr>
                <w:rFonts w:hint="eastAsia" w:ascii="宋体" w:hAnsi="宋体"/>
                <w:sz w:val="30"/>
                <w:szCs w:val="30"/>
              </w:rPr>
              <w:t>（不变）</w:t>
            </w:r>
          </w:p>
        </w:tc>
        <w:tc>
          <w:tcPr>
            <w:tcW w:w="2700" w:type="dxa"/>
            <w:noWrap w:val="0"/>
            <w:vAlign w:val="center"/>
          </w:tcPr>
          <w:p>
            <w:pPr>
              <w:spacing w:line="400" w:lineRule="exact"/>
              <w:jc w:val="center"/>
              <w:rPr>
                <w:rFonts w:hint="eastAsia" w:ascii="宋体" w:hAnsi="宋体"/>
                <w:sz w:val="30"/>
                <w:szCs w:val="30"/>
              </w:rPr>
            </w:pPr>
            <w:r>
              <w:rPr>
                <w:rFonts w:hint="eastAsia" w:ascii="宋体" w:hAnsi="宋体"/>
                <w:sz w:val="30"/>
                <w:szCs w:val="30"/>
              </w:rPr>
              <w:t>1300元/平方米</w:t>
            </w:r>
          </w:p>
          <w:p>
            <w:pPr>
              <w:spacing w:line="400" w:lineRule="exact"/>
              <w:jc w:val="center"/>
              <w:rPr>
                <w:rFonts w:hint="eastAsia" w:ascii="宋体" w:hAnsi="宋体"/>
                <w:sz w:val="30"/>
                <w:szCs w:val="30"/>
              </w:rPr>
            </w:pPr>
            <w:r>
              <w:rPr>
                <w:rFonts w:hint="eastAsia" w:ascii="宋体" w:hAnsi="宋体"/>
                <w:sz w:val="30"/>
                <w:szCs w:val="30"/>
              </w:rPr>
              <w:t>(不变)</w:t>
            </w:r>
          </w:p>
        </w:tc>
      </w:tr>
    </w:tbl>
    <w:p>
      <w:pPr>
        <w:spacing w:line="240" w:lineRule="exact"/>
        <w:jc w:val="left"/>
        <w:rPr>
          <w:rFonts w:hint="eastAsia" w:ascii="仿宋_GB2312" w:hAnsi="华文中宋" w:eastAsia="仿宋_GB2312"/>
          <w:sz w:val="32"/>
          <w:szCs w:val="32"/>
        </w:rPr>
      </w:pPr>
    </w:p>
    <w:p>
      <w:pPr>
        <w:spacing w:line="540" w:lineRule="exact"/>
        <w:jc w:val="left"/>
        <w:rPr>
          <w:rFonts w:hint="eastAsia" w:ascii="仿宋_GB2312" w:hAnsi="华文中宋" w:eastAsia="仿宋_GB2312"/>
          <w:sz w:val="32"/>
          <w:szCs w:val="32"/>
        </w:rPr>
      </w:pPr>
      <w:r>
        <w:rPr>
          <w:rFonts w:hint="eastAsia" w:ascii="仿宋_GB2312" w:hAnsi="华文中宋" w:eastAsia="仿宋_GB2312"/>
          <w:sz w:val="32"/>
          <w:szCs w:val="32"/>
        </w:rPr>
        <w:t>注：1.国家和省确定的人民防空重点城市、镇总体规划确定的城镇建设用地范围内以及依法设立的开发区、工业园区、保税区（港区）和重要经济目标等区域内新建（含改建、扩建，下同）地面民用建筑（即除工业生产厂房即构筑物以外的所有非生产性建筑），应当按照其一次性规划新建或新增地面总建筑的相应比例修建防空地下室；</w:t>
      </w:r>
    </w:p>
    <w:p>
      <w:pPr>
        <w:spacing w:line="540" w:lineRule="exact"/>
        <w:ind w:firstLine="645"/>
        <w:jc w:val="left"/>
        <w:rPr>
          <w:rFonts w:hint="eastAsia" w:ascii="仿宋_GB2312" w:hAnsi="华文中宋" w:eastAsia="仿宋_GB2312"/>
          <w:sz w:val="32"/>
          <w:szCs w:val="32"/>
        </w:rPr>
      </w:pPr>
      <w:r>
        <w:rPr>
          <w:rFonts w:hint="eastAsia" w:ascii="仿宋_GB2312" w:hAnsi="华文中宋" w:eastAsia="仿宋_GB2312"/>
          <w:sz w:val="32"/>
          <w:szCs w:val="32"/>
        </w:rPr>
        <w:t>2.居民住宅和其他民用建筑结建面积应当分别计算，其中新建其他民用建筑的，其一次性规划新建或者新增的地面总建筑面积小于2000平方米（不含2000平方米的），不需要执行防空地下室结建政策；</w:t>
      </w:r>
    </w:p>
    <w:p>
      <w:pPr>
        <w:spacing w:line="540" w:lineRule="exact"/>
        <w:ind w:firstLine="645"/>
        <w:jc w:val="left"/>
        <w:rPr>
          <w:rFonts w:hint="eastAsia" w:ascii="仿宋_GB2312" w:hAnsi="华文中宋" w:eastAsia="仿宋_GB2312"/>
          <w:sz w:val="32"/>
          <w:szCs w:val="32"/>
        </w:rPr>
      </w:pPr>
      <w:r>
        <w:rPr>
          <w:rFonts w:hint="eastAsia" w:ascii="仿宋_GB2312" w:hAnsi="华文中宋" w:eastAsia="仿宋_GB2312"/>
          <w:sz w:val="32"/>
          <w:szCs w:val="32"/>
        </w:rPr>
        <w:t>3.所在地块被禁止、限制开发利用地下空间的新建民用建筑，十层以上（含十层）的项目按收费标准的70%征收人防工程易地建设费，十层以下的项目按收费标准的80%征收人防工程易地建设费。</w:t>
      </w:r>
    </w:p>
    <w:p>
      <w:pPr>
        <w:spacing w:line="540" w:lineRule="exact"/>
        <w:ind w:firstLine="645"/>
        <w:jc w:val="left"/>
        <w:rPr>
          <w:rFonts w:hint="eastAsia" w:ascii="仿宋_GB2312" w:hAnsi="华文中宋" w:eastAsia="仿宋_GB2312"/>
          <w:sz w:val="32"/>
          <w:szCs w:val="32"/>
        </w:rPr>
      </w:pPr>
    </w:p>
    <w:p>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D694B"/>
    <w:rsid w:val="2DED6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2019-11-14T06:48:00Z</dcterms:created>
  <dc:creator>Administrator</dc:creator>
  <cp:lastModifiedBy>Administrator</cp:lastModifiedBy>
  <dcterms:modified xsi:type="dcterms:W3CDTF">2019-11-14T06:48:39Z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