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outlineLvl w:val="0"/>
        <w:rPr>
          <w:rFonts w:hint="eastAsia" w:eastAsia="方正小标宋简体"/>
          <w:lang w:eastAsia="zh-CN"/>
        </w:rPr>
      </w:pPr>
      <w:r>
        <w:rPr>
          <w:rFonts w:hint="eastAsia"/>
          <w:lang w:val="en-US" w:eastAsia="zh-CN"/>
        </w:rPr>
        <w:t>南浔区</w:t>
      </w:r>
      <w:r>
        <w:rPr>
          <w:rFonts w:hint="eastAsia"/>
        </w:rPr>
        <w:t>滨水空间</w:t>
      </w:r>
      <w:r>
        <w:rPr>
          <w:rFonts w:hint="eastAsia"/>
          <w:highlight w:val="none"/>
        </w:rPr>
        <w:t>开放共享</w:t>
      </w:r>
      <w:r>
        <w:rPr>
          <w:rFonts w:hint="eastAsia"/>
        </w:rPr>
        <w:t>实施</w:t>
      </w:r>
      <w:r>
        <w:rPr>
          <w:rFonts w:hint="eastAsia"/>
          <w:lang w:val="en-US" w:eastAsia="zh-CN"/>
        </w:rPr>
        <w:t>办法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试行</w:t>
      </w:r>
      <w:r>
        <w:rPr>
          <w:rFonts w:hint="eastAsia"/>
          <w:lang w:eastAsia="zh-CN"/>
        </w:rPr>
        <w:t>）</w:t>
      </w:r>
    </w:p>
    <w:p>
      <w:pPr>
        <w:ind w:firstLine="0" w:firstLineChars="0"/>
        <w:jc w:val="center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</w:t>
      </w:r>
      <w:r>
        <w:rPr>
          <w:rFonts w:hint="eastAsia" w:ascii="楷体_GB2312" w:hAnsi="楷体_GB2312" w:eastAsia="楷体_GB2312" w:cs="楷体_GB2312"/>
          <w:lang w:val="en-US" w:eastAsia="zh-CN"/>
        </w:rPr>
        <w:t>征求意见</w:t>
      </w:r>
      <w:r>
        <w:rPr>
          <w:rFonts w:hint="eastAsia" w:ascii="楷体_GB2312" w:hAnsi="楷体_GB2312" w:eastAsia="楷体_GB2312" w:cs="楷体_GB2312"/>
        </w:rPr>
        <w:t>稿）</w:t>
      </w:r>
    </w:p>
    <w:p>
      <w:pPr>
        <w:ind w:firstLine="640"/>
        <w:rPr>
          <w:rFonts w:hint="eastAsia"/>
          <w:lang w:val="en-US" w:eastAsia="zh-CN"/>
        </w:rPr>
      </w:pPr>
    </w:p>
    <w:p>
      <w:pPr>
        <w:ind w:firstLine="0" w:firstLineChars="0"/>
        <w:jc w:val="center"/>
        <w:outlineLvl w:val="0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 xml:space="preserve">第一章 </w:t>
      </w:r>
      <w:r>
        <w:rPr>
          <w:rFonts w:hint="eastAsia" w:ascii="黑体" w:hAnsi="黑体" w:eastAsia="黑体" w:cs="黑体"/>
          <w:lang w:val="en-US" w:eastAsia="zh-CN"/>
        </w:rPr>
        <w:t>总体要求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工作目的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深入贯彻《关于全面推进幸福河湖建设的意见》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（</w:t>
      </w:r>
      <w:r>
        <w:rPr>
          <w:rFonts w:hint="eastAsia" w:cs="宋体"/>
          <w:highlight w:val="none"/>
        </w:rPr>
        <w:t>水河湖〔2024〕344号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《关于</w:t>
      </w:r>
      <w:bookmarkStart w:id="6" w:name="_GoBack"/>
      <w:bookmarkEnd w:id="6"/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幸福河湖建设推进文化旅游体育融合发展的指导意见》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（</w:t>
      </w:r>
      <w:r>
        <w:rPr>
          <w:rFonts w:hint="eastAsia" w:cs="宋体"/>
          <w:highlight w:val="none"/>
        </w:rPr>
        <w:t>浙河长办〔2024〕8号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等文件精神，规范滨水空间开放共享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工作流程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，</w:t>
      </w:r>
      <w:r>
        <w:rPr>
          <w:rFonts w:hint="eastAsia" w:cs="宋体"/>
          <w:highlight w:val="none"/>
          <w:lang w:val="en-US" w:eastAsia="zh-CN"/>
        </w:rPr>
        <w:t>推动与文化旅游、体育健身等项目有机融合，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提升滨水空间公共服务属性及富民惠民功能，</w:t>
      </w:r>
      <w:r>
        <w:rPr>
          <w:rFonts w:hint="eastAsia" w:cs="宋体"/>
          <w:b w:val="0"/>
          <w:bCs w:val="0"/>
          <w:highlight w:val="none"/>
          <w:lang w:val="en-US" w:eastAsia="zh-CN"/>
        </w:rPr>
        <w:t>促进水生态产品价值实现，按照有关法律法规要求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，结合南浔区实际，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制定本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实施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办法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 w:cs="宋体"/>
          <w:b w:val="0"/>
          <w:bCs w:val="0"/>
          <w:highlight w:val="none"/>
          <w:lang w:val="en-US" w:eastAsia="zh-CN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>【名词释义】本办法所称滨水空间，是指河道、湖漾及其管理范围内的水面、岸线，以及水利工程及其管理范围。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 w:cs="宋体"/>
          <w:b w:val="0"/>
          <w:bCs w:val="0"/>
          <w:highlight w:val="none"/>
          <w:lang w:val="en-US" w:eastAsia="zh-CN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>本办法所称开放共享，是指依托河道、湖漾、水利工程管理范围内的资源环境，合理开展空间综合利用和生态价值共享，实施生态旅游、运动健身、休闲体验等公益性项目以及经营性产业开发。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 w:cs="宋体"/>
          <w:highlight w:val="none"/>
          <w:lang w:val="en-US" w:eastAsia="zh-CN"/>
        </w:rPr>
      </w:pPr>
      <w:r>
        <w:rPr>
          <w:rFonts w:hint="eastAsia" w:ascii="Times New Roman" w:hAnsi="Times New Roman" w:cs="宋体"/>
          <w:highlight w:val="none"/>
          <w:lang w:eastAsia="zh-CN"/>
        </w:rPr>
        <w:t>【</w:t>
      </w:r>
      <w:r>
        <w:rPr>
          <w:rFonts w:hint="eastAsia" w:ascii="Times New Roman" w:hAnsi="Times New Roman" w:cs="宋体"/>
          <w:highlight w:val="none"/>
          <w:lang w:val="en-US" w:eastAsia="zh-CN"/>
        </w:rPr>
        <w:t>工作原则</w:t>
      </w:r>
      <w:r>
        <w:rPr>
          <w:rFonts w:hint="eastAsia" w:ascii="Times New Roman" w:hAnsi="Times New Roman" w:cs="宋体"/>
          <w:highlight w:val="none"/>
          <w:lang w:eastAsia="zh-CN"/>
        </w:rPr>
        <w:t>】</w:t>
      </w:r>
      <w:r>
        <w:rPr>
          <w:rFonts w:hint="eastAsia" w:cs="宋体"/>
          <w:highlight w:val="none"/>
          <w:lang w:val="en-US" w:eastAsia="zh-CN"/>
        </w:rPr>
        <w:t>滨水空间开放共享应当坚持安全为本，不得影响河湖防洪安全、通航安全、生态安全和公共安全；</w:t>
      </w:r>
      <w:r>
        <w:rPr>
          <w:rFonts w:hint="eastAsia" w:ascii="Times New Roman" w:hAnsi="Times New Roman" w:cs="宋体"/>
          <w:highlight w:val="none"/>
          <w:lang w:val="en-US" w:eastAsia="zh-CN"/>
        </w:rPr>
        <w:t>坚持</w:t>
      </w:r>
      <w:r>
        <w:rPr>
          <w:rFonts w:hint="eastAsia" w:cs="宋体"/>
          <w:highlight w:val="none"/>
          <w:lang w:val="en-US" w:eastAsia="zh-CN"/>
        </w:rPr>
        <w:t>保护优先，严守水域岸线面积不减少、功能不减退的底线；坚持统筹规划，原则上符合水域岸线保护和开发利用等有关规划，促进滨水空间资源集约化、开发利用效益最大化；坚持合理利用，经营性项目原则上应按照《南浔区水生态产品交易管理办法（试行）》开展经营权交易，维护公共利益，推动惠民富民；坚持共管共享，形成政府与市场多方参与、相互促进的格局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highlight w:val="none"/>
        </w:rPr>
      </w:pPr>
      <w:r>
        <w:rPr>
          <w:rFonts w:hint="eastAsia" w:cs="宋体"/>
          <w:highlight w:val="none"/>
          <w:lang w:val="en-US" w:eastAsia="zh-CN"/>
        </w:rPr>
        <w:t>【负面清单</w:t>
      </w:r>
      <w:r>
        <w:rPr>
          <w:rFonts w:hint="eastAsia" w:ascii="Times New Roman" w:hAnsi="Times New Roman" w:cs="宋体"/>
          <w:highlight w:val="none"/>
          <w:lang w:eastAsia="zh-CN"/>
        </w:rPr>
        <w:t>】</w:t>
      </w:r>
      <w:r>
        <w:rPr>
          <w:rFonts w:hint="eastAsia" w:cs="宋体"/>
          <w:highlight w:val="none"/>
          <w:lang w:val="en-US" w:eastAsia="zh-CN"/>
        </w:rPr>
        <w:t>根据有关法律法规和规范性文件，以下区域内的滨水空间禁止开放共享：</w:t>
      </w:r>
    </w:p>
    <w:p>
      <w:pPr>
        <w:rPr>
          <w:rFonts w:hint="default" w:cs="宋体"/>
          <w:strike w:val="0"/>
          <w:highlight w:val="none"/>
          <w:u w:val="none"/>
          <w:lang w:val="en-US" w:eastAsia="zh-CN"/>
        </w:rPr>
      </w:pPr>
      <w:r>
        <w:rPr>
          <w:rFonts w:hint="eastAsia" w:cs="宋体"/>
          <w:strike w:val="0"/>
          <w:highlight w:val="none"/>
          <w:u w:val="none"/>
          <w:lang w:val="en-US" w:eastAsia="zh-CN"/>
        </w:rPr>
        <w:t>（一）生态保护红线等重点生态空间；</w:t>
      </w:r>
    </w:p>
    <w:p>
      <w:pPr>
        <w:rPr>
          <w:rFonts w:hint="default" w:cs="宋体"/>
          <w:strike w:val="0"/>
          <w:highlight w:val="none"/>
          <w:u w:val="none"/>
          <w:lang w:val="en-US" w:eastAsia="zh-CN"/>
        </w:rPr>
      </w:pPr>
      <w:r>
        <w:rPr>
          <w:rFonts w:hint="eastAsia" w:cs="宋体"/>
          <w:strike w:val="0"/>
          <w:highlight w:val="none"/>
          <w:u w:val="none"/>
          <w:lang w:val="en-US" w:eastAsia="zh-CN"/>
        </w:rPr>
        <w:t>（二）</w:t>
      </w:r>
      <w:bookmarkStart w:id="0" w:name="OLE_LINK5"/>
      <w:r>
        <w:rPr>
          <w:rFonts w:hint="eastAsia" w:cs="宋体"/>
          <w:strike w:val="0"/>
          <w:highlight w:val="none"/>
          <w:u w:val="none"/>
          <w:lang w:val="en-US" w:eastAsia="zh-CN"/>
        </w:rPr>
        <w:t>险工险段</w:t>
      </w:r>
      <w:bookmarkEnd w:id="0"/>
      <w:r>
        <w:rPr>
          <w:rFonts w:hint="eastAsia" w:cs="宋体"/>
          <w:strike w:val="0"/>
          <w:highlight w:val="none"/>
          <w:u w:val="none"/>
          <w:lang w:val="en-US" w:eastAsia="zh-CN"/>
        </w:rPr>
        <w:t>、防洪未达标区域、病险工程管理范围等风险区域；</w:t>
      </w:r>
    </w:p>
    <w:p>
      <w:pPr>
        <w:rPr>
          <w:rFonts w:hint="eastAsia" w:cs="宋体"/>
          <w:strike w:val="0"/>
          <w:highlight w:val="none"/>
          <w:u w:val="none"/>
          <w:lang w:val="en-US" w:eastAsia="zh-CN"/>
        </w:rPr>
      </w:pPr>
      <w:r>
        <w:rPr>
          <w:rFonts w:hint="eastAsia" w:cs="宋体"/>
          <w:strike w:val="0"/>
          <w:highlight w:val="none"/>
          <w:u w:val="none"/>
          <w:lang w:val="en-US" w:eastAsia="zh-CN"/>
        </w:rPr>
        <w:t>（三）闸泵启闭机、电力、通信、消防等设备管控区及防汛物料区、办公生产运行区、</w:t>
      </w:r>
      <w:bookmarkStart w:id="1" w:name="OLE_LINK6"/>
      <w:r>
        <w:rPr>
          <w:rFonts w:hint="eastAsia" w:cs="宋体"/>
          <w:strike w:val="0"/>
          <w:highlight w:val="none"/>
          <w:u w:val="none"/>
          <w:lang w:val="en-US" w:eastAsia="zh-CN"/>
        </w:rPr>
        <w:t>泄洪设施区</w:t>
      </w:r>
      <w:bookmarkEnd w:id="1"/>
      <w:r>
        <w:rPr>
          <w:rFonts w:hint="eastAsia" w:cs="宋体"/>
          <w:strike w:val="0"/>
          <w:highlight w:val="none"/>
          <w:u w:val="none"/>
          <w:lang w:val="en-US" w:eastAsia="zh-CN"/>
        </w:rPr>
        <w:t>等直接影响水利工程安全运行和人身安全的区域；</w:t>
      </w:r>
    </w:p>
    <w:p>
      <w:pPr>
        <w:rPr>
          <w:rFonts w:hint="eastAsia" w:cs="宋体"/>
          <w:strike w:val="0"/>
          <w:highlight w:val="none"/>
          <w:u w:val="none"/>
          <w:lang w:val="en-US" w:eastAsia="zh-CN"/>
        </w:rPr>
      </w:pPr>
      <w:r>
        <w:rPr>
          <w:rFonts w:hint="eastAsia" w:cs="宋体"/>
          <w:strike w:val="0"/>
          <w:highlight w:val="none"/>
          <w:u w:val="none"/>
          <w:lang w:val="en-US" w:eastAsia="zh-CN"/>
        </w:rPr>
        <w:t>（四）通航水域的主航道区域，依法划定并公告的航道设施安全保护范围；</w:t>
      </w:r>
    </w:p>
    <w:p>
      <w:pPr>
        <w:rPr>
          <w:rFonts w:hint="eastAsia" w:cs="宋体"/>
          <w:strike w:val="0"/>
          <w:highlight w:val="none"/>
          <w:u w:val="none"/>
          <w:lang w:val="en-US" w:eastAsia="zh-CN"/>
        </w:rPr>
      </w:pPr>
      <w:r>
        <w:rPr>
          <w:rFonts w:hint="eastAsia" w:cs="宋体"/>
          <w:strike w:val="0"/>
          <w:highlight w:val="none"/>
          <w:u w:val="none"/>
          <w:lang w:val="en-US" w:eastAsia="zh-CN"/>
        </w:rPr>
        <w:t>（五）法律法规规定的其他不宜开放的水域及水利工程。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 w:ascii="Times New Roman" w:hAnsi="Times New Roman" w:cs="宋体"/>
          <w:highlight w:val="none"/>
          <w:lang w:eastAsia="zh-CN"/>
        </w:rPr>
      </w:pPr>
      <w:r>
        <w:rPr>
          <w:rFonts w:hint="eastAsia" w:ascii="Times New Roman" w:hAnsi="Times New Roman" w:cs="宋体"/>
          <w:highlight w:val="none"/>
          <w:lang w:eastAsia="zh-CN"/>
        </w:rPr>
        <w:t>【</w:t>
      </w:r>
      <w:r>
        <w:rPr>
          <w:rFonts w:hint="eastAsia" w:cs="宋体"/>
          <w:highlight w:val="none"/>
          <w:lang w:val="en-US" w:eastAsia="zh-CN"/>
        </w:rPr>
        <w:t>负面行为</w:t>
      </w:r>
      <w:r>
        <w:rPr>
          <w:rFonts w:hint="eastAsia" w:ascii="Times New Roman" w:hAnsi="Times New Roman" w:cs="宋体"/>
          <w:highlight w:val="none"/>
          <w:lang w:eastAsia="zh-CN"/>
        </w:rPr>
        <w:t>】</w:t>
      </w:r>
      <w:r>
        <w:rPr>
          <w:rFonts w:hint="eastAsia" w:cs="宋体"/>
          <w:highlight w:val="none"/>
          <w:lang w:val="en-US" w:eastAsia="zh-CN"/>
        </w:rPr>
        <w:t>滨水空间内禁止下列行为</w:t>
      </w:r>
      <w:r>
        <w:rPr>
          <w:rFonts w:hint="eastAsia" w:ascii="Times New Roman" w:hAnsi="Times New Roman" w:cs="宋体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/>
          <w:strike w:val="0"/>
          <w:highlight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破坏水环境类主要包括</w:t>
      </w:r>
      <w:r>
        <w:rPr>
          <w:rFonts w:hint="eastAsia"/>
          <w:strike w:val="0"/>
          <w:highlight w:val="none"/>
          <w:lang w:val="en-US" w:eastAsia="zh-CN"/>
        </w:rPr>
        <w:t>倾倒、填埋、堆放、弃置、处理固体废物和其他污染物，导致河湖水质下降等；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default"/>
          <w:strike w:val="0"/>
          <w:highlight w:val="none"/>
          <w:lang w:val="en-US" w:eastAsia="zh-CN"/>
        </w:rPr>
      </w:pPr>
      <w:r>
        <w:rPr>
          <w:rFonts w:hint="eastAsia"/>
          <w:strike w:val="0"/>
          <w:highlight w:val="none"/>
          <w:lang w:val="en-US" w:eastAsia="zh-CN"/>
        </w:rPr>
        <w:t>（二）危及水安全类主要包括擅自侵占、填埋河湖，妨碍河道行洪、影响河势稳定、危害工程安全等；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/>
          <w:strike w:val="0"/>
          <w:highlight w:val="none"/>
          <w:lang w:val="en-US" w:eastAsia="zh-CN"/>
        </w:rPr>
      </w:pPr>
      <w:r>
        <w:rPr>
          <w:rFonts w:hint="eastAsia"/>
          <w:strike w:val="0"/>
          <w:highlight w:val="none"/>
          <w:lang w:eastAsia="zh-CN"/>
        </w:rPr>
        <w:t>（</w:t>
      </w:r>
      <w:r>
        <w:rPr>
          <w:rFonts w:hint="eastAsia"/>
          <w:strike w:val="0"/>
          <w:highlight w:val="none"/>
          <w:lang w:val="en-US" w:eastAsia="zh-CN"/>
        </w:rPr>
        <w:t>三</w:t>
      </w:r>
      <w:r>
        <w:rPr>
          <w:rFonts w:hint="eastAsia"/>
          <w:strike w:val="0"/>
          <w:highlight w:val="none"/>
          <w:lang w:eastAsia="zh-CN"/>
        </w:rPr>
        <w:t>）</w:t>
      </w:r>
      <w:r>
        <w:rPr>
          <w:rFonts w:hint="eastAsia"/>
          <w:strike w:val="0"/>
          <w:highlight w:val="none"/>
          <w:lang w:val="en-US" w:eastAsia="zh-CN"/>
        </w:rPr>
        <w:t>影响水生态类主要包括破坏河湖自然形态和生物多样性，侵占生物栖息地等；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default"/>
          <w:highlight w:val="none"/>
          <w:lang w:val="en-US" w:eastAsia="zh-CN"/>
        </w:rPr>
      </w:pPr>
      <w:r>
        <w:rPr>
          <w:rFonts w:hint="eastAsia"/>
          <w:strike w:val="0"/>
          <w:highlight w:val="none"/>
          <w:lang w:val="en-US" w:eastAsia="zh-CN"/>
        </w:rPr>
        <w:t>（四</w:t>
      </w:r>
      <w:r>
        <w:rPr>
          <w:rFonts w:hint="eastAsia"/>
          <w:strike w:val="0"/>
          <w:highlight w:val="none"/>
          <w:lang w:eastAsia="zh-CN"/>
        </w:rPr>
        <w:t>）</w:t>
      </w:r>
      <w:r>
        <w:rPr>
          <w:rFonts w:hint="eastAsia"/>
          <w:strike w:val="0"/>
          <w:highlight w:val="none"/>
          <w:lang w:val="en-US" w:eastAsia="zh-CN"/>
        </w:rPr>
        <w:t>妨碍航运类主要包括</w:t>
      </w:r>
      <w:r>
        <w:rPr>
          <w:rFonts w:hint="eastAsia"/>
          <w:highlight w:val="none"/>
          <w:lang w:val="en-US" w:eastAsia="zh-CN"/>
        </w:rPr>
        <w:t>违反禁行或者限行规定行驶船舶，影响通航建筑物正常运行等；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highlight w:val="none"/>
          <w:lang w:val="en-US" w:eastAsia="zh-CN"/>
        </w:rPr>
        <w:t>（五）法律、法规规定的其他情形。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 w:ascii="Times New Roman" w:hAnsi="Times New Roman" w:cs="宋体"/>
          <w:highlight w:val="none"/>
          <w:lang w:eastAsia="zh-CN"/>
        </w:rPr>
        <w:t>【</w:t>
      </w:r>
      <w:r>
        <w:rPr>
          <w:rFonts w:hint="eastAsia" w:cs="宋体"/>
          <w:highlight w:val="none"/>
          <w:lang w:val="en-US" w:eastAsia="zh-CN"/>
        </w:rPr>
        <w:t>活动管理</w:t>
      </w:r>
      <w:r>
        <w:rPr>
          <w:rFonts w:hint="eastAsia" w:ascii="Times New Roman" w:hAnsi="Times New Roman" w:cs="宋体"/>
          <w:highlight w:val="none"/>
          <w:lang w:eastAsia="zh-CN"/>
        </w:rPr>
        <w:t>】</w:t>
      </w:r>
      <w:r>
        <w:rPr>
          <w:rFonts w:hint="eastAsia" w:cs="宋体"/>
          <w:highlight w:val="none"/>
          <w:lang w:val="en-US" w:eastAsia="zh-CN"/>
        </w:rPr>
        <w:t>在开放共享的滨水空间内实施经营性产业开发项目或活动，</w:t>
      </w:r>
      <w:r>
        <w:rPr>
          <w:rFonts w:hint="eastAsia" w:ascii="Times New Roman" w:hAnsi="Times New Roman" w:cs="宋体"/>
          <w:highlight w:val="none"/>
          <w:lang w:val="en-US" w:eastAsia="zh-CN"/>
        </w:rPr>
        <w:t>应当依法办理审批手续，事先报经区水行政主管部门批准，并按照批准的范围和方式实施</w:t>
      </w:r>
      <w:r>
        <w:rPr>
          <w:rFonts w:hint="eastAsia" w:ascii="Times New Roman" w:hAnsi="Times New Roman" w:cs="宋体"/>
          <w:highlight w:val="none"/>
          <w:lang w:eastAsia="zh-CN"/>
        </w:rPr>
        <w:t>。涉及其他部门的，</w:t>
      </w:r>
      <w:r>
        <w:rPr>
          <w:rFonts w:hint="eastAsia" w:ascii="Times New Roman" w:hAnsi="Times New Roman" w:cs="宋体"/>
          <w:highlight w:val="none"/>
          <w:lang w:val="en-US" w:eastAsia="zh-CN"/>
        </w:rPr>
        <w:t>须取得</w:t>
      </w:r>
      <w:r>
        <w:rPr>
          <w:rFonts w:hint="eastAsia" w:ascii="Times New Roman" w:hAnsi="Times New Roman" w:cs="宋体"/>
          <w:highlight w:val="none"/>
          <w:lang w:eastAsia="zh-CN"/>
        </w:rPr>
        <w:t>有关部门批准。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 w:cs="宋体"/>
          <w:b w:val="0"/>
          <w:bCs w:val="0"/>
          <w:highlight w:val="none"/>
          <w:lang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工作要求</w:t>
      </w:r>
      <w:r>
        <w:rPr>
          <w:rFonts w:hint="eastAsia" w:cs="宋体"/>
          <w:b w:val="0"/>
          <w:bCs w:val="0"/>
          <w:highlight w:val="none"/>
          <w:lang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滨水空间开放共享项目（活动）管理应融入南浔区涉水建设项目多部门监管联动机制，落实预审指导、审批优化、联审联办，提升服务质效。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outlineLvl w:val="9"/>
        <w:rPr>
          <w:rFonts w:hint="eastAsia"/>
          <w:lang w:val="en-US" w:eastAsia="zh-CN"/>
        </w:rPr>
      </w:pPr>
    </w:p>
    <w:p>
      <w:pPr>
        <w:ind w:firstLine="0" w:firstLineChars="0"/>
        <w:jc w:val="center"/>
        <w:outlineLvl w:val="0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第</w:t>
      </w:r>
      <w:r>
        <w:rPr>
          <w:rFonts w:hint="eastAsia" w:ascii="黑体" w:hAnsi="黑体" w:eastAsia="黑体" w:cs="黑体"/>
          <w:lang w:val="en-US" w:eastAsia="zh-CN"/>
        </w:rPr>
        <w:t>二</w:t>
      </w:r>
      <w:r>
        <w:rPr>
          <w:rFonts w:hint="eastAsia" w:ascii="黑体" w:hAnsi="黑体" w:eastAsia="黑体" w:cs="黑体"/>
        </w:rPr>
        <w:t xml:space="preserve">章 </w:t>
      </w:r>
      <w:r>
        <w:rPr>
          <w:rFonts w:hint="eastAsia" w:ascii="黑体" w:hAnsi="黑体" w:eastAsia="黑体" w:cs="黑体"/>
          <w:lang w:val="en-US" w:eastAsia="zh-CN"/>
        </w:rPr>
        <w:t>工作流程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方案编制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滨水空间</w:t>
      </w:r>
      <w:bookmarkStart w:id="2" w:name="OLE_LINK7"/>
      <w:r>
        <w:rPr>
          <w:rFonts w:hint="eastAsia" w:cs="宋体"/>
          <w:b w:val="0"/>
          <w:bCs w:val="0"/>
          <w:highlight w:val="none"/>
          <w:lang w:val="en-US" w:eastAsia="zh-CN"/>
        </w:rPr>
        <w:t>开放共享项目</w:t>
      </w:r>
      <w:bookmarkEnd w:id="2"/>
      <w:r>
        <w:rPr>
          <w:rFonts w:hint="eastAsia" w:cs="宋体"/>
          <w:b w:val="0"/>
          <w:bCs w:val="0"/>
          <w:highlight w:val="none"/>
          <w:lang w:val="en-US" w:eastAsia="zh-CN"/>
        </w:rPr>
        <w:t>（活动）主体应组织编制项目建设（活动）方案，明确项目选址及范围、规划设计布局、资源资产保护利用、配套设施建设、实施影响分析、安全保护措施、运营主体资信资质能力及责任落实、实施进度与运营期限及预期效果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预审指导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项目（活动）主体填写预审征求意见表后，提交至区水行政主管部门。区水行政主管部门会同属地镇街和有关部门提前介入、信息共享，</w:t>
      </w:r>
      <w:r>
        <w:rPr>
          <w:rFonts w:hint="eastAsia"/>
          <w:lang w:val="en-US" w:eastAsia="zh-CN"/>
        </w:rPr>
        <w:t>加强方案优化和审批指导，在5个工作日内将相关意见和审批事项全面告知项目（活动）主体。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主体申请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eastAsia"/>
          <w:lang w:val="en-US" w:eastAsia="zh-CN"/>
        </w:rPr>
        <w:t>项目（活动）主体根据</w:t>
      </w:r>
      <w:r>
        <w:rPr>
          <w:rFonts w:hint="eastAsia" w:cs="宋体"/>
          <w:b w:val="0"/>
          <w:bCs w:val="0"/>
          <w:highlight w:val="none"/>
          <w:lang w:val="en-US" w:eastAsia="zh-CN"/>
        </w:rPr>
        <w:t>预审</w:t>
      </w:r>
      <w:r>
        <w:rPr>
          <w:rFonts w:hint="eastAsia"/>
          <w:lang w:val="en-US" w:eastAsia="zh-CN"/>
        </w:rPr>
        <w:t>意见，完善项目建设（活动）方案，严格按照涉河涉堤建设项目、河道管理范围有关活动等行政许可要求，编制相关许可报批材料，填写审核申请表，报请区水行政主管部门会同属地镇街和有关部门开展审核。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简易审批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对河道行洪、河势稳定、水利规划实施、水利工程安全等无影响或影响较小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，符合下列条件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的项目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（活动）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，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实行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“简易审批”</w:t>
      </w:r>
      <w:r>
        <w:rPr>
          <w:rFonts w:hint="eastAsia" w:cs="宋体"/>
          <w:b w:val="0"/>
          <w:bCs w:val="0"/>
          <w:highlight w:val="none"/>
          <w:lang w:val="en-US" w:eastAsia="zh-CN"/>
        </w:rPr>
        <w:t>程序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，可填写防洪评价报告表替代防洪评价报告书。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（一）跨河项目一跨跨越河道现状及规划管理范围且梁底</w:t>
      </w:r>
      <w:r>
        <w:rPr>
          <w:rFonts w:hint="eastAsia"/>
          <w:highlight w:val="none"/>
          <w:lang w:val="en-US" w:eastAsia="zh-CN"/>
        </w:rPr>
        <w:t>、管底</w:t>
      </w:r>
      <w:r>
        <w:rPr>
          <w:rFonts w:hint="eastAsia"/>
          <w:lang w:val="en-US" w:eastAsia="zh-CN"/>
        </w:rPr>
        <w:t>高程满足安全行洪要求，不涉及水域和水利工程占用。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（二）下穿管线（取、排水口）项目，出入土点（工作井）位于河道管理范围以外，且管线穿越段管顶最小埋深满足技术要求。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（三）在河道管理范围内临时占用水域较少，汛前可恢复，如亲水台阶、块石钓台等具有一定亲水性的简易设施。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（四）在河道管理范围内不涉及占用水域，不影响水利工程安全运行，如滨水绿道、可移动的简易露营装备、小体量的公共卫生设施。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default" w:eastAsia="仿宋_GB2312"/>
          <w:lang w:val="en-US" w:eastAsia="zh-CN"/>
        </w:rPr>
      </w:pP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联审联办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区水行政主管部门</w:t>
      </w:r>
      <w:r>
        <w:rPr>
          <w:rFonts w:hint="eastAsia"/>
          <w:lang w:val="en-US" w:eastAsia="zh-CN"/>
        </w:rPr>
        <w:t>应在收到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审核申请表后7</w:t>
      </w:r>
      <w:r>
        <w:rPr>
          <w:rFonts w:hint="eastAsia"/>
          <w:lang w:val="en-US" w:eastAsia="zh-CN"/>
        </w:rPr>
        <w:t>个工作日内，组织属地镇街和有关部门对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滨水空间开放共享项目（活动）方案、主体资信资质能力及相关许可报批材料</w:t>
      </w:r>
      <w:r>
        <w:rPr>
          <w:rFonts w:hint="eastAsia"/>
          <w:lang w:val="en-US" w:eastAsia="zh-CN"/>
        </w:rPr>
        <w:t>开展联合审查；审查后7个工作日内提出联合审核意见；项目（活动）主体根据意见修改完善后，有关部门予以确认和批准。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highlight w:val="none"/>
        </w:rPr>
      </w:pP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【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实施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要求】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项目（活动）主体应严格按照批复的项目建设方案和有关活动许可执行，规范项目建设和活动开展，</w:t>
      </w:r>
      <w:r>
        <w:rPr>
          <w:rFonts w:hint="eastAsia"/>
          <w:lang w:val="en-US" w:eastAsia="zh-CN"/>
        </w:rPr>
        <w:t>完善安全和配套措施</w:t>
      </w:r>
      <w:r>
        <w:rPr>
          <w:rFonts w:hint="eastAsia" w:cs="宋体"/>
          <w:b w:val="0"/>
          <w:bCs w:val="0"/>
          <w:highlight w:val="none"/>
          <w:lang w:val="en-US" w:eastAsia="zh-CN"/>
        </w:rPr>
        <w:t>。若项目（活动）内容发生重大变化且造成新的不利影响的，应报原审批部门重新审批。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highlight w:val="none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>【退出机制】</w:t>
      </w:r>
      <w:bookmarkStart w:id="3" w:name="OLE_LINK1"/>
      <w:r>
        <w:rPr>
          <w:rFonts w:hint="eastAsia" w:cs="宋体"/>
          <w:b w:val="0"/>
          <w:bCs w:val="0"/>
          <w:highlight w:val="none"/>
          <w:lang w:val="en-US" w:eastAsia="zh-CN"/>
        </w:rPr>
        <w:t>滨水空间开放共享项目</w:t>
      </w:r>
      <w:bookmarkEnd w:id="3"/>
      <w:r>
        <w:rPr>
          <w:rFonts w:hint="eastAsia" w:cs="宋体"/>
          <w:b w:val="0"/>
          <w:bCs w:val="0"/>
          <w:highlight w:val="none"/>
          <w:lang w:val="en-US" w:eastAsia="zh-CN"/>
        </w:rPr>
        <w:t>实行动态调整制度。对涉及出现上级通报问题、安全生产事故、引发不良舆情等问题的项目，由行业行政主管部门进行整改指导，整改到位后方可继续运营；限期整改不到位的项目应在完成空间复原后退出运营。</w:t>
      </w:r>
    </w:p>
    <w:p>
      <w:pPr>
        <w:bidi w:val="0"/>
      </w:pPr>
    </w:p>
    <w:p>
      <w:pPr>
        <w:ind w:firstLine="0" w:firstLineChars="0"/>
        <w:jc w:val="center"/>
        <w:outlineLvl w:val="0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第</w:t>
      </w:r>
      <w:r>
        <w:rPr>
          <w:rFonts w:hint="eastAsia" w:ascii="黑体" w:hAnsi="黑体" w:eastAsia="黑体" w:cs="黑体"/>
          <w:lang w:val="en-US" w:eastAsia="zh-CN"/>
        </w:rPr>
        <w:t>三</w:t>
      </w:r>
      <w:r>
        <w:rPr>
          <w:rFonts w:hint="eastAsia" w:ascii="黑体" w:hAnsi="黑体" w:eastAsia="黑体" w:cs="黑体"/>
        </w:rPr>
        <w:t xml:space="preserve">章 </w:t>
      </w:r>
      <w:r>
        <w:rPr>
          <w:rFonts w:hint="eastAsia" w:ascii="黑体" w:hAnsi="黑体" w:eastAsia="黑体" w:cs="黑体"/>
          <w:lang w:val="en-US" w:eastAsia="zh-CN"/>
        </w:rPr>
        <w:t>运行管理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主体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责任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遵循“谁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所有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、谁负责”“谁经营、谁负责”“谁受益、谁负责”原则，</w:t>
      </w:r>
      <w:bookmarkStart w:id="4" w:name="OLE_LINK3"/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项目经营主体</w:t>
      </w:r>
      <w:bookmarkEnd w:id="4"/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是开放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共享项目的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安全、管理、养护等第一责任</w:t>
      </w:r>
      <w:r>
        <w:rPr>
          <w:rFonts w:hint="eastAsia" w:cs="宋体"/>
          <w:b w:val="0"/>
          <w:bCs w:val="0"/>
          <w:highlight w:val="none"/>
          <w:lang w:val="en-US" w:eastAsia="zh-CN"/>
        </w:rPr>
        <w:t>人。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9"/>
        <w:rPr>
          <w:rFonts w:ascii="Times New Roman" w:hAnsi="Times New Roman" w:cs="宋体"/>
          <w:b w:val="0"/>
          <w:bCs w:val="0"/>
          <w:highlight w:val="none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>项目运营前，经营主体应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建立健全安全保障体系、安全风险管控和隐患排查整改机制，制定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安全生产运营、度汛等专项预案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并定期演练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，取得相关营业许可。项目运营期间，经营主体应严格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履行安全保障义务</w:t>
      </w:r>
      <w:r>
        <w:rPr>
          <w:rFonts w:hint="eastAsia" w:cs="宋体"/>
          <w:b w:val="0"/>
          <w:bCs w:val="0"/>
          <w:highlight w:val="none"/>
          <w:lang w:val="en-US" w:eastAsia="zh-CN"/>
        </w:rPr>
        <w:t>，加强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培训</w:t>
      </w:r>
      <w:r>
        <w:rPr>
          <w:rFonts w:hint="eastAsia" w:cs="宋体"/>
          <w:b w:val="0"/>
          <w:bCs w:val="0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规范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日常巡查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，发现问题及时上报并在自身能力范围内第一时间处</w:t>
      </w:r>
      <w:r>
        <w:rPr>
          <w:rFonts w:hint="eastAsia" w:cs="宋体"/>
          <w:b w:val="0"/>
          <w:bCs w:val="0"/>
          <w:highlight w:val="none"/>
          <w:lang w:val="en-US" w:eastAsia="zh-CN"/>
        </w:rPr>
        <w:t>置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，服从相关部门</w:t>
      </w:r>
      <w:r>
        <w:rPr>
          <w:rFonts w:hint="eastAsia" w:cs="宋体"/>
          <w:b w:val="0"/>
          <w:bCs w:val="0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工程调度、防汛检查、工程维修等工作。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b w:val="0"/>
          <w:bCs w:val="0"/>
          <w:highlight w:val="none"/>
        </w:rPr>
      </w:pPr>
      <w:r>
        <w:rPr>
          <w:rFonts w:hint="eastAsia" w:ascii="Times New Roman" w:hAnsi="Times New Roman" w:cs="宋体"/>
          <w:b w:val="0"/>
          <w:bCs w:val="0"/>
          <w:highlight w:val="none"/>
          <w:lang w:eastAsia="zh-CN"/>
        </w:rPr>
        <w:t>【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镇街监管责任</w:t>
      </w:r>
      <w:r>
        <w:rPr>
          <w:rFonts w:hint="eastAsia" w:ascii="Times New Roman" w:hAnsi="Times New Roman" w:cs="宋体"/>
          <w:b w:val="0"/>
          <w:bCs w:val="0"/>
          <w:highlight w:val="none"/>
          <w:lang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属地镇街应与滨水空间开放共享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项目经营主体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建立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常态化联络机制，负责辖区内</w:t>
      </w:r>
      <w:r>
        <w:rPr>
          <w:rFonts w:hint="eastAsia" w:cs="宋体"/>
          <w:b w:val="0"/>
          <w:bCs w:val="0"/>
          <w:highlight w:val="none"/>
          <w:lang w:val="en-US" w:eastAsia="zh-CN"/>
        </w:rPr>
        <w:t>滨水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空间开放共享项目</w:t>
      </w:r>
      <w:r>
        <w:rPr>
          <w:rFonts w:hint="eastAsia" w:cs="宋体"/>
          <w:b w:val="0"/>
          <w:bCs w:val="0"/>
          <w:highlight w:val="none"/>
          <w:lang w:val="en-US" w:eastAsia="zh-CN"/>
        </w:rPr>
        <w:t>运营的监督管理。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ascii="Times New Roman" w:hAnsi="Times New Roman" w:cs="宋体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【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val="en-US" w:eastAsia="zh-CN"/>
        </w:rPr>
        <w:t>行业监管责任</w:t>
      </w:r>
      <w:r>
        <w:rPr>
          <w:rFonts w:hint="default" w:ascii="Times New Roman" w:hAnsi="Times New Roman" w:eastAsia="仿宋_GB2312" w:cs="宋体"/>
          <w:b w:val="0"/>
          <w:bCs w:val="0"/>
          <w:highlight w:val="none"/>
          <w:lang w:eastAsia="zh-CN"/>
        </w:rPr>
        <w:t>】</w:t>
      </w:r>
      <w:r>
        <w:rPr>
          <w:rFonts w:hint="eastAsia" w:cs="宋体"/>
          <w:b w:val="0"/>
          <w:bCs w:val="0"/>
          <w:highlight w:val="none"/>
          <w:lang w:val="en-US" w:eastAsia="zh-CN"/>
        </w:rPr>
        <w:t>区相关行业行政主管部门应加强</w:t>
      </w:r>
      <w:bookmarkStart w:id="5" w:name="OLE_LINK4"/>
      <w:r>
        <w:rPr>
          <w:rFonts w:hint="eastAsia" w:cs="宋体"/>
          <w:b w:val="0"/>
          <w:bCs w:val="0"/>
          <w:highlight w:val="none"/>
          <w:lang w:val="en-US" w:eastAsia="zh-CN"/>
        </w:rPr>
        <w:t>滨水空间开放共享</w:t>
      </w:r>
      <w:bookmarkEnd w:id="5"/>
      <w:r>
        <w:rPr>
          <w:rFonts w:hint="eastAsia" w:cs="宋体"/>
          <w:b w:val="0"/>
          <w:bCs w:val="0"/>
          <w:highlight w:val="none"/>
          <w:lang w:val="en-US" w:eastAsia="zh-CN"/>
        </w:rPr>
        <w:t>项目的批后跟踪服务，落实行业监管责任。</w:t>
      </w: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jc w:val="center"/>
        <w:outlineLvl w:val="0"/>
        <w:rPr>
          <w:rFonts w:hint="default" w:ascii="黑体" w:hAnsi="黑体" w:eastAsia="黑体" w:cs="黑体"/>
          <w:highlight w:val="none"/>
          <w:lang w:val="en-US" w:eastAsia="zh-CN"/>
        </w:rPr>
      </w:pPr>
      <w:r>
        <w:rPr>
          <w:rFonts w:hint="eastAsia" w:ascii="黑体" w:hAnsi="黑体" w:eastAsia="黑体" w:cs="黑体"/>
          <w:highlight w:val="none"/>
          <w:lang w:val="en-US" w:eastAsia="zh-CN"/>
        </w:rPr>
        <w:t>第四章 附则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default" w:ascii="Times New Roman" w:hAnsi="Times New Roman" w:cs="宋体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cs="宋体"/>
          <w:b w:val="0"/>
          <w:bCs w:val="0"/>
          <w:highlight w:val="none"/>
          <w:lang w:val="en-US" w:eastAsia="zh-CN"/>
        </w:rPr>
        <w:t>本办法由</w:t>
      </w: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t>南浔区人民政府</w:t>
      </w:r>
      <w:r>
        <w:rPr>
          <w:rFonts w:hint="default" w:ascii="Times New Roman" w:hAnsi="Times New Roman" w:cs="宋体"/>
          <w:b w:val="0"/>
          <w:bCs w:val="0"/>
          <w:highlight w:val="none"/>
          <w:lang w:val="en-US" w:eastAsia="zh-CN"/>
        </w:rPr>
        <w:t>负责解释</w:t>
      </w:r>
      <w:r>
        <w:rPr>
          <w:rFonts w:hint="eastAsia" w:cs="宋体"/>
          <w:b w:val="0"/>
          <w:bCs w:val="0"/>
          <w:highlight w:val="none"/>
          <w:lang w:val="en-US" w:eastAsia="zh-CN"/>
        </w:rPr>
        <w:t>。</w:t>
      </w:r>
      <w:r>
        <w:rPr>
          <w:rFonts w:hint="default" w:ascii="Times New Roman" w:hAnsi="Times New Roman" w:cs="宋体"/>
          <w:b w:val="0"/>
          <w:bCs w:val="0"/>
          <w:highlight w:val="none"/>
          <w:lang w:val="en-US" w:eastAsia="zh-CN"/>
        </w:rPr>
        <w:t>本办法未尽事宜，按照相关法律法规和规章制度执行。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textAlignment w:val="auto"/>
        <w:outlineLvl w:val="1"/>
        <w:rPr>
          <w:rFonts w:hint="default" w:ascii="Times New Roman" w:hAnsi="Times New Roman" w:cs="宋体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cs="宋体"/>
          <w:b w:val="0"/>
          <w:bCs w:val="0"/>
          <w:highlight w:val="none"/>
          <w:lang w:val="en-US" w:eastAsia="zh-CN"/>
        </w:rPr>
        <w:t>本办法自发布之日起施行。</w:t>
      </w:r>
    </w:p>
    <w:p>
      <w:pP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cs="宋体"/>
          <w:b w:val="0"/>
          <w:bCs w:val="0"/>
          <w:highlight w:val="none"/>
          <w:lang w:val="en-US" w:eastAsia="zh-CN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>附件：1.南浔区滨水空间开放共享项目实施管理流程图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cs="宋体"/>
          <w:b w:val="0"/>
          <w:bCs w:val="0"/>
          <w:highlight w:val="none"/>
          <w:lang w:val="en-US" w:eastAsia="zh-CN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 xml:space="preserve">      2.南浔区滨水空间开放共享项目审批征求意见表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outlineLvl w:val="0"/>
        <w:rPr>
          <w:rFonts w:hint="eastAsia" w:cs="宋体"/>
          <w:b w:val="0"/>
          <w:bCs w:val="0"/>
          <w:highlight w:val="none"/>
          <w:lang w:val="en-US" w:eastAsia="zh-CN"/>
        </w:rPr>
      </w:pPr>
      <w:r>
        <w:rPr>
          <w:rFonts w:hint="eastAsia" w:cs="宋体"/>
          <w:b w:val="0"/>
          <w:bCs w:val="0"/>
          <w:highlight w:val="none"/>
          <w:lang w:val="en-US" w:eastAsia="zh-CN"/>
        </w:rPr>
        <w:t>3.南浔区滨水空间开放共享项目审核申请表</w:t>
      </w:r>
    </w:p>
    <w:p>
      <w:pP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</w:pPr>
      <w:r>
        <w:rPr>
          <w:rFonts w:hint="eastAsia" w:ascii="Times New Roman" w:hAnsi="Times New Roman" w:cs="宋体"/>
          <w:b w:val="0"/>
          <w:bCs w:val="0"/>
          <w:highlight w:val="none"/>
          <w:lang w:val="en-US" w:eastAsia="zh-CN"/>
        </w:rPr>
        <w:br w:type="page"/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25"/>
        <w:bidi w:val="0"/>
        <w:rPr>
          <w:rFonts w:hint="eastAsia"/>
          <w:lang w:val="en-US" w:eastAsia="zh-CN"/>
        </w:rPr>
      </w:pPr>
      <w:r>
        <w:rPr>
          <w:rFonts w:hint="eastAsia"/>
          <w:spacing w:val="1"/>
          <w:w w:val="95"/>
          <w:kern w:val="0"/>
          <w:fitText w:val="8360" w:id="1795055941"/>
          <w:lang w:val="en-US" w:eastAsia="zh-CN"/>
        </w:rPr>
        <w:t>南浔区滨水空间开放共享项目实施管理流程</w:t>
      </w:r>
      <w:r>
        <w:rPr>
          <w:rFonts w:hint="eastAsia"/>
          <w:spacing w:val="2"/>
          <w:w w:val="95"/>
          <w:kern w:val="0"/>
          <w:fitText w:val="8360" w:id="1795055941"/>
          <w:lang w:val="en-US" w:eastAsia="zh-CN"/>
        </w:rPr>
        <w:t>图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43475" cy="6524625"/>
            <wp:effectExtent l="0" t="0" r="0" b="9525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ind w:firstLine="640"/>
        <w:sectPr>
          <w:footerReference r:id="rId5" w:type="default"/>
          <w:pgSz w:w="11906" w:h="16838"/>
          <w:pgMar w:top="1644" w:right="1644" w:bottom="1644" w:left="1644" w:header="1134" w:footer="1191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</w:p>
    <w:p>
      <w:pPr>
        <w:rPr>
          <w:rFonts w:hint="eastAsia"/>
          <w:lang w:val="en-US" w:eastAsia="zh-CN"/>
        </w:rPr>
      </w:pPr>
    </w:p>
    <w:p>
      <w:pPr>
        <w:pStyle w:val="25"/>
        <w:outlineLvl w:val="0"/>
        <w:rPr>
          <w:w w:val="90"/>
        </w:rPr>
      </w:pPr>
      <w:r>
        <w:rPr>
          <w:rFonts w:hint="eastAsia"/>
          <w:w w:val="90"/>
          <w:lang w:val="en-US" w:eastAsia="zh-CN"/>
        </w:rPr>
        <w:t>南浔区</w:t>
      </w:r>
      <w:r>
        <w:rPr>
          <w:rFonts w:hint="eastAsia"/>
          <w:w w:val="90"/>
        </w:rPr>
        <w:t>滨水空间</w:t>
      </w:r>
      <w:r>
        <w:rPr>
          <w:w w:val="90"/>
        </w:rPr>
        <w:t>开放共享项目</w:t>
      </w:r>
      <w:r>
        <w:rPr>
          <w:rFonts w:hint="eastAsia"/>
          <w:w w:val="90"/>
          <w:lang w:val="en-US" w:eastAsia="zh-CN"/>
        </w:rPr>
        <w:t>预审意见征求</w:t>
      </w:r>
      <w:r>
        <w:rPr>
          <w:w w:val="90"/>
        </w:rPr>
        <w:t>表</w:t>
      </w:r>
    </w:p>
    <w:tbl>
      <w:tblPr>
        <w:tblStyle w:val="19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223"/>
        <w:gridCol w:w="1231"/>
        <w:gridCol w:w="3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566" w:type="dxa"/>
            <w:gridSpan w:val="3"/>
            <w:vAlign w:val="center"/>
          </w:tcPr>
          <w:p>
            <w:pPr>
              <w:pStyle w:val="26"/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3223" w:type="dxa"/>
            <w:vAlign w:val="center"/>
          </w:tcPr>
          <w:p>
            <w:pPr>
              <w:pStyle w:val="26"/>
              <w:spacing w:line="300" w:lineRule="exact"/>
            </w:pPr>
          </w:p>
        </w:tc>
        <w:tc>
          <w:tcPr>
            <w:tcW w:w="1231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申请主体</w:t>
            </w:r>
          </w:p>
        </w:tc>
        <w:tc>
          <w:tcPr>
            <w:tcW w:w="3112" w:type="dxa"/>
            <w:vAlign w:val="center"/>
          </w:tcPr>
          <w:p>
            <w:pPr>
              <w:pStyle w:val="26"/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项目负责人</w:t>
            </w:r>
          </w:p>
        </w:tc>
        <w:tc>
          <w:tcPr>
            <w:tcW w:w="3223" w:type="dxa"/>
            <w:vAlign w:val="center"/>
          </w:tcPr>
          <w:p>
            <w:pPr>
              <w:pStyle w:val="26"/>
              <w:spacing w:line="300" w:lineRule="exact"/>
            </w:pPr>
          </w:p>
        </w:tc>
        <w:tc>
          <w:tcPr>
            <w:tcW w:w="1231" w:type="dxa"/>
            <w:vAlign w:val="center"/>
          </w:tcPr>
          <w:p>
            <w:pPr>
              <w:pStyle w:val="26"/>
              <w:spacing w:line="300" w:lineRule="exact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  <w:tc>
          <w:tcPr>
            <w:tcW w:w="3112" w:type="dxa"/>
            <w:vAlign w:val="center"/>
          </w:tcPr>
          <w:p>
            <w:pPr>
              <w:pStyle w:val="26"/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申报材料</w:t>
            </w:r>
          </w:p>
        </w:tc>
        <w:tc>
          <w:tcPr>
            <w:tcW w:w="7566" w:type="dxa"/>
            <w:gridSpan w:val="3"/>
            <w:vAlign w:val="center"/>
          </w:tcPr>
          <w:p>
            <w:pPr>
              <w:pStyle w:val="26"/>
              <w:spacing w:line="300" w:lineRule="exact"/>
              <w:jc w:val="both"/>
              <w:rPr>
                <w:rFonts w:hint="eastAsia" w:ascii="MS Gothic" w:hAnsi="MS Gothic"/>
              </w:rPr>
            </w:pP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项目建设</w:t>
            </w:r>
            <w:r>
              <w:rPr>
                <w:rFonts w:hint="eastAsia" w:ascii="MS Gothic" w:hAnsi="MS Gothic"/>
                <w:lang w:eastAsia="zh-CN"/>
              </w:rPr>
              <w:t>（</w:t>
            </w:r>
            <w:r>
              <w:rPr>
                <w:rFonts w:hint="eastAsia" w:ascii="MS Gothic" w:hAnsi="MS Gothic"/>
                <w:lang w:val="en-US" w:eastAsia="zh-CN"/>
              </w:rPr>
              <w:t>活动</w:t>
            </w:r>
            <w:r>
              <w:rPr>
                <w:rFonts w:hint="eastAsia" w:ascii="MS Gothic" w:hAnsi="MS Gothic"/>
                <w:lang w:eastAsia="zh-CN"/>
              </w:rPr>
              <w:t>）</w:t>
            </w:r>
            <w:r>
              <w:rPr>
                <w:rFonts w:hint="eastAsia" w:ascii="MS Gothic" w:hAnsi="MS Gothic"/>
              </w:rPr>
              <w:t>方案；</w:t>
            </w: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项目建设红线范围（矢量图）；</w:t>
            </w:r>
          </w:p>
          <w:p>
            <w:pPr>
              <w:pStyle w:val="26"/>
              <w:spacing w:line="300" w:lineRule="exact"/>
              <w:jc w:val="both"/>
            </w:pP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其他：＿＿＿＿＿＿＿。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9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属地镇街及部门意见</w:t>
            </w:r>
          </w:p>
        </w:tc>
        <w:tc>
          <w:tcPr>
            <w:tcW w:w="7566" w:type="dxa"/>
            <w:gridSpan w:val="3"/>
            <w:vAlign w:val="center"/>
          </w:tcPr>
          <w:p>
            <w:pPr>
              <w:pStyle w:val="26"/>
              <w:spacing w:line="300" w:lineRule="exact"/>
              <w:ind w:firstLine="0" w:firstLineChars="0"/>
              <w:jc w:val="both"/>
              <w:rPr>
                <w:rFonts w:hint="eastAsia" w:ascii="Times New Roman" w:hAnsi="Times New Roman" w:eastAsia="仿宋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spacing w:line="360" w:lineRule="exact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24"/>
          <w:szCs w:val="24"/>
          <w:lang w:val="en-US" w:eastAsia="zh-CN" w:bidi="ar-SA"/>
        </w:rPr>
        <w:t>注：有关单位根据申报材料，对项目建设（活动）方案提出优化意见，并说明须办理的审批事项。</w:t>
      </w:r>
      <w:r>
        <w:rPr>
          <w:rFonts w:hint="eastAsia"/>
          <w:lang w:val="en-US" w:eastAsia="zh-CN"/>
        </w:rPr>
        <w:br w:type="page"/>
      </w:r>
    </w:p>
    <w:p>
      <w:pPr>
        <w:pStyle w:val="2"/>
        <w:numPr>
          <w:ilvl w:val="-1"/>
          <w:numId w:val="0"/>
        </w:numPr>
        <w:ind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>
      <w:pPr>
        <w:ind w:firstLine="640"/>
      </w:pPr>
    </w:p>
    <w:p>
      <w:pPr>
        <w:pStyle w:val="25"/>
        <w:outlineLvl w:val="0"/>
      </w:pPr>
      <w:r>
        <w:rPr>
          <w:rFonts w:hint="eastAsia"/>
          <w:lang w:val="en-US" w:eastAsia="zh-CN"/>
        </w:rPr>
        <w:t>南浔区</w:t>
      </w:r>
      <w:r>
        <w:rPr>
          <w:rFonts w:hint="eastAsia"/>
        </w:rPr>
        <w:t>滨水空间</w:t>
      </w:r>
      <w:r>
        <w:t>开放共享项目</w:t>
      </w:r>
      <w:r>
        <w:rPr>
          <w:rFonts w:hint="eastAsia"/>
          <w:lang w:val="en-US" w:eastAsia="zh-CN"/>
        </w:rPr>
        <w:t>审核</w:t>
      </w:r>
      <w:r>
        <w:rPr>
          <w:rFonts w:hint="eastAsia"/>
        </w:rPr>
        <w:t>申请</w:t>
      </w:r>
      <w:r>
        <w:t>表</w:t>
      </w:r>
    </w:p>
    <w:tbl>
      <w:tblPr>
        <w:tblStyle w:val="19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223"/>
        <w:gridCol w:w="1231"/>
        <w:gridCol w:w="3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566" w:type="dxa"/>
            <w:gridSpan w:val="3"/>
            <w:vAlign w:val="center"/>
          </w:tcPr>
          <w:p>
            <w:pPr>
              <w:pStyle w:val="26"/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3223" w:type="dxa"/>
            <w:vAlign w:val="center"/>
          </w:tcPr>
          <w:p>
            <w:pPr>
              <w:pStyle w:val="26"/>
              <w:spacing w:line="300" w:lineRule="exact"/>
            </w:pPr>
          </w:p>
        </w:tc>
        <w:tc>
          <w:tcPr>
            <w:tcW w:w="1231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申请主体</w:t>
            </w:r>
          </w:p>
        </w:tc>
        <w:tc>
          <w:tcPr>
            <w:tcW w:w="3112" w:type="dxa"/>
            <w:vAlign w:val="center"/>
          </w:tcPr>
          <w:p>
            <w:pPr>
              <w:pStyle w:val="26"/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项目位置</w:t>
            </w:r>
          </w:p>
        </w:tc>
        <w:tc>
          <w:tcPr>
            <w:tcW w:w="3223" w:type="dxa"/>
            <w:vAlign w:val="center"/>
          </w:tcPr>
          <w:p>
            <w:pPr>
              <w:pStyle w:val="26"/>
              <w:spacing w:line="300" w:lineRule="exact"/>
            </w:pPr>
          </w:p>
        </w:tc>
        <w:tc>
          <w:tcPr>
            <w:tcW w:w="1231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申请时间</w:t>
            </w:r>
          </w:p>
        </w:tc>
        <w:tc>
          <w:tcPr>
            <w:tcW w:w="3112" w:type="dxa"/>
            <w:vAlign w:val="center"/>
          </w:tcPr>
          <w:p>
            <w:pPr>
              <w:pStyle w:val="26"/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  <w:ind w:firstLine="0" w:firstLineChars="0"/>
              <w:rPr>
                <w:rFonts w:hint="eastAsia" w:ascii="Times New Roman" w:hAnsi="Times New Roman" w:eastAsia="仿宋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项目负责人</w:t>
            </w:r>
          </w:p>
        </w:tc>
        <w:tc>
          <w:tcPr>
            <w:tcW w:w="3223" w:type="dxa"/>
            <w:vAlign w:val="center"/>
          </w:tcPr>
          <w:p>
            <w:pPr>
              <w:pStyle w:val="26"/>
              <w:spacing w:line="300" w:lineRule="exact"/>
              <w:ind w:firstLine="0" w:firstLineChars="0"/>
              <w:rPr>
                <w:rFonts w:ascii="Times New Roman" w:hAnsi="Times New Roman" w:eastAsia="仿宋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6"/>
              <w:spacing w:line="300" w:lineRule="exact"/>
              <w:ind w:firstLine="0" w:firstLineChars="0"/>
              <w:rPr>
                <w:rFonts w:hint="eastAsia" w:ascii="Times New Roman" w:hAnsi="Times New Roman" w:eastAsia="仿宋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  <w:tc>
          <w:tcPr>
            <w:tcW w:w="3112" w:type="dxa"/>
            <w:vAlign w:val="center"/>
          </w:tcPr>
          <w:p>
            <w:pPr>
              <w:pStyle w:val="26"/>
              <w:spacing w:line="300" w:lineRule="exact"/>
              <w:ind w:firstLine="0" w:firstLineChars="0"/>
              <w:rPr>
                <w:rFonts w:ascii="Times New Roman" w:hAnsi="Times New Roman" w:eastAsia="仿宋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</w:pPr>
            <w:r>
              <w:rPr>
                <w:rFonts w:hint="eastAsia"/>
              </w:rPr>
              <w:t>申报材料</w:t>
            </w:r>
          </w:p>
        </w:tc>
        <w:tc>
          <w:tcPr>
            <w:tcW w:w="7566" w:type="dxa"/>
            <w:gridSpan w:val="3"/>
            <w:vAlign w:val="center"/>
          </w:tcPr>
          <w:p>
            <w:pPr>
              <w:pStyle w:val="26"/>
              <w:spacing w:line="300" w:lineRule="exact"/>
              <w:jc w:val="both"/>
            </w:pP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项目建设</w:t>
            </w:r>
            <w:r>
              <w:rPr>
                <w:rFonts w:hint="eastAsia" w:ascii="MS Gothic" w:hAnsi="MS Gothic"/>
                <w:lang w:eastAsia="zh-CN"/>
              </w:rPr>
              <w:t>（</w:t>
            </w:r>
            <w:r>
              <w:rPr>
                <w:rFonts w:hint="eastAsia" w:ascii="MS Gothic" w:hAnsi="MS Gothic"/>
                <w:lang w:val="en-US" w:eastAsia="zh-CN"/>
              </w:rPr>
              <w:t>活动</w:t>
            </w:r>
            <w:r>
              <w:rPr>
                <w:rFonts w:hint="eastAsia" w:ascii="MS Gothic" w:hAnsi="MS Gothic"/>
                <w:lang w:eastAsia="zh-CN"/>
              </w:rPr>
              <w:t>）</w:t>
            </w:r>
            <w:r>
              <w:rPr>
                <w:rFonts w:hint="eastAsia" w:ascii="MS Gothic" w:hAnsi="MS Gothic"/>
              </w:rPr>
              <w:t>方案；</w:t>
            </w: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项目建设红线范围（矢量图）；</w:t>
            </w: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项目</w:t>
            </w:r>
            <w:r>
              <w:rPr>
                <w:rFonts w:hint="eastAsia" w:ascii="MS Gothic" w:hAnsi="MS Gothic"/>
                <w:lang w:val="en-US" w:eastAsia="zh-CN"/>
              </w:rPr>
              <w:t>相关许可报批材料</w:t>
            </w:r>
            <w:r>
              <w:rPr>
                <w:rFonts w:hint="eastAsia" w:ascii="MS Gothic" w:hAnsi="MS Gothic"/>
              </w:rPr>
              <w:t>；</w:t>
            </w:r>
            <w:r>
              <w:rPr>
                <w:rFonts w:hint="eastAsia" w:ascii="MS Gothic" w:hAnsi="MS Gothic"/>
              </w:rPr>
              <w:sym w:font="Wingdings 2" w:char="00A3"/>
            </w:r>
            <w:r>
              <w:rPr>
                <w:rFonts w:hint="eastAsia" w:ascii="MS Gothic" w:hAnsi="MS Gothic"/>
              </w:rPr>
              <w:t>其他：＿＿＿＿＿＿＿。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0" w:hRule="atLeast"/>
        </w:trPr>
        <w:tc>
          <w:tcPr>
            <w:tcW w:w="1263" w:type="dxa"/>
            <w:vAlign w:val="center"/>
          </w:tcPr>
          <w:p>
            <w:pPr>
              <w:pStyle w:val="26"/>
              <w:spacing w:line="300" w:lineRule="exact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联合审核意见</w:t>
            </w:r>
          </w:p>
        </w:tc>
        <w:tc>
          <w:tcPr>
            <w:tcW w:w="7566" w:type="dxa"/>
            <w:gridSpan w:val="3"/>
          </w:tcPr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keepNext w:val="0"/>
              <w:keepLines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spacing w:line="300" w:lineRule="exact"/>
              <w:jc w:val="both"/>
            </w:pPr>
          </w:p>
          <w:p>
            <w:pPr>
              <w:pStyle w:val="26"/>
              <w:wordWrap w:val="0"/>
              <w:spacing w:line="300" w:lineRule="exact"/>
              <w:jc w:val="right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（盖章）</w:t>
            </w:r>
          </w:p>
          <w:p>
            <w:pPr>
              <w:pStyle w:val="26"/>
              <w:spacing w:line="300" w:lineRule="exact"/>
              <w:ind w:firstLine="0" w:firstLineChars="0"/>
              <w:jc w:val="right"/>
              <w:rPr>
                <w:rFonts w:hint="eastAsia" w:ascii="Times New Roman" w:hAnsi="Times New Roman" w:eastAsia="仿宋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楷体_GB2312" w:hAnsi="楷体_GB2312" w:eastAsia="楷体_GB2312" w:cs="楷体_GB2312"/>
          <w:kern w:val="2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24"/>
          <w:szCs w:val="24"/>
          <w:lang w:val="en-US" w:eastAsia="zh-CN" w:bidi="ar-SA"/>
        </w:rPr>
        <w:t>注：联合审核意见由区水利局会同属地镇街和相关部门联合审查后出具。</w:t>
      </w:r>
    </w:p>
    <w:sectPr>
      <w:pgSz w:w="11906" w:h="16838"/>
      <w:pgMar w:top="1644" w:right="1644" w:bottom="1644" w:left="1644" w:header="1134" w:footer="1191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ind w:firstLine="0" w:firstLineChars="0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ind w:firstLine="0" w:firstLineChars="0"/>
                      <w:rPr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A0868"/>
    <w:multiLevelType w:val="multilevel"/>
    <w:tmpl w:val="8B0A0868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"/>
      <w:lvlRestart w:val="0"/>
      <w:pStyle w:val="6"/>
      <w:suff w:val="nothing"/>
      <w:lvlText w:val="表%5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_GB2312" w:cs="宋体"/>
      </w:rPr>
    </w:lvl>
    <w:lvl w:ilvl="5" w:tentative="0">
      <w:start w:val="1"/>
      <w:numFmt w:val="decimal"/>
      <w:lvlRestart w:val="0"/>
      <w:pStyle w:val="7"/>
      <w:suff w:val="nothing"/>
      <w:lvlText w:val="图%6"/>
      <w:lvlJc w:val="center"/>
      <w:pPr>
        <w:tabs>
          <w:tab w:val="left" w:pos="0"/>
        </w:tabs>
        <w:ind w:left="0" w:firstLine="0"/>
      </w:pPr>
      <w:rPr>
        <w:rFonts w:hint="eastAsia" w:ascii="Times New Roman" w:hAnsi="Times New Roman" w:eastAsia="仿宋" w:cs="宋体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73196C00"/>
    <w:multiLevelType w:val="singleLevel"/>
    <w:tmpl w:val="73196C00"/>
    <w:lvl w:ilvl="0" w:tentative="0">
      <w:start w:val="1"/>
      <w:numFmt w:val="chineseCounting"/>
      <w:suff w:val="nothing"/>
      <w:lvlText w:val="第%1条 "/>
      <w:lvlJc w:val="left"/>
      <w:pPr>
        <w:ind w:left="2194" w:leftChars="0" w:hanging="1554" w:firstLineChars="0"/>
      </w:pPr>
      <w:rPr>
        <w:rFonts w:hint="eastAsia" w:eastAsia="仿宋_GB2312"/>
        <w:b/>
        <w:sz w:val="3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B9"/>
    <w:rsid w:val="000F6371"/>
    <w:rsid w:val="00546CB9"/>
    <w:rsid w:val="0068627D"/>
    <w:rsid w:val="006A3F83"/>
    <w:rsid w:val="00813A6F"/>
    <w:rsid w:val="009037D9"/>
    <w:rsid w:val="00AE0C21"/>
    <w:rsid w:val="00B92A28"/>
    <w:rsid w:val="00CB79ED"/>
    <w:rsid w:val="00E35101"/>
    <w:rsid w:val="00FD5AFA"/>
    <w:rsid w:val="018779D3"/>
    <w:rsid w:val="024B4CE0"/>
    <w:rsid w:val="052407E2"/>
    <w:rsid w:val="052D703C"/>
    <w:rsid w:val="057F2CCC"/>
    <w:rsid w:val="060F041B"/>
    <w:rsid w:val="07785DD8"/>
    <w:rsid w:val="07CE7D6B"/>
    <w:rsid w:val="08593199"/>
    <w:rsid w:val="09E0302E"/>
    <w:rsid w:val="0A3D240E"/>
    <w:rsid w:val="0A5B3860"/>
    <w:rsid w:val="0B0D4D3C"/>
    <w:rsid w:val="0B8760F1"/>
    <w:rsid w:val="0C4A0131"/>
    <w:rsid w:val="0C6F5198"/>
    <w:rsid w:val="0C883C18"/>
    <w:rsid w:val="0C93074D"/>
    <w:rsid w:val="0D21796C"/>
    <w:rsid w:val="0DD12237"/>
    <w:rsid w:val="0E0F40A5"/>
    <w:rsid w:val="0E5E0796"/>
    <w:rsid w:val="0E872E25"/>
    <w:rsid w:val="0EB30C06"/>
    <w:rsid w:val="10164BF0"/>
    <w:rsid w:val="109C1FA9"/>
    <w:rsid w:val="11140513"/>
    <w:rsid w:val="11540C23"/>
    <w:rsid w:val="12557FAE"/>
    <w:rsid w:val="13D236AE"/>
    <w:rsid w:val="13F77AF6"/>
    <w:rsid w:val="142E0835"/>
    <w:rsid w:val="14377343"/>
    <w:rsid w:val="155806F5"/>
    <w:rsid w:val="168830FB"/>
    <w:rsid w:val="17074A11"/>
    <w:rsid w:val="17E05BED"/>
    <w:rsid w:val="17E66D45"/>
    <w:rsid w:val="18263BB5"/>
    <w:rsid w:val="19810708"/>
    <w:rsid w:val="1A2E4495"/>
    <w:rsid w:val="1A6E1EA7"/>
    <w:rsid w:val="1A937E39"/>
    <w:rsid w:val="1AF81D35"/>
    <w:rsid w:val="1B3E731C"/>
    <w:rsid w:val="1B60171F"/>
    <w:rsid w:val="1B9B3CD5"/>
    <w:rsid w:val="1BB10F01"/>
    <w:rsid w:val="1C7137DF"/>
    <w:rsid w:val="1CC94EA9"/>
    <w:rsid w:val="1CE039D8"/>
    <w:rsid w:val="1CEB62A2"/>
    <w:rsid w:val="1DB87DCE"/>
    <w:rsid w:val="1DE967A2"/>
    <w:rsid w:val="1ECE5831"/>
    <w:rsid w:val="1FC31A22"/>
    <w:rsid w:val="209D4F4D"/>
    <w:rsid w:val="20EE1397"/>
    <w:rsid w:val="216D1954"/>
    <w:rsid w:val="23E059FE"/>
    <w:rsid w:val="246E62AF"/>
    <w:rsid w:val="24890B57"/>
    <w:rsid w:val="24CC3412"/>
    <w:rsid w:val="2603526B"/>
    <w:rsid w:val="26060AEE"/>
    <w:rsid w:val="264B1A62"/>
    <w:rsid w:val="277138C4"/>
    <w:rsid w:val="29056457"/>
    <w:rsid w:val="2986067C"/>
    <w:rsid w:val="2A0D4448"/>
    <w:rsid w:val="2BD11D72"/>
    <w:rsid w:val="2C446CD8"/>
    <w:rsid w:val="2E8E60F6"/>
    <w:rsid w:val="2EC2241A"/>
    <w:rsid w:val="2F8F1AD4"/>
    <w:rsid w:val="2FB95530"/>
    <w:rsid w:val="2FD8182C"/>
    <w:rsid w:val="31281A5B"/>
    <w:rsid w:val="31422AD0"/>
    <w:rsid w:val="31445A15"/>
    <w:rsid w:val="31482910"/>
    <w:rsid w:val="3340250B"/>
    <w:rsid w:val="34985E86"/>
    <w:rsid w:val="34F459EB"/>
    <w:rsid w:val="357C39CA"/>
    <w:rsid w:val="35827F62"/>
    <w:rsid w:val="35E83771"/>
    <w:rsid w:val="39697C59"/>
    <w:rsid w:val="3AFB50E8"/>
    <w:rsid w:val="3B40305C"/>
    <w:rsid w:val="3C593919"/>
    <w:rsid w:val="3C8074A3"/>
    <w:rsid w:val="3C9762F1"/>
    <w:rsid w:val="3CEF2C0E"/>
    <w:rsid w:val="3D0C2E81"/>
    <w:rsid w:val="3E09740A"/>
    <w:rsid w:val="3E0B2E03"/>
    <w:rsid w:val="3F6D0B67"/>
    <w:rsid w:val="40942367"/>
    <w:rsid w:val="418B25CB"/>
    <w:rsid w:val="421902D6"/>
    <w:rsid w:val="43D718AA"/>
    <w:rsid w:val="445D4407"/>
    <w:rsid w:val="46603CBE"/>
    <w:rsid w:val="4676459C"/>
    <w:rsid w:val="469B58B5"/>
    <w:rsid w:val="48CD4874"/>
    <w:rsid w:val="490577E6"/>
    <w:rsid w:val="49435E18"/>
    <w:rsid w:val="495E1CDD"/>
    <w:rsid w:val="49861AA1"/>
    <w:rsid w:val="49F66CAC"/>
    <w:rsid w:val="49FA4D3C"/>
    <w:rsid w:val="4A317A89"/>
    <w:rsid w:val="4AC005FB"/>
    <w:rsid w:val="4C041BE5"/>
    <w:rsid w:val="4C921136"/>
    <w:rsid w:val="4CD66AD7"/>
    <w:rsid w:val="4DA1726F"/>
    <w:rsid w:val="4E2831EC"/>
    <w:rsid w:val="4EEC4015"/>
    <w:rsid w:val="4F31425D"/>
    <w:rsid w:val="4F7018F2"/>
    <w:rsid w:val="4FEC00A6"/>
    <w:rsid w:val="4FEF1A61"/>
    <w:rsid w:val="509C51B0"/>
    <w:rsid w:val="50A5262C"/>
    <w:rsid w:val="529B7C94"/>
    <w:rsid w:val="534D6519"/>
    <w:rsid w:val="542D683E"/>
    <w:rsid w:val="547E7879"/>
    <w:rsid w:val="54B56640"/>
    <w:rsid w:val="55CC42E1"/>
    <w:rsid w:val="568F2D49"/>
    <w:rsid w:val="56B31BBE"/>
    <w:rsid w:val="56BA2E16"/>
    <w:rsid w:val="57391251"/>
    <w:rsid w:val="5740316B"/>
    <w:rsid w:val="57417E8C"/>
    <w:rsid w:val="585A7D83"/>
    <w:rsid w:val="58AD2BFF"/>
    <w:rsid w:val="59CF20B2"/>
    <w:rsid w:val="5A084927"/>
    <w:rsid w:val="5A6871B1"/>
    <w:rsid w:val="5AA8603D"/>
    <w:rsid w:val="5B5B3170"/>
    <w:rsid w:val="5C0631E5"/>
    <w:rsid w:val="5C622AF2"/>
    <w:rsid w:val="5FBF711B"/>
    <w:rsid w:val="60490E90"/>
    <w:rsid w:val="60890A57"/>
    <w:rsid w:val="616B3F56"/>
    <w:rsid w:val="62637C64"/>
    <w:rsid w:val="62CD1459"/>
    <w:rsid w:val="637E2EE6"/>
    <w:rsid w:val="638C6FF7"/>
    <w:rsid w:val="64AC6DC5"/>
    <w:rsid w:val="64D834B1"/>
    <w:rsid w:val="655F436F"/>
    <w:rsid w:val="65F05513"/>
    <w:rsid w:val="65FE7DFC"/>
    <w:rsid w:val="678265FA"/>
    <w:rsid w:val="67A71385"/>
    <w:rsid w:val="67B2128C"/>
    <w:rsid w:val="680A515C"/>
    <w:rsid w:val="69A15A35"/>
    <w:rsid w:val="69A2268E"/>
    <w:rsid w:val="69F62A32"/>
    <w:rsid w:val="6A0E3E2D"/>
    <w:rsid w:val="6B63640B"/>
    <w:rsid w:val="6C1354CB"/>
    <w:rsid w:val="6E690F33"/>
    <w:rsid w:val="6E772BC4"/>
    <w:rsid w:val="6F0C0351"/>
    <w:rsid w:val="6F77414B"/>
    <w:rsid w:val="6FA53B0F"/>
    <w:rsid w:val="6FC5076B"/>
    <w:rsid w:val="70414224"/>
    <w:rsid w:val="72062220"/>
    <w:rsid w:val="725E69EF"/>
    <w:rsid w:val="72B70CE1"/>
    <w:rsid w:val="73883B43"/>
    <w:rsid w:val="74F45E1C"/>
    <w:rsid w:val="75065045"/>
    <w:rsid w:val="75A51FCE"/>
    <w:rsid w:val="76C5020B"/>
    <w:rsid w:val="771463C0"/>
    <w:rsid w:val="772F20C4"/>
    <w:rsid w:val="77420532"/>
    <w:rsid w:val="77A05D16"/>
    <w:rsid w:val="78995FB6"/>
    <w:rsid w:val="7935000F"/>
    <w:rsid w:val="79417FF7"/>
    <w:rsid w:val="79D47DAE"/>
    <w:rsid w:val="79FB0DE6"/>
    <w:rsid w:val="7A0E52CF"/>
    <w:rsid w:val="7A51604B"/>
    <w:rsid w:val="7A973AAE"/>
    <w:rsid w:val="7C2E043A"/>
    <w:rsid w:val="7CDB7296"/>
    <w:rsid w:val="7DA25FEE"/>
    <w:rsid w:val="7E4C0170"/>
    <w:rsid w:val="7FEA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ind w:firstLine="640"/>
      <w:jc w:val="left"/>
      <w:outlineLvl w:val="0"/>
    </w:pPr>
    <w:rPr>
      <w:rFonts w:eastAsia="黑体" w:cs="黑体"/>
      <w:kern w:val="44"/>
      <w:szCs w:val="22"/>
    </w:rPr>
  </w:style>
  <w:style w:type="paragraph" w:styleId="3">
    <w:name w:val="heading 2"/>
    <w:basedOn w:val="1"/>
    <w:next w:val="1"/>
    <w:unhideWhenUsed/>
    <w:qFormat/>
    <w:uiPriority w:val="0"/>
    <w:pPr>
      <w:keepLines/>
      <w:numPr>
        <w:ilvl w:val="1"/>
        <w:numId w:val="1"/>
      </w:numPr>
      <w:jc w:val="left"/>
      <w:outlineLvl w:val="1"/>
    </w:pPr>
    <w:rPr>
      <w:rFonts w:eastAsia="楷体_GB2312" w:cs="黑体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0"/>
      </w:tabs>
      <w:ind w:firstLineChars="0"/>
      <w:jc w:val="left"/>
      <w:outlineLvl w:val="2"/>
    </w:pPr>
    <w:rPr>
      <w:rFonts w:cs="黑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ind w:firstLineChars="0"/>
      <w:outlineLvl w:val="3"/>
    </w:pPr>
    <w:rPr>
      <w:rFonts w:eastAsia="仿宋" w:cs="黑体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ind w:firstLineChars="0"/>
      <w:jc w:val="center"/>
      <w:outlineLvl w:val="4"/>
    </w:pPr>
    <w:rPr>
      <w:rFonts w:eastAsia="仿宋" w:cs="黑体"/>
      <w:b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napToGrid w:val="0"/>
      <w:ind w:firstLineChars="0"/>
      <w:jc w:val="center"/>
      <w:outlineLvl w:val="5"/>
    </w:pPr>
    <w:rPr>
      <w:rFonts w:eastAsia="仿宋" w:cs="黑体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ind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ind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ind w:firstLineChars="0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27"/>
    <w:qFormat/>
    <w:uiPriority w:val="0"/>
    <w:pPr>
      <w:jc w:val="left"/>
    </w:pPr>
  </w:style>
  <w:style w:type="paragraph" w:styleId="12">
    <w:name w:val="Block Text"/>
    <w:basedOn w:val="1"/>
    <w:qFormat/>
    <w:uiPriority w:val="0"/>
    <w:pPr>
      <w:adjustRightInd w:val="0"/>
      <w:snapToGrid w:val="0"/>
      <w:spacing w:line="800" w:lineRule="atLeast"/>
      <w:ind w:left="-318" w:leftChars="-100" w:right="-321" w:rightChars="-101"/>
      <w:jc w:val="center"/>
    </w:pPr>
    <w:rPr>
      <w:rFonts w:eastAsia="方正小标宋简体"/>
      <w:sz w:val="44"/>
    </w:rPr>
  </w:style>
  <w:style w:type="paragraph" w:styleId="13">
    <w:name w:val="Balloon Text"/>
    <w:basedOn w:val="1"/>
    <w:link w:val="29"/>
    <w:qFormat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7">
    <w:name w:val="annotation subject"/>
    <w:basedOn w:val="11"/>
    <w:next w:val="11"/>
    <w:link w:val="28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FollowedHyperlink"/>
    <w:basedOn w:val="20"/>
    <w:qFormat/>
    <w:uiPriority w:val="0"/>
    <w:rPr>
      <w:color w:val="005C81"/>
      <w:u w:val="none"/>
    </w:rPr>
  </w:style>
  <w:style w:type="character" w:styleId="22">
    <w:name w:val="Emphasis"/>
    <w:basedOn w:val="20"/>
    <w:qFormat/>
    <w:uiPriority w:val="0"/>
  </w:style>
  <w:style w:type="character" w:styleId="23">
    <w:name w:val="Hyperlink"/>
    <w:basedOn w:val="20"/>
    <w:qFormat/>
    <w:uiPriority w:val="0"/>
    <w:rPr>
      <w:color w:val="005C81"/>
      <w:u w:val="none"/>
    </w:rPr>
  </w:style>
  <w:style w:type="character" w:styleId="24">
    <w:name w:val="annotation reference"/>
    <w:basedOn w:val="20"/>
    <w:qFormat/>
    <w:uiPriority w:val="0"/>
    <w:rPr>
      <w:sz w:val="21"/>
      <w:szCs w:val="21"/>
    </w:rPr>
  </w:style>
  <w:style w:type="paragraph" w:customStyle="1" w:styleId="25">
    <w:name w:val="大标题"/>
    <w:basedOn w:val="1"/>
    <w:next w:val="1"/>
    <w:qFormat/>
    <w:uiPriority w:val="0"/>
    <w:pPr>
      <w:ind w:firstLine="0" w:firstLineChars="0"/>
      <w:jc w:val="center"/>
    </w:pPr>
    <w:rPr>
      <w:rFonts w:eastAsia="方正小标宋简体"/>
      <w:sz w:val="44"/>
    </w:rPr>
  </w:style>
  <w:style w:type="paragraph" w:customStyle="1" w:styleId="26">
    <w:name w:val="表格内容"/>
    <w:basedOn w:val="1"/>
    <w:next w:val="1"/>
    <w:qFormat/>
    <w:uiPriority w:val="0"/>
    <w:pPr>
      <w:keepLines/>
      <w:spacing w:line="400" w:lineRule="exact"/>
      <w:ind w:firstLine="0" w:firstLineChars="0"/>
      <w:jc w:val="center"/>
      <w:outlineLvl w:val="3"/>
    </w:pPr>
    <w:rPr>
      <w:rFonts w:eastAsia="仿宋" w:cs="黑体"/>
      <w:sz w:val="24"/>
    </w:rPr>
  </w:style>
  <w:style w:type="character" w:customStyle="1" w:styleId="27">
    <w:name w:val="批注文字 Char"/>
    <w:basedOn w:val="20"/>
    <w:link w:val="11"/>
    <w:qFormat/>
    <w:uiPriority w:val="0"/>
    <w:rPr>
      <w:rFonts w:eastAsia="仿宋_GB2312" w:cstheme="minorBidi"/>
      <w:kern w:val="2"/>
      <w:sz w:val="32"/>
      <w:szCs w:val="24"/>
    </w:rPr>
  </w:style>
  <w:style w:type="character" w:customStyle="1" w:styleId="28">
    <w:name w:val="批注主题 Char"/>
    <w:basedOn w:val="27"/>
    <w:link w:val="17"/>
    <w:qFormat/>
    <w:uiPriority w:val="0"/>
    <w:rPr>
      <w:rFonts w:eastAsia="仿宋_GB2312" w:cstheme="minorBidi"/>
      <w:b/>
      <w:bCs/>
      <w:kern w:val="2"/>
      <w:sz w:val="32"/>
      <w:szCs w:val="24"/>
    </w:rPr>
  </w:style>
  <w:style w:type="character" w:customStyle="1" w:styleId="29">
    <w:name w:val="批注框文本 Char"/>
    <w:basedOn w:val="20"/>
    <w:link w:val="13"/>
    <w:qFormat/>
    <w:uiPriority w:val="0"/>
    <w:rPr>
      <w:rFonts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3989</Words>
  <Characters>3994</Characters>
  <Lines>31</Lines>
  <Paragraphs>8</Paragraphs>
  <TotalTime>2</TotalTime>
  <ScaleCrop>false</ScaleCrop>
  <LinksUpToDate>false</LinksUpToDate>
  <CharactersWithSpaces>4019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2023-03-08T02:03:00Z</dcterms:created>
  <dc:creator>18782021866</dc:creator>
  <cp:lastModifiedBy>童旭</cp:lastModifiedBy>
  <cp:lastPrinted>2025-06-05T05:38:00Z</cp:lastPrinted>
  <dcterms:modified xsi:type="dcterms:W3CDTF">2025-06-30T06:58:26Z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KSOTemplateDocerSaveRecord">
    <vt:lpwstr>eyJoZGlkIjoiNWI4NzAzMmY0NWVjZTgzYmUzNzBmNDQ0MTcxYTc5ZDMiLCJ1c2VySWQiOiIyMDk0NTIzNzAifQ==</vt:lpwstr>
  </property>
  <property fmtid="{D5CDD505-2E9C-101B-9397-08002B2CF9AE}" pid="4" name="ICV">
    <vt:lpwstr>D779740340834F0FB20382FC5125CE51_13</vt:lpwstr>
  </property>
</Properties>
</file>