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b/>
          <w:bCs/>
          <w:sz w:val="44"/>
          <w:szCs w:val="48"/>
        </w:rPr>
      </w:pPr>
      <w:r>
        <w:rPr>
          <w:rFonts w:hint="eastAsia"/>
          <w:b/>
          <w:bCs/>
          <w:sz w:val="44"/>
          <w:szCs w:val="48"/>
        </w:rPr>
        <w:t>不合格项目的说明</w:t>
      </w:r>
    </w:p>
    <w:p>
      <w:pPr>
        <w:keepNext w:val="0"/>
        <w:keepLines w:val="0"/>
        <w:widowControl/>
        <w:suppressLineNumbers w:val="0"/>
        <w:jc w:val="left"/>
        <w:rPr>
          <w:rFonts w:hint="eastAsia" w:ascii="黑体" w:hAnsi="黑体" w:eastAsia="黑体" w:cs="黑体"/>
          <w:sz w:val="32"/>
          <w:szCs w:val="32"/>
          <w:lang w:val="en-US" w:eastAsia="zh-CN"/>
        </w:rPr>
      </w:pPr>
      <w:bookmarkStart w:id="1" w:name="_GoBack"/>
      <w:bookmarkEnd w:id="1"/>
      <w:r>
        <w:rPr>
          <w:rFonts w:hint="eastAsia" w:ascii="黑体" w:hAnsi="黑体" w:eastAsia="黑体" w:cs="黑体"/>
          <w:sz w:val="32"/>
          <w:szCs w:val="32"/>
          <w:lang w:val="en-US" w:eastAsia="zh-CN"/>
        </w:rPr>
        <w:t>噻虫胺</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噻虫胺（</w:t>
      </w:r>
      <w:r>
        <w:rPr>
          <w:rFonts w:hint="default" w:asciiTheme="minorEastAsia" w:hAnsiTheme="minorEastAsia" w:eastAsiaTheme="minorEastAsia" w:cstheme="minorEastAsia"/>
          <w:color w:val="000000"/>
          <w:kern w:val="0"/>
          <w:sz w:val="28"/>
          <w:szCs w:val="28"/>
          <w:lang w:val="en-US" w:eastAsia="zh-CN" w:bidi="ar"/>
        </w:rPr>
        <w:t>clothianidin</w:t>
      </w:r>
      <w:r>
        <w:rPr>
          <w:rFonts w:hint="eastAsia" w:asciiTheme="minorEastAsia" w:hAnsiTheme="minorEastAsia" w:eastAsiaTheme="minorEastAsia" w:cstheme="minorEastAsia"/>
          <w:color w:val="000000"/>
          <w:kern w:val="0"/>
          <w:sz w:val="28"/>
          <w:szCs w:val="28"/>
          <w:lang w:val="en-US" w:eastAsia="zh-CN" w:bidi="ar"/>
        </w:rPr>
        <w:t xml:space="preserve">），烟碱类杀虫剂，具有触杀、胃毒作用，具有根内吸活性和层间传导性。土壤处理、叶面喷施和种子处理，防治水稻、玉米、油菜、果树和蔬菜、柑橘的刺吸式和咀嚼式害虫，如飞虱、椿象、蚜虫和烟粉虱。雌雄大鼠急性经口 </w:t>
      </w:r>
      <w:r>
        <w:rPr>
          <w:rFonts w:hint="default" w:asciiTheme="minorEastAsia" w:hAnsiTheme="minorEastAsia" w:eastAsiaTheme="minorEastAsia" w:cstheme="minorEastAsia"/>
          <w:color w:val="000000"/>
          <w:kern w:val="0"/>
          <w:sz w:val="28"/>
          <w:szCs w:val="28"/>
          <w:lang w:val="en-US" w:eastAsia="zh-CN" w:bidi="ar"/>
        </w:rPr>
        <w:t>LD50&gt; 5000mg/kg</w:t>
      </w:r>
      <w:r>
        <w:rPr>
          <w:rFonts w:hint="eastAsia" w:asciiTheme="minorEastAsia" w:hAnsiTheme="minorEastAsia" w:eastAsiaTheme="minorEastAsia" w:cstheme="minorEastAsia"/>
          <w:color w:val="000000"/>
          <w:kern w:val="0"/>
          <w:sz w:val="28"/>
          <w:szCs w:val="28"/>
          <w:lang w:val="en-US" w:eastAsia="zh-CN" w:bidi="ar"/>
        </w:rPr>
        <w:t>，急性毒性分级为微毒。急性中毒可出现恶心、呕吐、头痛、乏力、躁动、抽搐等。食用食品一般不会导致噻虫胺的急性中毒，但长期食用噻虫胺超标的食品，对人体健康也有一定影响。联合国粮农组织和世界卫生组织农药残留联席会议（</w:t>
      </w:r>
      <w:r>
        <w:rPr>
          <w:rFonts w:hint="default" w:asciiTheme="minorEastAsia" w:hAnsiTheme="minorEastAsia" w:eastAsiaTheme="minorEastAsia" w:cstheme="minorEastAsia"/>
          <w:color w:val="000000"/>
          <w:kern w:val="0"/>
          <w:sz w:val="28"/>
          <w:szCs w:val="28"/>
          <w:lang w:val="en-US" w:eastAsia="zh-CN" w:bidi="ar"/>
        </w:rPr>
        <w:t>JMPR</w:t>
      </w:r>
      <w:r>
        <w:rPr>
          <w:rFonts w:hint="eastAsia" w:asciiTheme="minorEastAsia" w:hAnsiTheme="minorEastAsia" w:eastAsiaTheme="minorEastAsia" w:cstheme="minorEastAsia"/>
          <w:color w:val="000000"/>
          <w:kern w:val="0"/>
          <w:sz w:val="28"/>
          <w:szCs w:val="28"/>
          <w:lang w:val="en-US" w:eastAsia="zh-CN" w:bidi="ar"/>
        </w:rPr>
        <w:t>）</w:t>
      </w:r>
      <w:r>
        <w:rPr>
          <w:rFonts w:hint="default" w:asciiTheme="minorEastAsia" w:hAnsiTheme="minorEastAsia" w:eastAsiaTheme="minorEastAsia" w:cstheme="minorEastAsia"/>
          <w:color w:val="000000"/>
          <w:kern w:val="0"/>
          <w:sz w:val="28"/>
          <w:szCs w:val="28"/>
          <w:lang w:val="en-US" w:eastAsia="zh-CN" w:bidi="ar"/>
        </w:rPr>
        <w:t xml:space="preserve">2010 </w:t>
      </w:r>
      <w:r>
        <w:rPr>
          <w:rFonts w:hint="eastAsia" w:asciiTheme="minorEastAsia" w:hAnsiTheme="minorEastAsia" w:eastAsiaTheme="minorEastAsia" w:cstheme="minorEastAsia"/>
          <w:color w:val="000000"/>
          <w:kern w:val="0"/>
          <w:sz w:val="28"/>
          <w:szCs w:val="28"/>
          <w:lang w:val="en-US" w:eastAsia="zh-CN" w:bidi="ar"/>
        </w:rPr>
        <w:t>年制定了其日容许摄入量（</w:t>
      </w:r>
      <w:r>
        <w:rPr>
          <w:rFonts w:hint="default" w:asciiTheme="minorEastAsia" w:hAnsiTheme="minorEastAsia" w:eastAsiaTheme="minorEastAsia" w:cstheme="minorEastAsia"/>
          <w:color w:val="000000"/>
          <w:kern w:val="0"/>
          <w:sz w:val="28"/>
          <w:szCs w:val="28"/>
          <w:lang w:val="en-US" w:eastAsia="zh-CN" w:bidi="ar"/>
        </w:rPr>
        <w:t>ADI</w:t>
      </w:r>
      <w:r>
        <w:rPr>
          <w:rFonts w:hint="eastAsia" w:asciiTheme="minorEastAsia" w:hAnsiTheme="minorEastAsia" w:eastAsiaTheme="minorEastAsia" w:cstheme="minorEastAsia"/>
          <w:color w:val="000000"/>
          <w:kern w:val="0"/>
          <w:sz w:val="28"/>
          <w:szCs w:val="28"/>
          <w:lang w:val="en-US" w:eastAsia="zh-CN" w:bidi="ar"/>
        </w:rPr>
        <w:t xml:space="preserve">）为 </w:t>
      </w:r>
      <w:r>
        <w:rPr>
          <w:rFonts w:hint="default" w:asciiTheme="minorEastAsia" w:hAnsiTheme="minorEastAsia" w:eastAsiaTheme="minorEastAsia" w:cstheme="minorEastAsia"/>
          <w:color w:val="000000"/>
          <w:kern w:val="0"/>
          <w:sz w:val="28"/>
          <w:szCs w:val="28"/>
          <w:lang w:val="en-US" w:eastAsia="zh-CN" w:bidi="ar"/>
        </w:rPr>
        <w:t>0.1mg/kg bw</w:t>
      </w:r>
      <w:r>
        <w:rPr>
          <w:rFonts w:hint="eastAsia" w:asciiTheme="minorEastAsia" w:hAnsiTheme="minorEastAsia" w:eastAsiaTheme="minorEastAsia" w:cstheme="minorEastAsia"/>
          <w:color w:val="000000"/>
          <w:kern w:val="0"/>
          <w:sz w:val="28"/>
          <w:szCs w:val="28"/>
          <w:lang w:val="en-US" w:eastAsia="zh-CN" w:bidi="ar"/>
        </w:rPr>
        <w:t>，我国《食品安全国家标准 食品中农药最大残留限量》（</w:t>
      </w:r>
      <w:r>
        <w:rPr>
          <w:rFonts w:hint="default" w:asciiTheme="minorEastAsia" w:hAnsiTheme="minorEastAsia" w:eastAsiaTheme="minorEastAsia" w:cstheme="minorEastAsia"/>
          <w:color w:val="000000"/>
          <w:kern w:val="0"/>
          <w:sz w:val="28"/>
          <w:szCs w:val="28"/>
          <w:lang w:val="en-US" w:eastAsia="zh-CN" w:bidi="ar"/>
        </w:rPr>
        <w:t>GB 2763-2021</w:t>
      </w:r>
      <w:r>
        <w:rPr>
          <w:rFonts w:hint="eastAsia" w:asciiTheme="minorEastAsia" w:hAnsiTheme="minorEastAsia" w:eastAsiaTheme="minorEastAsia" w:cstheme="minorEastAsia"/>
          <w:color w:val="000000"/>
          <w:kern w:val="0"/>
          <w:sz w:val="28"/>
          <w:szCs w:val="28"/>
          <w:lang w:val="en-US" w:eastAsia="zh-CN" w:bidi="ar"/>
        </w:rPr>
        <w:t xml:space="preserve">）中 </w:t>
      </w:r>
      <w:r>
        <w:rPr>
          <w:rFonts w:hint="default" w:asciiTheme="minorEastAsia" w:hAnsiTheme="minorEastAsia" w:eastAsiaTheme="minorEastAsia" w:cstheme="minorEastAsia"/>
          <w:color w:val="000000"/>
          <w:kern w:val="0"/>
          <w:sz w:val="28"/>
          <w:szCs w:val="28"/>
          <w:lang w:val="en-US" w:eastAsia="zh-CN" w:bidi="ar"/>
        </w:rPr>
        <w:t xml:space="preserve">ADI </w:t>
      </w:r>
      <w:r>
        <w:rPr>
          <w:rFonts w:hint="eastAsia" w:asciiTheme="minorEastAsia" w:hAnsiTheme="minorEastAsia" w:eastAsiaTheme="minorEastAsia" w:cstheme="minorEastAsia"/>
          <w:color w:val="000000"/>
          <w:kern w:val="0"/>
          <w:sz w:val="28"/>
          <w:szCs w:val="28"/>
          <w:lang w:val="en-US" w:eastAsia="zh-CN" w:bidi="ar"/>
        </w:rPr>
        <w:t xml:space="preserve">值亦为 </w:t>
      </w:r>
      <w:r>
        <w:rPr>
          <w:rFonts w:hint="default" w:asciiTheme="minorEastAsia" w:hAnsiTheme="minorEastAsia" w:eastAsiaTheme="minorEastAsia" w:cstheme="minorEastAsia"/>
          <w:color w:val="000000"/>
          <w:kern w:val="0"/>
          <w:sz w:val="28"/>
          <w:szCs w:val="28"/>
          <w:lang w:val="en-US" w:eastAsia="zh-CN" w:bidi="ar"/>
        </w:rPr>
        <w:t>0.1mg/kg bw</w:t>
      </w:r>
      <w:r>
        <w:rPr>
          <w:rFonts w:hint="eastAsia" w:asciiTheme="minorEastAsia" w:hAnsiTheme="minorEastAsia" w:eastAsiaTheme="minorEastAsia" w:cstheme="minorEastAsia"/>
          <w:color w:val="000000"/>
          <w:kern w:val="0"/>
          <w:sz w:val="28"/>
          <w:szCs w:val="28"/>
          <w:lang w:val="en-US" w:eastAsia="zh-CN" w:bidi="ar"/>
        </w:rPr>
        <w:t>。</w:t>
      </w:r>
    </w:p>
    <w:p>
      <w:pPr>
        <w:keepNext w:val="0"/>
        <w:keepLines w:val="0"/>
        <w:widowControl/>
        <w:suppressLineNumbers w:val="0"/>
        <w:jc w:val="left"/>
        <w:rPr>
          <w:rFonts w:hint="eastAsia" w:ascii="黑体" w:hAnsi="黑体" w:eastAsia="黑体" w:cs="黑体"/>
          <w:sz w:val="32"/>
          <w:szCs w:val="32"/>
          <w:lang w:val="en-US" w:eastAsia="zh-CN"/>
        </w:rPr>
      </w:pPr>
      <w:bookmarkStart w:id="0" w:name="OLE_LINK3"/>
    </w:p>
    <w:p>
      <w:pPr>
        <w:keepNext w:val="0"/>
        <w:keepLines w:val="0"/>
        <w:widowControl/>
        <w:suppressLineNumbers w:val="0"/>
        <w:jc w:val="left"/>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咪鲜胺和咪鲜胺锰盐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咪鲜胺和咪鲜胺锰盐（</w:t>
      </w:r>
      <w:r>
        <w:rPr>
          <w:rFonts w:hint="default" w:asciiTheme="minorEastAsia" w:hAnsiTheme="minorEastAsia" w:eastAsiaTheme="minorEastAsia" w:cstheme="minorEastAsia"/>
          <w:color w:val="000000"/>
          <w:kern w:val="0"/>
          <w:sz w:val="28"/>
          <w:szCs w:val="28"/>
          <w:lang w:val="en-US" w:eastAsia="zh-CN" w:bidi="ar"/>
        </w:rPr>
        <w:t>prochloraz and prochloraz-manganese chloride complex</w:t>
      </w:r>
      <w:r>
        <w:rPr>
          <w:rFonts w:hint="eastAsia" w:asciiTheme="minorEastAsia" w:hAnsiTheme="minorEastAsia" w:eastAsiaTheme="minorEastAsia" w:cstheme="minorEastAsia"/>
          <w:color w:val="000000"/>
          <w:kern w:val="0"/>
          <w:sz w:val="28"/>
          <w:szCs w:val="28"/>
          <w:lang w:val="en-US" w:eastAsia="zh-CN" w:bidi="ar"/>
        </w:rPr>
        <w:t xml:space="preserve">），是一种广谱高效杀菌剂。大鼠急性经口毒性试验 </w:t>
      </w:r>
      <w:r>
        <w:rPr>
          <w:rFonts w:hint="default" w:asciiTheme="minorEastAsia" w:hAnsiTheme="minorEastAsia" w:eastAsiaTheme="minorEastAsia" w:cstheme="minorEastAsia"/>
          <w:color w:val="000000"/>
          <w:kern w:val="0"/>
          <w:sz w:val="28"/>
          <w:szCs w:val="28"/>
          <w:lang w:val="en-US" w:eastAsia="zh-CN" w:bidi="ar"/>
        </w:rPr>
        <w:t>LD50</w:t>
      </w:r>
      <w:r>
        <w:rPr>
          <w:rFonts w:hint="eastAsia" w:asciiTheme="minorEastAsia" w:hAnsiTheme="minorEastAsia" w:eastAsiaTheme="minorEastAsia" w:cstheme="minorEastAsia"/>
          <w:color w:val="000000"/>
          <w:kern w:val="0"/>
          <w:sz w:val="28"/>
          <w:szCs w:val="28"/>
          <w:lang w:val="en-US" w:eastAsia="zh-CN" w:bidi="ar"/>
        </w:rPr>
        <w:t xml:space="preserve">为 </w:t>
      </w:r>
      <w:r>
        <w:rPr>
          <w:rFonts w:hint="default" w:asciiTheme="minorEastAsia" w:hAnsiTheme="minorEastAsia" w:eastAsiaTheme="minorEastAsia" w:cstheme="minorEastAsia"/>
          <w:color w:val="000000"/>
          <w:kern w:val="0"/>
          <w:sz w:val="28"/>
          <w:szCs w:val="28"/>
          <w:lang w:val="en-US" w:eastAsia="zh-CN" w:bidi="ar"/>
        </w:rPr>
        <w:t>1600~2400mg/kg</w:t>
      </w:r>
      <w:r>
        <w:rPr>
          <w:rFonts w:hint="eastAsia" w:asciiTheme="minorEastAsia" w:hAnsiTheme="minorEastAsia" w:eastAsiaTheme="minorEastAsia" w:cstheme="minorEastAsia"/>
          <w:color w:val="000000"/>
          <w:kern w:val="0"/>
          <w:sz w:val="28"/>
          <w:szCs w:val="28"/>
          <w:lang w:val="en-US" w:eastAsia="zh-CN" w:bidi="ar"/>
        </w:rPr>
        <w:t>，急性毒性分级标准为低毒级，一般只对皮肤、眼有刺激症状，经口中毒低，无中毒报道。相关研究未见遗传毒性和致癌性。少量的农药残留不会引起人体急性中毒，但长期食用咪鲜胺超标的食品，对人体健康可能有一定影响。联合国粮农组织和世界卫生组织农药残留联席会议（</w:t>
      </w:r>
      <w:r>
        <w:rPr>
          <w:rFonts w:hint="default" w:asciiTheme="minorEastAsia" w:hAnsiTheme="minorEastAsia" w:eastAsiaTheme="minorEastAsia" w:cstheme="minorEastAsia"/>
          <w:color w:val="000000"/>
          <w:kern w:val="0"/>
          <w:sz w:val="28"/>
          <w:szCs w:val="28"/>
          <w:lang w:val="en-US" w:eastAsia="zh-CN" w:bidi="ar"/>
        </w:rPr>
        <w:t>JMPR</w:t>
      </w:r>
      <w:r>
        <w:rPr>
          <w:rFonts w:hint="eastAsia" w:asciiTheme="minorEastAsia" w:hAnsiTheme="minorEastAsia" w:eastAsiaTheme="minorEastAsia" w:cstheme="minorEastAsia"/>
          <w:color w:val="000000"/>
          <w:kern w:val="0"/>
          <w:sz w:val="28"/>
          <w:szCs w:val="28"/>
          <w:lang w:val="en-US" w:eastAsia="zh-CN" w:bidi="ar"/>
        </w:rPr>
        <w:t>）建议其日容许摄入量（</w:t>
      </w:r>
      <w:r>
        <w:rPr>
          <w:rFonts w:hint="default" w:asciiTheme="minorEastAsia" w:hAnsiTheme="minorEastAsia" w:eastAsiaTheme="minorEastAsia" w:cstheme="minorEastAsia"/>
          <w:color w:val="000000"/>
          <w:kern w:val="0"/>
          <w:sz w:val="28"/>
          <w:szCs w:val="28"/>
          <w:lang w:val="en-US" w:eastAsia="zh-CN" w:bidi="ar"/>
        </w:rPr>
        <w:t>ADI</w:t>
      </w:r>
      <w:r>
        <w:rPr>
          <w:rFonts w:hint="eastAsia" w:asciiTheme="minorEastAsia" w:hAnsiTheme="minorEastAsia" w:eastAsiaTheme="minorEastAsia" w:cstheme="minorEastAsia"/>
          <w:color w:val="000000"/>
          <w:kern w:val="0"/>
          <w:sz w:val="28"/>
          <w:szCs w:val="28"/>
          <w:lang w:val="en-US" w:eastAsia="zh-CN" w:bidi="ar"/>
        </w:rPr>
        <w:t xml:space="preserve">）为 </w:t>
      </w:r>
      <w:r>
        <w:rPr>
          <w:rFonts w:hint="default" w:asciiTheme="minorEastAsia" w:hAnsiTheme="minorEastAsia" w:eastAsiaTheme="minorEastAsia" w:cstheme="minorEastAsia"/>
          <w:color w:val="000000"/>
          <w:kern w:val="0"/>
          <w:sz w:val="28"/>
          <w:szCs w:val="28"/>
          <w:lang w:val="en-US" w:eastAsia="zh-CN" w:bidi="ar"/>
        </w:rPr>
        <w:t>0.01mg/kg bw</w:t>
      </w:r>
      <w:r>
        <w:rPr>
          <w:rFonts w:hint="eastAsia" w:asciiTheme="minorEastAsia" w:hAnsiTheme="minorEastAsia" w:eastAsiaTheme="minorEastAsia" w:cstheme="minorEastAsia"/>
          <w:color w:val="000000"/>
          <w:kern w:val="0"/>
          <w:sz w:val="28"/>
          <w:szCs w:val="28"/>
          <w:lang w:val="en-US" w:eastAsia="zh-CN" w:bidi="ar"/>
        </w:rPr>
        <w:t>（</w:t>
      </w:r>
      <w:r>
        <w:rPr>
          <w:rFonts w:hint="default" w:asciiTheme="minorEastAsia" w:hAnsiTheme="minorEastAsia" w:eastAsiaTheme="minorEastAsia" w:cstheme="minorEastAsia"/>
          <w:color w:val="000000"/>
          <w:kern w:val="0"/>
          <w:sz w:val="28"/>
          <w:szCs w:val="28"/>
          <w:lang w:val="en-US" w:eastAsia="zh-CN" w:bidi="ar"/>
        </w:rPr>
        <w:t>2001</w:t>
      </w:r>
      <w:r>
        <w:rPr>
          <w:rFonts w:hint="eastAsia" w:asciiTheme="minorEastAsia" w:hAnsiTheme="minorEastAsia" w:eastAsiaTheme="minorEastAsia" w:cstheme="minorEastAsia"/>
          <w:color w:val="000000"/>
          <w:kern w:val="0"/>
          <w:sz w:val="28"/>
          <w:szCs w:val="28"/>
          <w:lang w:val="en-US" w:eastAsia="zh-CN" w:bidi="ar"/>
        </w:rPr>
        <w:t>）；急性参考剂量（</w:t>
      </w:r>
      <w:r>
        <w:rPr>
          <w:rFonts w:hint="default" w:asciiTheme="minorEastAsia" w:hAnsiTheme="minorEastAsia" w:eastAsiaTheme="minorEastAsia" w:cstheme="minorEastAsia"/>
          <w:color w:val="000000"/>
          <w:kern w:val="0"/>
          <w:sz w:val="28"/>
          <w:szCs w:val="28"/>
          <w:lang w:val="en-US" w:eastAsia="zh-CN" w:bidi="ar"/>
        </w:rPr>
        <w:t>ARfD</w:t>
      </w:r>
      <w:r>
        <w:rPr>
          <w:rFonts w:hint="eastAsia" w:asciiTheme="minorEastAsia" w:hAnsiTheme="minorEastAsia" w:eastAsiaTheme="minorEastAsia" w:cstheme="minorEastAsia"/>
          <w:color w:val="000000"/>
          <w:kern w:val="0"/>
          <w:sz w:val="28"/>
          <w:szCs w:val="28"/>
          <w:lang w:val="en-US" w:eastAsia="zh-CN" w:bidi="ar"/>
        </w:rPr>
        <w:t xml:space="preserve">）为 </w:t>
      </w:r>
      <w:r>
        <w:rPr>
          <w:rFonts w:hint="default" w:asciiTheme="minorEastAsia" w:hAnsiTheme="minorEastAsia" w:eastAsiaTheme="minorEastAsia" w:cstheme="minorEastAsia"/>
          <w:color w:val="000000"/>
          <w:kern w:val="0"/>
          <w:sz w:val="28"/>
          <w:szCs w:val="28"/>
          <w:lang w:val="en-US" w:eastAsia="zh-CN" w:bidi="ar"/>
        </w:rPr>
        <w:t>0.1mg/kg bw</w:t>
      </w:r>
      <w:r>
        <w:rPr>
          <w:rFonts w:hint="eastAsia" w:asciiTheme="minorEastAsia" w:hAnsiTheme="minorEastAsia" w:eastAsiaTheme="minorEastAsia" w:cstheme="minorEastAsia"/>
          <w:color w:val="000000"/>
          <w:kern w:val="0"/>
          <w:sz w:val="28"/>
          <w:szCs w:val="28"/>
          <w:lang w:val="en-US" w:eastAsia="zh-CN" w:bidi="ar"/>
        </w:rPr>
        <w:t>（</w:t>
      </w:r>
      <w:r>
        <w:rPr>
          <w:rFonts w:hint="default" w:asciiTheme="minorEastAsia" w:hAnsiTheme="minorEastAsia" w:eastAsiaTheme="minorEastAsia" w:cstheme="minorEastAsia"/>
          <w:color w:val="000000"/>
          <w:kern w:val="0"/>
          <w:sz w:val="28"/>
          <w:szCs w:val="28"/>
          <w:lang w:val="en-US" w:eastAsia="zh-CN" w:bidi="ar"/>
        </w:rPr>
        <w:t>2001</w:t>
      </w:r>
      <w:r>
        <w:rPr>
          <w:rFonts w:hint="eastAsia" w:asciiTheme="minorEastAsia" w:hAnsiTheme="minorEastAsia" w:eastAsiaTheme="minorEastAsia" w:cstheme="minorEastAsia"/>
          <w:color w:val="000000"/>
          <w:kern w:val="0"/>
          <w:sz w:val="28"/>
          <w:szCs w:val="28"/>
          <w:lang w:val="en-US" w:eastAsia="zh-CN" w:bidi="ar"/>
        </w:rPr>
        <w:t xml:space="preserve">）。 </w:t>
      </w:r>
    </w:p>
    <w:bookmarkEnd w:id="0"/>
    <w:p>
      <w:pPr>
        <w:pStyle w:val="2"/>
        <w:ind w:left="0" w:leftChars="0" w:firstLine="0" w:firstLineChars="0"/>
        <w:rPr>
          <w:rFonts w:ascii="宋体" w:hAnsi="宋体" w:eastAsia="宋体" w:cs="宋体"/>
          <w:b/>
          <w:bCs/>
          <w:sz w:val="32"/>
          <w:szCs w:val="32"/>
        </w:rPr>
      </w:pPr>
      <w:r>
        <w:rPr>
          <w:rFonts w:ascii="宋体" w:hAnsi="宋体" w:eastAsia="宋体" w:cs="宋体"/>
          <w:b/>
          <w:bCs/>
          <w:sz w:val="32"/>
          <w:szCs w:val="32"/>
        </w:rPr>
        <w:t>噻虫嗪</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噻虫嗪（thiamethoxam），具有触杀、胃毒和内吸作用的杀虫剂。能被迅速吸收到植 物体内，并在木质部向顶传导。防治蚜虫、粉虱、蓟马、稻飞虱、稻褐蝽、粉蚧、蛴螬、 科罗拉多马铃薯甲虫、跳甲、金针虫、步行虫、潜叶虫和一些鳞翅目害虫。可用于茎叶和 土壤处理的主要农作物有芸薹属作物、叶菜类和果菜类、马铃薯、水稻、棉花、落叶果树、 咖啡、柑橘、烟草和大豆；种子处理主要用于玉米、高粱、谷物、甜菜、油料油菜、棉花、 豌豆、蚕豆、向日葵、水稻和马铃薯。也可用于动物和公共卫生，防治蝇类（如家蝇、厕 蝇和果蝇）。大鼠急性经口 LD50 为 1563mg/kg，急性毒性分级为低毒级。烟碱类杀虫剂。 中毒可出现恶心、呕吐、头痛、乏力、心跳过速等。食用食品一般不会导致噻虫嗪的急性 中毒，但长期食用噻虫嗪超标的食品，对人体健康也有一定影响。</w:t>
      </w:r>
    </w:p>
    <w:p>
      <w:pPr>
        <w:pStyle w:val="2"/>
        <w:ind w:left="0" w:leftChars="0" w:firstLine="0" w:firstLine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二氧化硫</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二氧化硫（sulfur dioxide）是食品加工中常用的漂白剂和防腐剂，遇水以后形成亚硫 酸。二氧化硫被氧化时可使食品的着色物质还原褪色，亚硫酸对食品的褐变有抑制作用， 对细菌、真菌、酵母菌也有抑制作用，因此既是漂白剂又是防腐剂。 二氧化硫进入人体内后最终转化为硫酸盐并随尿液排出体外。少量二氧化硫进入人体 不会对身体带来健康危害，但若过量食用会引起如恶心、呕吐等胃肠道反应。 联合国粮农组织（FAO）和世界卫生组织食品添加剂联合专家委员会（JECFA）建议 其日容许摄入量（ADI）为 0~0.7mg/kg bw。 二氧化硫不符合标准的原因可能有，个别生产经营企业使用劣质原料以降低成本，其 后为了提高产品色泽超量使用二氧化硫；也有可能是使用时不计量或计量不准确；还有可能是由于使用硫磺熏蒸漂白这种传统工艺或直接使用亚硫酸盐浸泡保鲜所造成。</w:t>
      </w:r>
    </w:p>
    <w:p>
      <w:pPr>
        <w:pStyle w:val="2"/>
        <w:ind w:left="0" w:leftChars="0" w:firstLine="0" w:firstLineChars="0"/>
        <w:rPr>
          <w:rFonts w:ascii="宋体" w:hAnsi="宋体" w:eastAsia="宋体" w:cs="宋体"/>
          <w:b/>
          <w:bCs/>
          <w:sz w:val="32"/>
          <w:szCs w:val="32"/>
        </w:rPr>
      </w:pPr>
      <w:r>
        <w:rPr>
          <w:rFonts w:ascii="宋体" w:hAnsi="宋体" w:eastAsia="宋体" w:cs="宋体"/>
          <w:b/>
          <w:bCs/>
          <w:sz w:val="32"/>
          <w:szCs w:val="32"/>
        </w:rPr>
        <w:t>戊唑醇</w:t>
      </w:r>
    </w:p>
    <w:p>
      <w:pPr>
        <w:rPr>
          <w:rFonts w:hint="eastAsia" w:ascii="仿宋" w:hAnsi="仿宋" w:eastAsia="仿宋" w:cs="仿宋"/>
          <w:sz w:val="30"/>
          <w:szCs w:val="30"/>
        </w:rPr>
      </w:pP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val="en-US" w:eastAsia="zh-CN"/>
        </w:rPr>
        <w:t xml:space="preserve">  </w:t>
      </w:r>
      <w:r>
        <w:rPr>
          <w:rFonts w:hint="eastAsia" w:ascii="仿宋" w:hAnsi="仿宋" w:eastAsia="仿宋" w:cs="仿宋"/>
          <w:sz w:val="30"/>
          <w:szCs w:val="30"/>
        </w:rPr>
        <w:t>戊唑醇（tebuconazole），具有保护、治疗和铲除作用的内吸性杀菌剂。迅速被植物营 养部位吸收，主要向顶传导至各营养部位。戊菌唑作拌种剂使用，可有效防治谷物上各种 黑穗病和腥黑穗病。喷雾使用时，戊唑醇可防治各种作物上的众多病害，包括：锈病（柄 锈菌）、白粉病（禾白粉菌）、云纹病（黑麦喙孢喙）、壳针孢属病害、核腔菌属病害、 黄瓜旋孢腔菌病害、谷物上的赤霉病（镰刀菌）、叶斑病（球腔菌）、叶锈病（柄锈科）、 花生上的白绢病、香蕉上的黑色条斑病、茎腐病（菌核病）、交链孢属病害、茎溃疡病（十 字花科小球腔）、油菜上的芸薹属埋核盘菌病害、茶树上的水泡病（茶饼病）、大豆上的 油料层锈菌病害、褐腐菌病害、白粉病（白粉病菌）、单丝壳菌病害、痂病（黑星病菌）、 梨果和核果上的苹果白腐病（葡萄座腔）、葡萄白粉病、锈病（驼孢锈菌）、浆果斑病（尾 孢菌）咖啡上的美洲叶斑病、白腐病（白腐小核菌）、鳞茎类蔬菜上的紫斑病（葱链格孢）、 豆类上的叶斑病、番茄和马铃薯上的早疫病。雄大鼠急性经口 LD50 为 4000mg/kg、雌大鼠 为 1700mg/kg，急性毒性分级为低毒级。有机杂环类杀菌剂，经口毒性低，一般对皮肤有 刺激性，若引起中毒，其症状表现为头晕、恶心、呕吐、面色潮红等。食用食品一般不会 导致戊唑醇的急性中毒，但长期食用戊唑醇超标的食品，对人体健康也有一定影响。</w:t>
      </w:r>
    </w:p>
    <w:p>
      <w:pPr>
        <w:pStyle w:val="2"/>
        <w:ind w:left="0" w:leftChars="0" w:firstLine="0" w:firstLineChars="0"/>
        <w:rPr>
          <w:rFonts w:ascii="宋体" w:hAnsi="宋体" w:eastAsia="宋体" w:cs="宋体"/>
          <w:b w:val="0"/>
          <w:bCs w:val="0"/>
          <w:sz w:val="32"/>
          <w:szCs w:val="32"/>
        </w:rPr>
      </w:pPr>
      <w:r>
        <w:rPr>
          <w:rFonts w:ascii="宋体" w:hAnsi="宋体" w:eastAsia="宋体" w:cs="宋体"/>
          <w:b/>
          <w:bCs/>
          <w:sz w:val="32"/>
          <w:szCs w:val="32"/>
        </w:rPr>
        <w:t>吡唑醚菌酯</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吡唑醚菌酯（pyraclostrobin），是具有保护、治疗和传导作用的杀菌剂。会引起像推 迟衰老、叶片变绿、对生物和非生物胁迫耐受性更好等生理效应，能更有效地利用水和氮。 用于防治主要的植物病害，如谷物的小麦壳针孢、柄锈菌、小麦德斯霉菌、肝圆核腔菌、 黑麦喙孢菌和麦颖枯病，花生的球腔菌，大豆的线虫病、思茅松毛虫病和大豆锈菌，葡萄 的霜霉病和白粉菌，马铃薯和番茄的疫霉病和早疫病，黄瓜的霜霉病和白粉病，香蕉的黑 条叶斑病菌，柑橘的痂囊腔菌和球座菌，草坪的纹枯病和腐霉菌。大鼠急性经口 LD50＞ 5000mg/kg，急性毒性分级为微毒级。对皮肤、眼睛和呼吸道等有刺激作用，无人体全身 性中毒报道。食用食品一般不会导致吡唑醚菌酯的急性中毒，但长期食用吡唑醚菌酯超标 的食品，对人体健康也有一定影响。</w:t>
      </w:r>
    </w:p>
    <w:p>
      <w:pPr>
        <w:pStyle w:val="2"/>
        <w:ind w:left="0" w:leftChars="0" w:firstLine="0" w:firstLineChars="0"/>
        <w:rPr>
          <w:rFonts w:hint="eastAsia"/>
          <w:b/>
          <w:bCs/>
          <w:sz w:val="32"/>
          <w:szCs w:val="32"/>
          <w:lang w:val="en-US" w:eastAsia="zh-CN"/>
        </w:rPr>
      </w:pPr>
      <w:r>
        <w:rPr>
          <w:rFonts w:hint="eastAsia"/>
          <w:b/>
          <w:bCs/>
          <w:sz w:val="32"/>
          <w:szCs w:val="32"/>
          <w:lang w:val="en-US" w:eastAsia="zh-CN"/>
        </w:rPr>
        <w:t>苯醚甲环唑</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苯醚甲环唑（difenoconazole），是高效广谱杀菌剂，对蔬菜和瓜果等多种真菌性病害 具有很好的防治作用。大鼠经口急性毒性 LD50 约为 1453mg/kg，急性毒性剂量分级为低毒 级，对皮肤、眼睛有刺激作用。相关研究未见遗传毒性。但长期反复接触是否有蓄积作用 和远期效应，尚无明确科学证据。食用食品一般不会导致苯醚甲环唑的急性中毒，但长期 食用苯醚甲环唑超标的食品，对人体健康也有一定影响。</w:t>
      </w:r>
    </w:p>
    <w:p>
      <w:pPr>
        <w:pStyle w:val="2"/>
        <w:ind w:left="0" w:leftChars="0" w:firstLine="0" w:firstLine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甜蜜素(以环己基氨基磺酸计)</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sz w:val="30"/>
          <w:szCs w:val="30"/>
        </w:rPr>
        <w:t>甜蜜素（Sodium cyclamate），化学名称为环己基氨基磺酸钠，是一种常用甜味剂，其甜度是蔗糖的 30～80 倍，可用于饮料、果汁、冰激凌、糕点、蜜饯等食品。甜蜜素是由环己胺和氯磺酸或氨基磺酸或三氧化硫反应后，用氢氧化钠处理，再重新结晶制得的一种白色结晶粉末。风味较自然，后苦不明显，热稳定性高，是不被人体吸收的低热能甜味剂。人体不吸收甜蜜素，几乎全部原样从粪便排出。联合国粮食及农业组织（FAO）和世界卫生组织（WHO）食品添加剂联合专家委员会（JECFA）建议其日容许摄入量（ADI）为 0-11 mg/kg bw。</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mQxYjcyMmVhOTQ4MGJhMDBlZjliMGQ5MDkzMjkifQ=="/>
  </w:docVars>
  <w:rsids>
    <w:rsidRoot w:val="00DD2A16"/>
    <w:rsid w:val="00027AE5"/>
    <w:rsid w:val="001E5FC9"/>
    <w:rsid w:val="00303ECC"/>
    <w:rsid w:val="004834C7"/>
    <w:rsid w:val="00671C85"/>
    <w:rsid w:val="006E1CEC"/>
    <w:rsid w:val="007372AD"/>
    <w:rsid w:val="007C7901"/>
    <w:rsid w:val="00C43962"/>
    <w:rsid w:val="00D54F5A"/>
    <w:rsid w:val="00DD2A16"/>
    <w:rsid w:val="00DD7844"/>
    <w:rsid w:val="00F04335"/>
    <w:rsid w:val="02ED2B49"/>
    <w:rsid w:val="03934F7A"/>
    <w:rsid w:val="05534297"/>
    <w:rsid w:val="098F4842"/>
    <w:rsid w:val="0EC12832"/>
    <w:rsid w:val="0F826F7A"/>
    <w:rsid w:val="10383FC1"/>
    <w:rsid w:val="114D497D"/>
    <w:rsid w:val="132165A5"/>
    <w:rsid w:val="156E7D4E"/>
    <w:rsid w:val="18A60E91"/>
    <w:rsid w:val="1A4735A4"/>
    <w:rsid w:val="1B4D1CD1"/>
    <w:rsid w:val="1D3A4B0E"/>
    <w:rsid w:val="1F304B38"/>
    <w:rsid w:val="2C41051B"/>
    <w:rsid w:val="2E0E654D"/>
    <w:rsid w:val="2E28090E"/>
    <w:rsid w:val="2EB95238"/>
    <w:rsid w:val="2FC91FF1"/>
    <w:rsid w:val="31E51036"/>
    <w:rsid w:val="337C4672"/>
    <w:rsid w:val="339A1944"/>
    <w:rsid w:val="398E7631"/>
    <w:rsid w:val="3C10210C"/>
    <w:rsid w:val="3C607B8E"/>
    <w:rsid w:val="413D3D02"/>
    <w:rsid w:val="44934779"/>
    <w:rsid w:val="44F901B8"/>
    <w:rsid w:val="48391384"/>
    <w:rsid w:val="48AC18C0"/>
    <w:rsid w:val="4B8650D3"/>
    <w:rsid w:val="4BBC2510"/>
    <w:rsid w:val="4E124B0A"/>
    <w:rsid w:val="52996863"/>
    <w:rsid w:val="55C53FB4"/>
    <w:rsid w:val="5F4E20A8"/>
    <w:rsid w:val="61445759"/>
    <w:rsid w:val="62EF22EA"/>
    <w:rsid w:val="63071E94"/>
    <w:rsid w:val="68087C45"/>
    <w:rsid w:val="68315A9B"/>
    <w:rsid w:val="6C9C138F"/>
    <w:rsid w:val="70213B2A"/>
    <w:rsid w:val="71255E5C"/>
    <w:rsid w:val="737E7549"/>
    <w:rsid w:val="7C4010EE"/>
    <w:rsid w:val="7CF0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unhideWhenUsed/>
    <w:qFormat/>
    <w:uiPriority w:val="0"/>
    <w:pPr>
      <w:spacing w:after="120"/>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paragraph" w:customStyle="1" w:styleId="10">
    <w:name w:val="列出段落1"/>
    <w:basedOn w:val="1"/>
    <w:qFormat/>
    <w:uiPriority w:val="34"/>
    <w:pPr>
      <w:ind w:firstLine="420" w:firstLineChars="200"/>
    </w:pPr>
    <w:rPr>
      <w:rFonts w:ascii="Calibri" w:hAnsi="Calibri" w:eastAsia="宋体" w:cs="Times New Roman"/>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414</Words>
  <Characters>452</Characters>
  <Lines>4</Lines>
  <Paragraphs>1</Paragraphs>
  <TotalTime>12</TotalTime>
  <ScaleCrop>false</ScaleCrop>
  <LinksUpToDate>false</LinksUpToDate>
  <CharactersWithSpaces>464</CharactersWithSpaces>
  <Application>WPS Office_11.8.2.8411_F1E327BC-269C-435d-A152-05C5408002CA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2020-02-18T03:43:00Z</dcterms:created>
  <dc:creator>微软用户</dc:creator>
  <lastModifiedBy>Administrator</lastModifiedBy>
  <lastPrinted>2020-02-21T02:56:00Z</lastPrinted>
  <dcterms:modified xsi:type="dcterms:W3CDTF">2025-06-17T08:09:20Z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FDBFC281FDCB414A8647FF4A16DBA6FD_13</vt:lpwstr>
  </property>
</Properties>
</file>