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德清县财政票据管理中心</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pPr>
        <w:spacing w:line="560" w:lineRule="exact"/>
        <w:ind w:firstLine="590" w:firstLineChars="196"/>
        <w:rPr>
          <w:rStyle w:val="7"/>
          <w:color w:val="000000"/>
          <w:sz w:val="30"/>
          <w:szCs w:val="30"/>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r>
        <w:rPr>
          <w:rStyle w:val="7"/>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一、单位</w:t>
      </w:r>
      <w:r>
        <w:rPr>
          <w:rStyle w:val="7"/>
          <w:rFonts w:hint="eastAsia" w:ascii="黑体" w:eastAsia="黑体"/>
          <w:b w:val="0"/>
          <w:color w:val="000000"/>
          <w:sz w:val="32"/>
          <w:szCs w:val="32"/>
        </w:rPr>
        <w:t>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rPr>
          <w:rStyle w:val="7"/>
          <w:rFonts w:ascii="黑体" w:eastAsia="黑体"/>
          <w:b w:val="0"/>
          <w:color w:val="000000"/>
          <w:sz w:val="32"/>
          <w:szCs w:val="32"/>
        </w:rPr>
      </w:pPr>
      <w:r>
        <w:rPr>
          <w:rStyle w:val="7"/>
          <w:rFonts w:hint="eastAsia" w:ascii="黑体" w:eastAsia="黑体"/>
          <w:b w:val="0"/>
          <w:color w:val="000000"/>
          <w:sz w:val="32"/>
          <w:szCs w:val="32"/>
        </w:rPr>
        <w:t>二、</w:t>
      </w:r>
      <w:r>
        <w:rPr>
          <w:rStyle w:val="7"/>
          <w:rFonts w:hint="eastAsia" w:ascii="黑体" w:eastAsia="黑体"/>
          <w:b w:val="0"/>
          <w:color w:val="000000"/>
          <w:sz w:val="32"/>
          <w:szCs w:val="32"/>
          <w:lang w:eastAsia="zh-CN"/>
        </w:rPr>
        <w:t>2025年</w:t>
      </w:r>
      <w:r>
        <w:rPr>
          <w:rStyle w:val="7"/>
          <w:rFonts w:hint="eastAsia" w:ascii="黑体" w:eastAsia="黑体"/>
          <w:b w:val="0"/>
          <w:color w:val="000000"/>
          <w:sz w:val="32"/>
          <w:szCs w:val="32"/>
        </w:rPr>
        <w:t>德清县财政票据管理中心单位预算安排情况说明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（一）关于德清县财政票据管理中心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（二）关于德清县财政票据管理中心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（三）关于德清县财政票据管理中心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（四）关于德清县财政票据管理中心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（五）关于德清县财政票据管理中心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（六）关于德清县财政票据管理中心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（七）关于德清县财政票据管理中心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（八）关于德清县财政票据管理中心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（九）关于德清县财政票据管理中心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4"/>
        <w:spacing w:line="520" w:lineRule="exact"/>
        <w:rPr>
          <w:rStyle w:val="7"/>
          <w:rFonts w:ascii="黑体" w:hAnsi="Calibri" w:eastAsia="黑体"/>
          <w:b w:val="0"/>
          <w:color w:val="000000"/>
          <w:kern w:val="2"/>
          <w:sz w:val="32"/>
          <w:szCs w:val="32"/>
        </w:rPr>
      </w:pPr>
      <w:r>
        <w:rPr>
          <w:rStyle w:val="7"/>
          <w:rFonts w:hint="eastAsia" w:ascii="黑体" w:hAnsi="Calibri" w:eastAsia="黑体"/>
          <w:b w:val="0"/>
          <w:color w:val="000000"/>
          <w:kern w:val="2"/>
          <w:sz w:val="32"/>
          <w:szCs w:val="32"/>
        </w:rPr>
        <w:t>三、名词解释</w:t>
      </w:r>
    </w:p>
    <w:p>
      <w:pPr>
        <w:spacing w:line="520" w:lineRule="exact"/>
        <w:rPr>
          <w:rStyle w:val="7"/>
          <w:rFonts w:ascii="黑体" w:eastAsia="黑体"/>
          <w:b w:val="0"/>
          <w:color w:val="000000"/>
          <w:sz w:val="32"/>
          <w:szCs w:val="32"/>
        </w:rPr>
      </w:pPr>
      <w:r>
        <w:rPr>
          <w:rStyle w:val="7"/>
          <w:rFonts w:hint="eastAsia" w:ascii="黑体" w:eastAsia="黑体"/>
          <w:b w:val="0"/>
          <w:color w:val="000000"/>
          <w:sz w:val="32"/>
          <w:szCs w:val="32"/>
        </w:rPr>
        <w:t>四、</w:t>
      </w:r>
      <w:r>
        <w:rPr>
          <w:rStyle w:val="7"/>
          <w:rFonts w:hint="eastAsia" w:ascii="黑体" w:eastAsia="黑体"/>
          <w:b w:val="0"/>
          <w:color w:val="000000"/>
          <w:sz w:val="32"/>
          <w:szCs w:val="32"/>
          <w:lang w:eastAsia="zh-CN"/>
        </w:rPr>
        <w:t>2025年</w:t>
      </w:r>
      <w:r>
        <w:rPr>
          <w:rStyle w:val="7"/>
          <w:rFonts w:hint="eastAsia" w:ascii="黑体" w:eastAsia="黑体"/>
          <w:b w:val="0"/>
          <w:color w:val="000000"/>
          <w:sz w:val="32"/>
          <w:szCs w:val="32"/>
        </w:rPr>
        <w:t>德清县财政票据管理中心单位预算表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pPr>
        <w:autoSpaceDE w:val="0"/>
        <w:autoSpaceDN w:val="0"/>
        <w:adjustRightInd w:val="0"/>
        <w:ind w:left="420" w:leftChars="200"/>
        <w:jc w:val="left"/>
        <w:rPr>
          <w:rStyle w:val="7"/>
          <w:rFonts w:ascii="楷体_GB2312" w:hAnsi="楷体_GB2312" w:eastAsia="楷体_GB2312" w:cs="楷体_GB2312"/>
          <w:b w:val="0"/>
          <w:sz w:val="32"/>
          <w:szCs w:val="32"/>
        </w:rPr>
      </w:pPr>
      <w:r>
        <w:rPr>
          <w:rFonts w:hint="eastAsia" w:ascii="楷体_GB2312" w:hAnsi="楷体_GB2312" w:eastAsia="楷体_GB2312" w:cs="楷体_GB2312"/>
          <w:bCs/>
          <w:sz w:val="32"/>
          <w:szCs w:val="32"/>
        </w:rPr>
        <w:t>（十一）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单位项目支出绩效表</w:t>
      </w: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tabs>
          <w:tab w:val="left" w:pos="2608"/>
        </w:tabs>
        <w:rPr>
          <w:rStyle w:val="7"/>
          <w:rFonts w:hint="default" w:ascii="黑体" w:eastAsia="黑体"/>
          <w:b w:val="0"/>
          <w:sz w:val="32"/>
          <w:szCs w:val="32"/>
        </w:rPr>
      </w:pPr>
      <w:r>
        <w:rPr>
          <w:rStyle w:val="7"/>
          <w:rFonts w:ascii="黑体" w:eastAsia="黑体"/>
          <w:b w:val="0"/>
          <w:sz w:val="32"/>
          <w:szCs w:val="32"/>
        </w:rPr>
        <w:tab/>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Style w:val="7"/>
          <w:rFonts w:ascii="Times New Roman" w:hAnsi="Times New Roman" w:eastAsia="黑体"/>
          <w:b w:val="0"/>
          <w:color w:val="000000"/>
          <w:sz w:val="32"/>
          <w:szCs w:val="32"/>
        </w:rPr>
      </w:pPr>
      <w:r>
        <w:rPr>
          <w:rStyle w:val="7"/>
          <w:rFonts w:hint="eastAsia" w:ascii="Times New Roman" w:hAnsi="Times New Roman" w:eastAsia="黑体"/>
          <w:b w:val="0"/>
          <w:color w:val="000000"/>
          <w:sz w:val="32"/>
          <w:szCs w:val="32"/>
        </w:rPr>
        <w:t>一、单位概况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（一）主要职能</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1、承担全县财政票据管理的具体工作，协助拟订全县财政票据管理制度和政策。</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2、负责相关</w:t>
      </w:r>
      <w:r>
        <w:rPr>
          <w:rFonts w:ascii="Times New Roman" w:hAnsi="Times New Roman" w:eastAsia="仿宋_GB2312"/>
          <w:bCs/>
          <w:color w:val="000000"/>
          <w:sz w:val="32"/>
          <w:szCs w:val="32"/>
        </w:rPr>
        <w:t>财政票据的申印。承担全县财政票据的申领、发放、审验、核销、销毁等工作。</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3、承担全县财政电子票据改革相关工作。</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4、负责全县财政电子票据的赋码、传输、查验等工作。</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5、协助开展全县财政票据的专项稽查工作。</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6、完成上级交办的其他任务。</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（二）单位机构设置情况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bCs/>
          <w:sz w:val="32"/>
          <w:szCs w:val="32"/>
        </w:rPr>
      </w:pPr>
      <w:r>
        <w:rPr>
          <w:rFonts w:hint="eastAsia" w:ascii="Times New Roman" w:hAnsi="Times New Roman" w:eastAsia="仿宋_GB2312"/>
          <w:bCs/>
          <w:sz w:val="32"/>
          <w:szCs w:val="32"/>
        </w:rPr>
        <w:t>从预算单位构成看，德清县财政票据管理中心预算包括：本单位预算。</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楷体_GB2312" w:cs="楷体_GB2312"/>
          <w:color w:val="000000"/>
          <w:sz w:val="32"/>
          <w:szCs w:val="32"/>
        </w:rPr>
      </w:pPr>
      <w:r>
        <w:rPr>
          <w:rStyle w:val="7"/>
          <w:rFonts w:hint="eastAsia" w:ascii="Times New Roman" w:hAnsi="Times New Roman" w:eastAsia="黑体"/>
          <w:b w:val="0"/>
          <w:color w:val="000000"/>
          <w:sz w:val="32"/>
          <w:szCs w:val="32"/>
        </w:rPr>
        <w:t>二、</w:t>
      </w:r>
      <w:r>
        <w:rPr>
          <w:rStyle w:val="7"/>
          <w:rFonts w:hint="eastAsia" w:ascii="Times New Roman" w:hAnsi="Times New Roman" w:eastAsia="黑体"/>
          <w:b w:val="0"/>
          <w:color w:val="000000"/>
          <w:sz w:val="32"/>
          <w:szCs w:val="32"/>
          <w:lang w:eastAsia="zh-CN"/>
        </w:rPr>
        <w:t>2025年</w:t>
      </w:r>
      <w:r>
        <w:rPr>
          <w:rStyle w:val="7"/>
          <w:rFonts w:hint="eastAsia" w:ascii="Times New Roman" w:hAnsi="Times New Roman" w:eastAsia="黑体"/>
          <w:b w:val="0"/>
          <w:color w:val="000000"/>
          <w:sz w:val="32"/>
          <w:szCs w:val="32"/>
        </w:rPr>
        <w:t>德清县财政票据管理中心单位预算安排情况说明</w:t>
      </w:r>
      <w:r>
        <w:rPr>
          <w:rFonts w:hint="eastAsia" w:ascii="Times New Roman" w:hAnsi="Times New Roman"/>
          <w:color w:val="000000"/>
          <w:sz w:val="32"/>
          <w:szCs w:val="32"/>
        </w:rPr>
        <w:br w:type="textWrapping"/>
      </w:r>
      <w:r>
        <w:rPr>
          <w:rFonts w:hint="eastAsia" w:ascii="Times New Roman" w:hAnsi="Times New Roman" w:eastAsia="仿宋_GB2312"/>
          <w:b/>
          <w:bCs/>
          <w:color w:val="000000"/>
          <w:sz w:val="32"/>
          <w:szCs w:val="32"/>
        </w:rPr>
        <w:t>　　</w:t>
      </w:r>
      <w:r>
        <w:rPr>
          <w:rFonts w:hint="eastAsia" w:ascii="Times New Roman" w:hAnsi="Times New Roman" w:eastAsia="楷体_GB2312" w:cs="楷体_GB2312"/>
          <w:color w:val="000000"/>
          <w:sz w:val="32"/>
          <w:szCs w:val="32"/>
        </w:rPr>
        <w:t>（一）关于德清县财政票据管理中心</w:t>
      </w:r>
      <w:r>
        <w:rPr>
          <w:rStyle w:val="7"/>
          <w:rFonts w:hint="eastAsia" w:ascii="Times New Roman" w:hAnsi="Times New Roman" w:eastAsia="楷体_GB2312" w:cs="楷体_GB2312"/>
          <w:b w:val="0"/>
          <w:bCs w:val="0"/>
          <w:color w:val="000000"/>
          <w:sz w:val="32"/>
          <w:szCs w:val="32"/>
          <w:lang w:eastAsia="zh-CN"/>
        </w:rPr>
        <w:t>2025年</w:t>
      </w:r>
      <w:r>
        <w:rPr>
          <w:rStyle w:val="7"/>
          <w:rFonts w:hint="eastAsia" w:ascii="Times New Roman" w:hAnsi="Times New Roman" w:eastAsia="楷体_GB2312" w:cs="楷体_GB2312"/>
          <w:b w:val="0"/>
          <w:bCs w:val="0"/>
          <w:color w:val="000000"/>
          <w:sz w:val="32"/>
          <w:szCs w:val="32"/>
        </w:rPr>
        <w:t>收支预算情况的总体说明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jc w:val="both"/>
        <w:textAlignment w:val="auto"/>
        <w:rPr>
          <w:rFonts w:ascii="Times New Roman" w:hAnsi="Times New Roman" w:eastAsia="楷体_GB2312" w:cs="楷体_GB2312"/>
          <w:b/>
          <w:color w:val="000000"/>
          <w:sz w:val="32"/>
          <w:szCs w:val="32"/>
        </w:rPr>
      </w:pPr>
      <w:r>
        <w:rPr>
          <w:rFonts w:hint="eastAsia" w:ascii="Times New Roman" w:hAnsi="Times New Roman" w:eastAsia="仿宋_GB2312"/>
          <w:bCs/>
          <w:color w:val="000000"/>
          <w:sz w:val="32"/>
          <w:szCs w:val="32"/>
        </w:rPr>
        <w:t xml:space="preserve">    按照</w:t>
      </w:r>
      <w:r>
        <w:rPr>
          <w:rFonts w:hint="eastAsia" w:ascii="Times New Roman" w:hAnsi="Times New Roman" w:eastAsia="仿宋_GB2312"/>
          <w:bCs/>
          <w:sz w:val="32"/>
          <w:szCs w:val="32"/>
        </w:rPr>
        <w:t>综合预算的原则，德清县财政票据管理中心</w:t>
      </w:r>
      <w:r>
        <w:rPr>
          <w:rFonts w:hint="eastAsia" w:ascii="Times New Roman" w:hAnsi="Times New Roman" w:eastAsia="仿宋_GB2312"/>
          <w:color w:val="000000"/>
          <w:sz w:val="32"/>
          <w:szCs w:val="32"/>
        </w:rPr>
        <w:t>所有收入和支出均纳入部门预算管理。收入包括：一般公共预算拨款收入；支出包括：一般公共服务支出</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社会保障和就业支出、卫生健康支出。德清县财政票据管理中心</w:t>
      </w:r>
      <w:r>
        <w:rPr>
          <w:rFonts w:hint="eastAsia" w:ascii="Times New Roman" w:hAnsi="Times New Roman" w:eastAsia="仿宋_GB2312"/>
          <w:color w:val="000000"/>
          <w:sz w:val="32"/>
          <w:szCs w:val="32"/>
          <w:lang w:eastAsia="zh-CN"/>
        </w:rPr>
        <w:t>2025年</w:t>
      </w:r>
      <w:r>
        <w:rPr>
          <w:rFonts w:hint="eastAsia" w:ascii="Times New Roman" w:hAnsi="Times New Roman" w:eastAsia="仿宋_GB2312"/>
          <w:color w:val="000000"/>
          <w:sz w:val="32"/>
          <w:szCs w:val="32"/>
        </w:rPr>
        <w:t>收支总预算199.97万元。</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楷体_GB2312" w:cs="楷体_GB2312"/>
          <w:bCs/>
          <w:color w:val="000000"/>
          <w:sz w:val="32"/>
          <w:szCs w:val="32"/>
          <w:highlight w:val="none"/>
        </w:rPr>
      </w:pPr>
      <w:r>
        <w:rPr>
          <w:rFonts w:hint="eastAsia" w:ascii="Times New Roman" w:hAnsi="Times New Roman" w:eastAsia="楷体_GB2312" w:cs="楷体_GB2312"/>
          <w:bCs/>
          <w:color w:val="000000"/>
          <w:sz w:val="32"/>
          <w:szCs w:val="32"/>
        </w:rPr>
        <w:t>（二）关于德清县财政票据管理中心</w:t>
      </w:r>
      <w:r>
        <w:rPr>
          <w:rFonts w:hint="eastAsia" w:ascii="Times New Roman" w:hAnsi="Times New Roman" w:eastAsia="楷体_GB2312" w:cs="楷体_GB2312"/>
          <w:bCs/>
          <w:color w:val="000000"/>
          <w:sz w:val="32"/>
          <w:szCs w:val="32"/>
          <w:lang w:eastAsia="zh-CN"/>
        </w:rPr>
        <w:t>2025年</w:t>
      </w:r>
      <w:r>
        <w:rPr>
          <w:rFonts w:hint="eastAsia" w:ascii="Times New Roman" w:hAnsi="Times New Roman" w:eastAsia="楷体_GB2312" w:cs="楷体_GB2312"/>
          <w:bCs/>
          <w:color w:val="000000"/>
          <w:sz w:val="32"/>
          <w:szCs w:val="32"/>
        </w:rPr>
        <w:t>收入预算</w:t>
      </w:r>
      <w:r>
        <w:rPr>
          <w:rFonts w:hint="eastAsia" w:ascii="Times New Roman" w:hAnsi="Times New Roman" w:eastAsia="楷体_GB2312" w:cs="楷体_GB2312"/>
          <w:bCs/>
          <w:color w:val="000000"/>
          <w:sz w:val="32"/>
          <w:szCs w:val="32"/>
          <w:highlight w:val="none"/>
        </w:rPr>
        <w:t>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highlight w:val="none"/>
        </w:rPr>
      </w:pPr>
      <w:r>
        <w:rPr>
          <w:rFonts w:hint="eastAsia" w:ascii="Times New Roman" w:hAnsi="Times New Roman" w:eastAsia="仿宋_GB2312" w:cs="仿宋_GB2312"/>
          <w:color w:val="000000"/>
          <w:sz w:val="32"/>
          <w:szCs w:val="32"/>
          <w:highlight w:val="none"/>
        </w:rPr>
        <w:t>德清县财政票据管理中心</w:t>
      </w:r>
      <w:r>
        <w:rPr>
          <w:rFonts w:hint="eastAsia" w:ascii="Times New Roman" w:hAnsi="Times New Roman" w:eastAsia="仿宋_GB2312" w:cs="仿宋_GB2312"/>
          <w:color w:val="000000"/>
          <w:sz w:val="32"/>
          <w:szCs w:val="32"/>
          <w:highlight w:val="none"/>
          <w:lang w:eastAsia="zh-CN"/>
        </w:rPr>
        <w:t>2025年</w:t>
      </w:r>
      <w:r>
        <w:rPr>
          <w:rFonts w:hint="eastAsia" w:ascii="Times New Roman" w:hAnsi="Times New Roman" w:eastAsia="仿宋_GB2312" w:cs="仿宋_GB2312"/>
          <w:color w:val="000000"/>
          <w:sz w:val="32"/>
          <w:szCs w:val="32"/>
          <w:highlight w:val="none"/>
        </w:rPr>
        <w:t>收入预算199.97万元，比上年执行数增加</w:t>
      </w:r>
      <w:r>
        <w:rPr>
          <w:rFonts w:hint="eastAsia" w:ascii="Times New Roman" w:hAnsi="Times New Roman" w:eastAsia="仿宋_GB2312" w:cs="仿宋_GB2312"/>
          <w:color w:val="000000"/>
          <w:sz w:val="32"/>
          <w:szCs w:val="32"/>
          <w:highlight w:val="none"/>
          <w:lang w:val="en-US" w:eastAsia="zh-CN"/>
        </w:rPr>
        <w:t>11.95</w:t>
      </w:r>
      <w:r>
        <w:rPr>
          <w:rFonts w:hint="eastAsia" w:ascii="Times New Roman" w:hAnsi="Times New Roman" w:eastAsia="仿宋_GB2312" w:cs="仿宋_GB2312"/>
          <w:color w:val="000000"/>
          <w:sz w:val="32"/>
          <w:szCs w:val="32"/>
          <w:highlight w:val="none"/>
        </w:rPr>
        <w:t>万元，</w:t>
      </w:r>
      <w:r>
        <w:rPr>
          <w:rFonts w:hint="eastAsia" w:ascii="Times New Roman" w:hAnsi="Times New Roman" w:eastAsia="仿宋_GB2312" w:cs="仿宋_GB2312"/>
          <w:color w:val="000000"/>
          <w:sz w:val="32"/>
          <w:highlight w:val="none"/>
        </w:rPr>
        <w:t>增</w:t>
      </w:r>
      <w:r>
        <w:rPr>
          <w:rFonts w:hint="eastAsia" w:ascii="Times New Roman" w:hAnsi="Times New Roman" w:eastAsia="仿宋_GB2312" w:cs="仿宋_GB2312"/>
          <w:color w:val="000000"/>
          <w:sz w:val="32"/>
          <w:szCs w:val="32"/>
          <w:highlight w:val="none"/>
        </w:rPr>
        <w:t>长</w:t>
      </w:r>
      <w:r>
        <w:rPr>
          <w:rFonts w:hint="eastAsia" w:ascii="Times New Roman" w:hAnsi="Times New Roman" w:eastAsia="仿宋_GB2312" w:cs="仿宋_GB2312"/>
          <w:color w:val="000000"/>
          <w:sz w:val="32"/>
          <w:szCs w:val="32"/>
          <w:highlight w:val="none"/>
          <w:lang w:val="en-US" w:eastAsia="zh-CN"/>
        </w:rPr>
        <w:t>6.4</w:t>
      </w:r>
      <w:r>
        <w:rPr>
          <w:rFonts w:hint="eastAsia" w:ascii="Times New Roman" w:hAnsi="Times New Roman" w:eastAsia="仿宋_GB2312" w:cs="仿宋_GB2312"/>
          <w:color w:val="000000"/>
          <w:sz w:val="32"/>
          <w:highlight w:val="none"/>
        </w:rPr>
        <w:t>%，</w:t>
      </w:r>
      <w:r>
        <w:rPr>
          <w:rFonts w:hint="eastAsia" w:ascii="Times New Roman" w:hAnsi="Times New Roman" w:eastAsia="仿宋_GB2312" w:cs="仿宋_GB2312"/>
          <w:color w:val="000000"/>
          <w:sz w:val="32"/>
          <w:szCs w:val="32"/>
          <w:highlight w:val="none"/>
        </w:rPr>
        <w:t>主要是</w:t>
      </w:r>
      <w:r>
        <w:rPr>
          <w:rFonts w:hint="eastAsia" w:ascii="Times New Roman" w:hAnsi="Times New Roman" w:eastAsia="仿宋_GB2312" w:cs="仿宋_GB2312"/>
          <w:color w:val="000000"/>
          <w:sz w:val="32"/>
          <w:szCs w:val="32"/>
          <w:highlight w:val="none"/>
          <w:lang w:val="en-US" w:eastAsia="zh-CN"/>
        </w:rPr>
        <w:t>2024年下半年试用期转正一人</w:t>
      </w:r>
      <w:r>
        <w:rPr>
          <w:rFonts w:hint="eastAsia" w:ascii="Times New Roman" w:hAnsi="Times New Roman" w:eastAsia="仿宋_GB2312" w:cs="仿宋_GB2312"/>
          <w:color w:val="000000"/>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其中：一般公共预算拨款收入</w:t>
      </w:r>
      <w:r>
        <w:rPr>
          <w:rFonts w:ascii="Times New Roman" w:hAnsi="Times New Roman" w:eastAsia="仿宋_GB2312"/>
          <w:color w:val="000000"/>
          <w:sz w:val="32"/>
          <w:szCs w:val="32"/>
          <w:highlight w:val="none"/>
        </w:rPr>
        <w:t>199.97</w:t>
      </w:r>
      <w:r>
        <w:rPr>
          <w:rFonts w:hint="eastAsia" w:ascii="Times New Roman" w:hAnsi="Times New Roman" w:eastAsia="仿宋_GB2312"/>
          <w:color w:val="000000"/>
          <w:sz w:val="32"/>
          <w:szCs w:val="32"/>
          <w:highlight w:val="none"/>
        </w:rPr>
        <w:t>万元（上年结转0.00万元），占100.0%。</w:t>
      </w:r>
      <w:r>
        <w:rPr>
          <w:rFonts w:hint="eastAsia" w:ascii="Times New Roman" w:hAnsi="Times New Roman" w:eastAsia="仿宋_GB2312"/>
          <w:color w:val="000000"/>
          <w:sz w:val="32"/>
          <w:szCs w:val="32"/>
          <w:highlight w:val="none"/>
        </w:rPr>
        <w:br w:type="textWrapping"/>
      </w:r>
      <w:r>
        <w:rPr>
          <w:rFonts w:hint="eastAsia" w:ascii="Times New Roman" w:hAnsi="Times New Roman" w:eastAsia="楷体_GB2312" w:cs="楷体_GB2312"/>
          <w:bCs/>
          <w:color w:val="000000"/>
          <w:sz w:val="32"/>
          <w:szCs w:val="32"/>
          <w:highlight w:val="none"/>
        </w:rPr>
        <w:t>　　（三）关于德清县财政票据管理中心</w:t>
      </w:r>
      <w:r>
        <w:rPr>
          <w:rFonts w:hint="eastAsia" w:ascii="Times New Roman" w:hAnsi="Times New Roman" w:eastAsia="楷体_GB2312" w:cs="楷体_GB2312"/>
          <w:bCs/>
          <w:color w:val="000000"/>
          <w:sz w:val="32"/>
          <w:szCs w:val="32"/>
          <w:highlight w:val="none"/>
          <w:lang w:eastAsia="zh-CN"/>
        </w:rPr>
        <w:t>2025年</w:t>
      </w:r>
      <w:r>
        <w:rPr>
          <w:rFonts w:hint="eastAsia" w:ascii="Times New Roman" w:hAnsi="Times New Roman" w:eastAsia="楷体_GB2312" w:cs="楷体_GB2312"/>
          <w:bCs/>
          <w:color w:val="000000"/>
          <w:sz w:val="32"/>
          <w:szCs w:val="32"/>
          <w:highlight w:val="none"/>
        </w:rPr>
        <w:t>支出预算情况说明</w:t>
      </w:r>
      <w:r>
        <w:rPr>
          <w:rFonts w:hint="eastAsia" w:ascii="Times New Roman" w:hAnsi="Times New Roman" w:eastAsia="楷体_GB2312" w:cs="楷体_GB2312"/>
          <w:bCs/>
          <w:color w:val="000000"/>
          <w:sz w:val="32"/>
          <w:szCs w:val="32"/>
          <w:highlight w:val="none"/>
        </w:rPr>
        <w:br w:type="textWrapping"/>
      </w:r>
      <w:r>
        <w:rPr>
          <w:rFonts w:hint="eastAsia" w:ascii="Times New Roman" w:hAnsi="Times New Roman" w:eastAsia="仿宋_GB2312"/>
          <w:color w:val="000000"/>
          <w:sz w:val="32"/>
          <w:szCs w:val="32"/>
          <w:highlight w:val="none"/>
        </w:rPr>
        <w:t>　</w:t>
      </w:r>
      <w:r>
        <w:rPr>
          <w:rFonts w:hint="eastAsia" w:ascii="Times New Roman" w:hAnsi="Times New Roman" w:eastAsia="仿宋_GB2312" w:cs="仿宋_GB2312"/>
          <w:color w:val="000000"/>
          <w:sz w:val="32"/>
          <w:szCs w:val="32"/>
          <w:highlight w:val="none"/>
        </w:rPr>
        <w:t>　德清县财政票据管理中心</w:t>
      </w:r>
      <w:r>
        <w:rPr>
          <w:rFonts w:hint="eastAsia" w:ascii="Times New Roman" w:hAnsi="Times New Roman" w:eastAsia="仿宋_GB2312" w:cs="仿宋_GB2312"/>
          <w:color w:val="000000"/>
          <w:sz w:val="32"/>
          <w:szCs w:val="32"/>
          <w:highlight w:val="none"/>
          <w:lang w:eastAsia="zh-CN"/>
        </w:rPr>
        <w:t>2025年</w:t>
      </w:r>
      <w:r>
        <w:rPr>
          <w:rFonts w:hint="eastAsia" w:ascii="Times New Roman" w:hAnsi="Times New Roman" w:eastAsia="仿宋_GB2312" w:cs="仿宋_GB2312"/>
          <w:color w:val="000000"/>
          <w:sz w:val="32"/>
          <w:szCs w:val="32"/>
          <w:highlight w:val="none"/>
        </w:rPr>
        <w:t>支出预算199.97万元，比上年执行数增加</w:t>
      </w:r>
      <w:r>
        <w:rPr>
          <w:rFonts w:hint="eastAsia" w:ascii="Times New Roman" w:hAnsi="Times New Roman" w:eastAsia="仿宋_GB2312" w:cs="仿宋_GB2312"/>
          <w:color w:val="000000"/>
          <w:sz w:val="32"/>
          <w:szCs w:val="32"/>
          <w:highlight w:val="none"/>
          <w:lang w:val="en-US" w:eastAsia="zh-CN"/>
        </w:rPr>
        <w:t>11.95</w:t>
      </w:r>
      <w:r>
        <w:rPr>
          <w:rFonts w:hint="eastAsia" w:ascii="Times New Roman" w:hAnsi="Times New Roman" w:eastAsia="仿宋_GB2312" w:cs="仿宋_GB2312"/>
          <w:color w:val="000000"/>
          <w:sz w:val="32"/>
          <w:szCs w:val="32"/>
          <w:highlight w:val="none"/>
        </w:rPr>
        <w:t>万元，</w:t>
      </w:r>
      <w:r>
        <w:rPr>
          <w:rFonts w:hint="eastAsia" w:ascii="Times New Roman" w:hAnsi="Times New Roman" w:eastAsia="仿宋_GB2312" w:cs="仿宋_GB2312"/>
          <w:color w:val="000000"/>
          <w:sz w:val="32"/>
          <w:highlight w:val="none"/>
        </w:rPr>
        <w:t>增</w:t>
      </w:r>
      <w:r>
        <w:rPr>
          <w:rFonts w:hint="eastAsia" w:ascii="Times New Roman" w:hAnsi="Times New Roman" w:eastAsia="仿宋_GB2312" w:cs="仿宋_GB2312"/>
          <w:color w:val="000000"/>
          <w:sz w:val="32"/>
          <w:szCs w:val="32"/>
          <w:highlight w:val="none"/>
        </w:rPr>
        <w:t>长</w:t>
      </w:r>
      <w:r>
        <w:rPr>
          <w:rFonts w:hint="eastAsia" w:ascii="Times New Roman" w:hAnsi="Times New Roman" w:eastAsia="仿宋_GB2312" w:cs="仿宋_GB2312"/>
          <w:color w:val="000000"/>
          <w:sz w:val="32"/>
          <w:szCs w:val="32"/>
          <w:highlight w:val="none"/>
          <w:lang w:val="en-US" w:eastAsia="zh-CN"/>
        </w:rPr>
        <w:t>6.4</w:t>
      </w:r>
      <w:r>
        <w:rPr>
          <w:rFonts w:hint="eastAsia" w:ascii="Times New Roman" w:hAnsi="Times New Roman" w:eastAsia="仿宋_GB2312" w:cs="仿宋_GB2312"/>
          <w:color w:val="000000"/>
          <w:sz w:val="32"/>
          <w:highlight w:val="none"/>
        </w:rPr>
        <w:t>%，</w:t>
      </w:r>
      <w:r>
        <w:rPr>
          <w:rFonts w:hint="eastAsia" w:ascii="Times New Roman" w:hAnsi="Times New Roman" w:eastAsia="仿宋_GB2312" w:cs="仿宋_GB2312"/>
          <w:color w:val="000000"/>
          <w:sz w:val="32"/>
          <w:szCs w:val="32"/>
          <w:highlight w:val="none"/>
        </w:rPr>
        <w:t>主要是</w:t>
      </w:r>
      <w:r>
        <w:rPr>
          <w:rFonts w:hint="eastAsia" w:ascii="Times New Roman" w:hAnsi="Times New Roman" w:eastAsia="仿宋_GB2312" w:cs="仿宋_GB2312"/>
          <w:color w:val="000000"/>
          <w:sz w:val="32"/>
          <w:szCs w:val="32"/>
          <w:highlight w:val="none"/>
          <w:lang w:val="en-US" w:eastAsia="zh-CN"/>
        </w:rPr>
        <w:t>2024年下半年试用期转正一人</w:t>
      </w:r>
      <w:r>
        <w:rPr>
          <w:rFonts w:hint="eastAsia" w:ascii="Times New Roman" w:hAnsi="Times New Roman" w:eastAsia="仿宋_GB2312" w:cs="仿宋_GB2312"/>
          <w:color w:val="000000"/>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30"/>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1.按支出功能分类，包括一般公共服务支出150.27万元、社会保障和就业支出33.24万元</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卫生健康支出16.47万元。</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2.按支出用途分类，包括人员支出197.81万元，占98.9%；日常公用支出2.16万元，占1.1%；。</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年终结转结余0.00万元。</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Fonts w:ascii="Times New Roman" w:hAnsi="Times New Roman" w:eastAsia="楷体_GB2312" w:cs="楷体_GB2312"/>
          <w:bCs/>
          <w:color w:val="000000"/>
          <w:sz w:val="32"/>
          <w:szCs w:val="32"/>
        </w:rPr>
      </w:pPr>
      <w:r>
        <w:rPr>
          <w:rFonts w:hint="eastAsia" w:ascii="Times New Roman" w:hAnsi="Times New Roman" w:eastAsia="楷体_GB2312" w:cs="楷体_GB2312"/>
          <w:bCs/>
          <w:color w:val="000000"/>
          <w:sz w:val="32"/>
          <w:szCs w:val="32"/>
        </w:rPr>
        <w:t>（四）关于德清县财政票据管理中心</w:t>
      </w:r>
      <w:r>
        <w:rPr>
          <w:rFonts w:hint="eastAsia" w:ascii="Times New Roman" w:hAnsi="Times New Roman" w:eastAsia="楷体_GB2312" w:cs="楷体_GB2312"/>
          <w:bCs/>
          <w:color w:val="000000"/>
          <w:sz w:val="32"/>
          <w:szCs w:val="32"/>
          <w:lang w:eastAsia="zh-CN"/>
        </w:rPr>
        <w:t>2025年</w:t>
      </w:r>
      <w:r>
        <w:rPr>
          <w:rFonts w:hint="eastAsia" w:ascii="Times New Roman" w:hAnsi="Times New Roman" w:eastAsia="楷体_GB2312" w:cs="楷体_GB2312"/>
          <w:bCs/>
          <w:color w:val="000000"/>
          <w:sz w:val="32"/>
          <w:szCs w:val="32"/>
        </w:rPr>
        <w:t>财政拨款收支预算情况的总体说明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德清县财政票据管理中心</w:t>
      </w:r>
      <w:r>
        <w:rPr>
          <w:rFonts w:hint="eastAsia" w:ascii="Times New Roman" w:hAnsi="Times New Roman" w:eastAsia="仿宋_GB2312"/>
          <w:color w:val="000000"/>
          <w:sz w:val="32"/>
          <w:szCs w:val="32"/>
          <w:lang w:eastAsia="zh-CN"/>
        </w:rPr>
        <w:t>2025年</w:t>
      </w:r>
      <w:r>
        <w:rPr>
          <w:rFonts w:hint="eastAsia" w:ascii="Times New Roman" w:hAnsi="Times New Roman" w:eastAsia="仿宋_GB2312"/>
          <w:color w:val="000000"/>
          <w:sz w:val="32"/>
          <w:szCs w:val="32"/>
        </w:rPr>
        <w:t>财政拨款收支总预算199.97万元。收入包括：一般公共预算199.97万元；支出包括：一般公共服务支出150.27万元、社会保障和就业支出33.24万元、卫生健康支出16.47万元。</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0" w:leftChars="0" w:right="0" w:rightChars="0" w:firstLine="640"/>
        <w:jc w:val="both"/>
        <w:textAlignment w:val="auto"/>
        <w:rPr>
          <w:rFonts w:ascii="Times New Roman" w:hAnsi="Times New Roman" w:eastAsia="楷体_GB2312" w:cs="楷体_GB2312"/>
          <w:bCs/>
          <w:color w:val="000000"/>
          <w:sz w:val="32"/>
          <w:szCs w:val="32"/>
        </w:rPr>
      </w:pPr>
      <w:r>
        <w:rPr>
          <w:rFonts w:hint="eastAsia" w:ascii="Times New Roman" w:hAnsi="Times New Roman" w:eastAsia="楷体_GB2312" w:cs="楷体_GB2312"/>
          <w:bCs/>
          <w:color w:val="000000"/>
          <w:sz w:val="32"/>
          <w:szCs w:val="32"/>
        </w:rPr>
        <w:t>关于德清县财政票据管理中心</w:t>
      </w:r>
      <w:r>
        <w:rPr>
          <w:rFonts w:hint="eastAsia" w:ascii="Times New Roman" w:hAnsi="Times New Roman" w:eastAsia="楷体_GB2312" w:cs="楷体_GB2312"/>
          <w:bCs/>
          <w:color w:val="000000"/>
          <w:sz w:val="32"/>
          <w:szCs w:val="32"/>
          <w:lang w:eastAsia="zh-CN"/>
        </w:rPr>
        <w:t>2025年</w:t>
      </w:r>
      <w:r>
        <w:rPr>
          <w:rFonts w:hint="eastAsia" w:ascii="Times New Roman" w:hAnsi="Times New Roman" w:eastAsia="楷体_GB2312" w:cs="楷体_GB2312"/>
          <w:bCs/>
          <w:color w:val="000000"/>
          <w:sz w:val="32"/>
          <w:szCs w:val="32"/>
        </w:rPr>
        <w:t>一般公共预算拨款情况说明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1.一般公共预算拨款规模变化情况。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highlight w:val="none"/>
        </w:rPr>
      </w:pPr>
      <w:r>
        <w:rPr>
          <w:rFonts w:hint="eastAsia" w:ascii="Times New Roman" w:hAnsi="Times New Roman" w:eastAsia="仿宋_GB2312" w:cs="仿宋_GB2312"/>
          <w:color w:val="000000"/>
          <w:sz w:val="32"/>
          <w:szCs w:val="32"/>
          <w:highlight w:val="none"/>
        </w:rPr>
        <w:t>德清县财政票据管理中心</w:t>
      </w:r>
      <w:r>
        <w:rPr>
          <w:rFonts w:hint="eastAsia" w:ascii="Times New Roman" w:hAnsi="Times New Roman" w:eastAsia="仿宋_GB2312" w:cs="仿宋_GB2312"/>
          <w:color w:val="000000"/>
          <w:sz w:val="32"/>
          <w:szCs w:val="32"/>
          <w:highlight w:val="none"/>
          <w:lang w:eastAsia="zh-CN"/>
        </w:rPr>
        <w:t>2025年</w:t>
      </w:r>
      <w:r>
        <w:rPr>
          <w:rFonts w:hint="eastAsia" w:ascii="Times New Roman" w:hAnsi="Times New Roman" w:eastAsia="仿宋_GB2312" w:cs="仿宋_GB2312"/>
          <w:color w:val="000000"/>
          <w:sz w:val="32"/>
          <w:szCs w:val="32"/>
          <w:highlight w:val="none"/>
        </w:rPr>
        <w:t>一般公共预算拨款</w:t>
      </w:r>
      <w:r>
        <w:rPr>
          <w:rFonts w:hint="eastAsia" w:ascii="Times New Roman" w:hAnsi="Times New Roman" w:eastAsia="仿宋_GB2312" w:cs="仿宋_GB2312"/>
          <w:bCs/>
          <w:color w:val="000000"/>
          <w:sz w:val="32"/>
          <w:szCs w:val="32"/>
          <w:highlight w:val="none"/>
        </w:rPr>
        <w:t>199.97</w:t>
      </w:r>
      <w:r>
        <w:rPr>
          <w:rFonts w:hint="eastAsia" w:ascii="Times New Roman" w:hAnsi="Times New Roman" w:eastAsia="仿宋_GB2312" w:cs="仿宋_GB2312"/>
          <w:color w:val="000000"/>
          <w:sz w:val="32"/>
          <w:szCs w:val="32"/>
          <w:highlight w:val="none"/>
        </w:rPr>
        <w:t>万元，比上年执行数增加</w:t>
      </w:r>
      <w:r>
        <w:rPr>
          <w:rFonts w:hint="eastAsia" w:ascii="Times New Roman" w:hAnsi="Times New Roman" w:eastAsia="仿宋_GB2312" w:cs="仿宋_GB2312"/>
          <w:color w:val="000000"/>
          <w:sz w:val="32"/>
          <w:szCs w:val="32"/>
          <w:highlight w:val="none"/>
          <w:lang w:val="en-US" w:eastAsia="zh-CN"/>
        </w:rPr>
        <w:t>11.95</w:t>
      </w:r>
      <w:r>
        <w:rPr>
          <w:rFonts w:hint="eastAsia" w:ascii="Times New Roman" w:hAnsi="Times New Roman" w:eastAsia="仿宋_GB2312" w:cs="仿宋_GB2312"/>
          <w:color w:val="000000"/>
          <w:sz w:val="32"/>
          <w:szCs w:val="32"/>
          <w:highlight w:val="none"/>
        </w:rPr>
        <w:t>万元，</w:t>
      </w:r>
      <w:r>
        <w:rPr>
          <w:rFonts w:hint="eastAsia" w:ascii="Times New Roman" w:hAnsi="Times New Roman" w:eastAsia="仿宋_GB2312" w:cs="仿宋_GB2312"/>
          <w:color w:val="000000"/>
          <w:sz w:val="32"/>
          <w:highlight w:val="none"/>
        </w:rPr>
        <w:t>增</w:t>
      </w:r>
      <w:r>
        <w:rPr>
          <w:rFonts w:hint="eastAsia" w:ascii="Times New Roman" w:hAnsi="Times New Roman" w:eastAsia="仿宋_GB2312" w:cs="仿宋_GB2312"/>
          <w:color w:val="000000"/>
          <w:sz w:val="32"/>
          <w:szCs w:val="32"/>
          <w:highlight w:val="none"/>
        </w:rPr>
        <w:t>长</w:t>
      </w:r>
      <w:r>
        <w:rPr>
          <w:rFonts w:hint="eastAsia" w:ascii="Times New Roman" w:hAnsi="Times New Roman" w:eastAsia="仿宋_GB2312" w:cs="仿宋_GB2312"/>
          <w:color w:val="000000"/>
          <w:sz w:val="32"/>
          <w:szCs w:val="32"/>
          <w:highlight w:val="none"/>
          <w:lang w:val="en-US" w:eastAsia="zh-CN"/>
        </w:rPr>
        <w:t>6.4</w:t>
      </w:r>
      <w:r>
        <w:rPr>
          <w:rFonts w:hint="eastAsia" w:ascii="Times New Roman" w:hAnsi="Times New Roman" w:eastAsia="仿宋_GB2312" w:cs="仿宋_GB2312"/>
          <w:color w:val="000000"/>
          <w:sz w:val="32"/>
          <w:highlight w:val="none"/>
        </w:rPr>
        <w:t>%，</w:t>
      </w:r>
      <w:r>
        <w:rPr>
          <w:rFonts w:hint="eastAsia" w:ascii="Times New Roman" w:hAnsi="Times New Roman" w:eastAsia="仿宋_GB2312" w:cs="仿宋_GB2312"/>
          <w:color w:val="000000"/>
          <w:sz w:val="32"/>
          <w:szCs w:val="32"/>
          <w:highlight w:val="none"/>
        </w:rPr>
        <w:t>主要是</w:t>
      </w:r>
      <w:r>
        <w:rPr>
          <w:rFonts w:hint="eastAsia" w:ascii="Times New Roman" w:hAnsi="Times New Roman" w:eastAsia="仿宋_GB2312" w:cs="仿宋_GB2312"/>
          <w:color w:val="000000"/>
          <w:sz w:val="32"/>
          <w:szCs w:val="32"/>
          <w:highlight w:val="none"/>
          <w:lang w:val="en-US" w:eastAsia="zh-CN"/>
        </w:rPr>
        <w:t>2024年下半年试用期转正一人</w:t>
      </w:r>
      <w:r>
        <w:rPr>
          <w:rFonts w:hint="eastAsia" w:ascii="Times New Roman" w:hAnsi="Times New Roman" w:eastAsia="仿宋_GB2312" w:cs="仿宋_GB2312"/>
          <w:color w:val="000000"/>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2.一般公共预算拨款结构情况。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b/>
          <w:color w:val="000000"/>
          <w:sz w:val="32"/>
          <w:szCs w:val="32"/>
        </w:rPr>
      </w:pPr>
      <w:r>
        <w:rPr>
          <w:rFonts w:hint="eastAsia" w:ascii="Times New Roman" w:hAnsi="Times New Roman" w:eastAsia="仿宋_GB2312" w:cs="仿宋_GB2312"/>
          <w:color w:val="000000"/>
          <w:sz w:val="32"/>
          <w:szCs w:val="32"/>
        </w:rPr>
        <w:t>一般公共服务支出150.27万元，占75.1%；社会保障和就业支出33.24万元，占16.6%；卫生健康支出16.47万元，占8.2%。</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3.一般公共预算拨款具体使用情况。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（1）一般公共服务（类）财政事务（款）行政运行（项）</w:t>
      </w:r>
      <w:r>
        <w:rPr>
          <w:rFonts w:hint="eastAsia" w:ascii="Times New Roman" w:hAnsi="Times New Roman" w:eastAsia="仿宋_GB2312"/>
          <w:color w:val="000000"/>
          <w:sz w:val="32"/>
          <w:szCs w:val="32"/>
          <w:highlight w:val="none"/>
          <w:lang w:val="en-US" w:eastAsia="zh-CN"/>
        </w:rPr>
        <w:t>150.27</w:t>
      </w:r>
      <w:r>
        <w:rPr>
          <w:rFonts w:hint="eastAsia" w:ascii="Times New Roman" w:hAnsi="Times New Roman" w:eastAsia="仿宋_GB2312"/>
          <w:color w:val="000000"/>
          <w:sz w:val="32"/>
          <w:szCs w:val="32"/>
          <w:highlight w:val="none"/>
        </w:rPr>
        <w:t>元，反映行政单位（包括实行公务员管理的事业单位）的基本支出。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（2）社会保障和就业支出(类)行政事业单位养老支出(款)行政单位离退休(项)</w:t>
      </w:r>
      <w:r>
        <w:rPr>
          <w:rFonts w:hint="eastAsia" w:ascii="Times New Roman" w:hAnsi="Times New Roman" w:eastAsia="仿宋_GB2312"/>
          <w:color w:val="000000"/>
          <w:sz w:val="32"/>
          <w:szCs w:val="32"/>
          <w:highlight w:val="none"/>
          <w:lang w:val="en-US" w:eastAsia="zh-CN"/>
        </w:rPr>
        <w:t>13.11</w:t>
      </w:r>
      <w:r>
        <w:rPr>
          <w:rFonts w:hint="eastAsia" w:ascii="Times New Roman" w:hAnsi="Times New Roman" w:eastAsia="仿宋_GB2312"/>
          <w:color w:val="000000"/>
          <w:sz w:val="32"/>
          <w:szCs w:val="32"/>
          <w:highlight w:val="none"/>
        </w:rPr>
        <w:t>万元，反映行政单位（包括实行公务员管理的事业单位）开支的离退休经费。</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（3）社会保障和就业支出(类)行政事业单位养老支出(款)机关事业单位基本养老保险缴费支出(项)</w:t>
      </w:r>
      <w:r>
        <w:rPr>
          <w:rFonts w:hint="eastAsia" w:ascii="Times New Roman" w:hAnsi="Times New Roman" w:eastAsia="仿宋_GB2312"/>
          <w:color w:val="000000"/>
          <w:sz w:val="32"/>
          <w:szCs w:val="32"/>
          <w:highlight w:val="none"/>
          <w:lang w:val="en-US" w:eastAsia="zh-CN"/>
        </w:rPr>
        <w:t>13.42</w:t>
      </w:r>
      <w:r>
        <w:rPr>
          <w:rFonts w:hint="eastAsia" w:ascii="Times New Roman" w:hAnsi="Times New Roman" w:eastAsia="仿宋_GB2312"/>
          <w:color w:val="000000"/>
          <w:sz w:val="32"/>
          <w:szCs w:val="32"/>
          <w:highlight w:val="none"/>
        </w:rPr>
        <w:t>万元，反映机关事业单位实施养老保险制度由单位缴纳的基本养老保险费支出。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（4）社会保障和就业支出(类)行政事业单位养老支出(款)机关事业单位职业年金缴费支出(项)</w:t>
      </w:r>
      <w:r>
        <w:rPr>
          <w:rFonts w:hint="eastAsia" w:ascii="Times New Roman" w:hAnsi="Times New Roman" w:eastAsia="仿宋_GB2312"/>
          <w:color w:val="000000"/>
          <w:sz w:val="32"/>
          <w:szCs w:val="32"/>
          <w:highlight w:val="none"/>
          <w:lang w:val="en-US" w:eastAsia="zh-CN"/>
        </w:rPr>
        <w:t>6.71</w:t>
      </w:r>
      <w:r>
        <w:rPr>
          <w:rFonts w:hint="eastAsia" w:ascii="Times New Roman" w:hAnsi="Times New Roman" w:eastAsia="仿宋_GB2312"/>
          <w:color w:val="000000"/>
          <w:sz w:val="32"/>
          <w:szCs w:val="32"/>
          <w:highlight w:val="none"/>
        </w:rPr>
        <w:t>万元，反映机关事业单位实施养老保险制度由单位实际缴纳的职业年金支出</w:t>
      </w:r>
      <w:r>
        <w:rPr>
          <w:rFonts w:hint="eastAsia" w:ascii="Times New Roman" w:hAnsi="Times New Roman" w:eastAsia="仿宋_GB2312"/>
          <w:color w:val="000000"/>
          <w:sz w:val="32"/>
          <w:szCs w:val="32"/>
          <w:highlight w:val="none"/>
          <w:lang w:eastAsia="zh-CN"/>
        </w:rPr>
        <w:t>（含职业年金补记支出）</w:t>
      </w:r>
      <w:r>
        <w:rPr>
          <w:rFonts w:hint="eastAsia" w:ascii="Times New Roman" w:hAnsi="Times New Roman" w:eastAsia="仿宋_GB2312"/>
          <w:color w:val="000000"/>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（5）卫生健康支出(类)行政事业单位医疗(款)行政单位医疗(项)</w:t>
      </w:r>
      <w:r>
        <w:rPr>
          <w:rFonts w:hint="eastAsia" w:ascii="Times New Roman" w:hAnsi="Times New Roman" w:eastAsia="仿宋_GB2312"/>
          <w:color w:val="000000"/>
          <w:sz w:val="32"/>
          <w:szCs w:val="32"/>
          <w:highlight w:val="none"/>
          <w:lang w:val="en-US" w:eastAsia="zh-CN"/>
        </w:rPr>
        <w:t>6.82</w:t>
      </w:r>
      <w:r>
        <w:rPr>
          <w:rFonts w:hint="eastAsia" w:ascii="Times New Roman" w:hAnsi="Times New Roman" w:eastAsia="仿宋_GB2312"/>
          <w:color w:val="000000"/>
          <w:sz w:val="32"/>
          <w:szCs w:val="32"/>
          <w:highlight w:val="none"/>
        </w:rPr>
        <w:t>万元，反映财政部门安排的行政单位（包括实行公务员管理的事业单位）基本医疗保险缴费经费，未参加医疗保险的行政单位的公费医疗经费，按国家规定享受离休人员、红军老战士待遇人员的医疗经费。</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firstLineChars="0"/>
        <w:jc w:val="both"/>
        <w:textAlignment w:val="auto"/>
        <w:rPr>
          <w:rFonts w:ascii="Times New Roman" w:hAnsi="Times New Roman" w:eastAsia="仿宋_GB2312"/>
          <w:color w:val="000000"/>
          <w:sz w:val="32"/>
          <w:szCs w:val="32"/>
          <w:highlight w:val="none"/>
        </w:rPr>
      </w:pPr>
      <w:bookmarkStart w:id="0" w:name="_GoBack"/>
      <w:r>
        <w:rPr>
          <w:rFonts w:hint="eastAsia" w:ascii="Times New Roman" w:hAnsi="Times New Roman" w:eastAsia="仿宋_GB2312"/>
          <w:color w:val="000000"/>
          <w:sz w:val="32"/>
          <w:szCs w:val="32"/>
          <w:highlight w:val="none"/>
        </w:rPr>
        <w:t>（6）卫生健康支出(类)</w:t>
      </w:r>
      <w:r>
        <w:rPr>
          <w:rFonts w:ascii="Times New Roman" w:hAnsi="Times New Roman" w:eastAsia="仿宋_GB2312"/>
          <w:color w:val="000000"/>
          <w:sz w:val="32"/>
          <w:szCs w:val="32"/>
          <w:highlight w:val="none"/>
        </w:rPr>
        <w:t xml:space="preserve"> </w:t>
      </w:r>
      <w:r>
        <w:rPr>
          <w:rFonts w:hint="eastAsia" w:ascii="Times New Roman" w:hAnsi="Times New Roman" w:eastAsia="仿宋_GB2312"/>
          <w:color w:val="000000"/>
          <w:sz w:val="32"/>
          <w:szCs w:val="32"/>
          <w:highlight w:val="none"/>
        </w:rPr>
        <w:t>行政事业单位医疗(款)公务员医疗补助(项)</w:t>
      </w:r>
      <w:r>
        <w:rPr>
          <w:rFonts w:hint="eastAsia" w:ascii="Times New Roman" w:hAnsi="Times New Roman" w:eastAsia="仿宋_GB2312"/>
          <w:color w:val="000000"/>
          <w:sz w:val="32"/>
          <w:szCs w:val="32"/>
          <w:highlight w:val="none"/>
          <w:lang w:val="en-US" w:eastAsia="zh-CN"/>
        </w:rPr>
        <w:t>9.65</w:t>
      </w:r>
      <w:r>
        <w:rPr>
          <w:rFonts w:hint="eastAsia" w:ascii="Times New Roman" w:hAnsi="Times New Roman" w:eastAsia="仿宋_GB2312"/>
          <w:color w:val="000000"/>
          <w:sz w:val="32"/>
          <w:szCs w:val="32"/>
          <w:highlight w:val="none"/>
        </w:rPr>
        <w:t>万元，反映财政部门安排的公务员医疗补助经费。</w:t>
      </w:r>
    </w:p>
    <w:bookmarkEnd w:id="0"/>
    <w:p>
      <w:pPr>
        <w:keepNext w:val="0"/>
        <w:keepLines w:val="0"/>
        <w:pageBreakBefore w:val="0"/>
        <w:kinsoku/>
        <w:wordWrap/>
        <w:overflowPunct/>
        <w:topLinePunct w:val="0"/>
        <w:autoSpaceDE/>
        <w:autoSpaceDN/>
        <w:bidi w:val="0"/>
        <w:adjustRightInd w:val="0"/>
        <w:snapToGrid w:val="0"/>
        <w:spacing w:line="600" w:lineRule="exact"/>
        <w:ind w:left="0" w:leftChars="0" w:right="0" w:rightChars="0"/>
        <w:jc w:val="both"/>
        <w:textAlignment w:val="auto"/>
        <w:rPr>
          <w:rFonts w:ascii="Times New Roman" w:hAnsi="Times New Roman" w:eastAsia="楷体_GB2312" w:cs="楷体_GB2312"/>
          <w:bCs/>
          <w:color w:val="000000"/>
          <w:sz w:val="32"/>
          <w:szCs w:val="32"/>
        </w:rPr>
      </w:pPr>
      <w:r>
        <w:rPr>
          <w:rFonts w:hint="eastAsia" w:ascii="Times New Roman" w:hAnsi="Times New Roman" w:eastAsia="楷体_GB2312" w:cs="楷体_GB2312"/>
          <w:bCs/>
          <w:color w:val="000000"/>
          <w:sz w:val="32"/>
          <w:szCs w:val="32"/>
        </w:rPr>
        <w:t xml:space="preserve">    （六）关于德清县财政票据管理中心</w:t>
      </w:r>
      <w:r>
        <w:rPr>
          <w:rFonts w:hint="eastAsia" w:ascii="Times New Roman" w:hAnsi="Times New Roman" w:eastAsia="楷体_GB2312" w:cs="楷体_GB2312"/>
          <w:bCs/>
          <w:color w:val="000000"/>
          <w:sz w:val="32"/>
          <w:szCs w:val="32"/>
          <w:lang w:eastAsia="zh-CN"/>
        </w:rPr>
        <w:t>2025年</w:t>
      </w:r>
      <w:r>
        <w:rPr>
          <w:rFonts w:hint="eastAsia" w:ascii="Times New Roman" w:hAnsi="Times New Roman" w:eastAsia="楷体_GB2312" w:cs="楷体_GB2312"/>
          <w:bCs/>
          <w:color w:val="000000"/>
          <w:sz w:val="32"/>
          <w:szCs w:val="32"/>
        </w:rPr>
        <w:t>一般公共预算基本支出情况说明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德清县财政票据管理中心</w:t>
      </w:r>
      <w:r>
        <w:rPr>
          <w:rFonts w:hint="eastAsia" w:ascii="Times New Roman" w:hAnsi="Times New Roman" w:eastAsia="仿宋_GB2312"/>
          <w:color w:val="000000"/>
          <w:sz w:val="32"/>
          <w:szCs w:val="32"/>
          <w:lang w:eastAsia="zh-CN"/>
        </w:rPr>
        <w:t>2025年</w:t>
      </w:r>
      <w:r>
        <w:rPr>
          <w:rFonts w:hint="eastAsia" w:ascii="Times New Roman" w:hAnsi="Times New Roman" w:eastAsia="仿宋_GB2312"/>
          <w:color w:val="000000"/>
          <w:sz w:val="32"/>
          <w:szCs w:val="32"/>
        </w:rPr>
        <w:t>一般公共预算基本支出199.97万元，其中：</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人员</w:t>
      </w:r>
      <w:r>
        <w:rPr>
          <w:rFonts w:hint="eastAsia" w:ascii="Times New Roman" w:hAnsi="Times New Roman" w:eastAsia="仿宋_GB2312"/>
          <w:color w:val="000000"/>
          <w:sz w:val="32"/>
          <w:szCs w:val="32"/>
          <w:lang w:val="en-US" w:eastAsia="zh-CN"/>
        </w:rPr>
        <w:t>支出</w:t>
      </w:r>
      <w:r>
        <w:rPr>
          <w:rFonts w:hint="eastAsia" w:ascii="Times New Roman" w:hAnsi="Times New Roman" w:eastAsia="仿宋_GB2312"/>
          <w:color w:val="000000"/>
          <w:sz w:val="32"/>
          <w:szCs w:val="32"/>
        </w:rPr>
        <w:t>197.81万元，主要包括：</w:t>
      </w:r>
      <w:r>
        <w:rPr>
          <w:rFonts w:hint="eastAsia" w:ascii="Times New Roman" w:hAnsi="Times New Roman" w:eastAsia="仿宋_GB2312"/>
          <w:color w:val="000000"/>
          <w:sz w:val="32"/>
          <w:szCs w:val="32"/>
          <w:highlight w:val="none"/>
        </w:rPr>
        <w:t>基本工资、津贴补贴、奖金、</w:t>
      </w:r>
      <w:r>
        <w:rPr>
          <w:rFonts w:hint="eastAsia" w:ascii="Times New Roman" w:hAnsi="Times New Roman" w:eastAsia="仿宋_GB2312"/>
          <w:color w:val="000000"/>
          <w:sz w:val="32"/>
          <w:szCs w:val="32"/>
          <w:highlight w:val="none"/>
          <w:lang w:eastAsia="zh-CN"/>
        </w:rPr>
        <w:t>伙食补助费</w:t>
      </w:r>
      <w:r>
        <w:rPr>
          <w:rFonts w:hint="eastAsia" w:ascii="Times New Roman" w:hAnsi="Times New Roman" w:eastAsia="仿宋_GB2312"/>
          <w:color w:val="000000"/>
          <w:sz w:val="32"/>
          <w:szCs w:val="32"/>
          <w:highlight w:val="none"/>
        </w:rPr>
        <w:t>、机关事业单位基本养老保险缴费、职业年金缴费、职工基本医疗保险缴费、公务员医疗补助缴费、其他社会保障缴费、住房公积金、其他工资福利支出、退休费、其他对个人和家庭的补助</w:t>
      </w:r>
      <w:r>
        <w:rPr>
          <w:rFonts w:hint="eastAsia" w:ascii="Times New Roman" w:hAnsi="Times New Roman" w:eastAsia="仿宋_GB2312"/>
          <w:color w:val="000000"/>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日常</w:t>
      </w:r>
      <w:r>
        <w:rPr>
          <w:rFonts w:hint="eastAsia" w:ascii="Times New Roman" w:hAnsi="Times New Roman" w:eastAsia="仿宋_GB2312"/>
          <w:color w:val="000000"/>
          <w:sz w:val="32"/>
          <w:szCs w:val="32"/>
        </w:rPr>
        <w:t>公用</w:t>
      </w:r>
      <w:r>
        <w:rPr>
          <w:rFonts w:hint="eastAsia" w:ascii="Times New Roman" w:hAnsi="Times New Roman" w:eastAsia="仿宋_GB2312"/>
          <w:color w:val="000000"/>
          <w:sz w:val="32"/>
          <w:szCs w:val="32"/>
          <w:lang w:val="en-US" w:eastAsia="zh-CN"/>
        </w:rPr>
        <w:t>支出</w:t>
      </w:r>
      <w:r>
        <w:rPr>
          <w:rFonts w:hint="eastAsia" w:ascii="Times New Roman" w:hAnsi="Times New Roman" w:eastAsia="仿宋_GB2312"/>
          <w:color w:val="000000"/>
          <w:sz w:val="32"/>
          <w:szCs w:val="32"/>
        </w:rPr>
        <w:t>2.16万元，主要包括：</w:t>
      </w:r>
      <w:r>
        <w:rPr>
          <w:rFonts w:hint="eastAsia" w:ascii="Times New Roman" w:hAnsi="Times New Roman" w:eastAsia="仿宋_GB2312"/>
          <w:color w:val="000000"/>
          <w:sz w:val="32"/>
          <w:szCs w:val="32"/>
          <w:highlight w:val="none"/>
        </w:rPr>
        <w:t>办公费、印刷费、邮电费、其他交通费用</w:t>
      </w:r>
      <w:r>
        <w:rPr>
          <w:rFonts w:hint="eastAsia" w:ascii="Times New Roman" w:hAnsi="Times New Roman" w:eastAsia="仿宋_GB2312"/>
          <w:color w:val="000000"/>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楷体_GB2312" w:cs="楷体_GB2312"/>
          <w:bCs/>
          <w:color w:val="000000"/>
          <w:sz w:val="32"/>
          <w:szCs w:val="32"/>
        </w:rPr>
      </w:pPr>
      <w:r>
        <w:rPr>
          <w:rFonts w:hint="eastAsia" w:ascii="Times New Roman" w:hAnsi="Times New Roman" w:eastAsia="楷体_GB2312" w:cs="楷体_GB2312"/>
          <w:bCs/>
          <w:color w:val="000000"/>
          <w:sz w:val="32"/>
          <w:szCs w:val="32"/>
        </w:rPr>
        <w:t>（七）关于德清县财政票据管理中心</w:t>
      </w:r>
      <w:r>
        <w:rPr>
          <w:rFonts w:hint="eastAsia" w:ascii="Times New Roman" w:hAnsi="Times New Roman" w:eastAsia="楷体_GB2312" w:cs="楷体_GB2312"/>
          <w:bCs/>
          <w:color w:val="000000"/>
          <w:sz w:val="32"/>
          <w:szCs w:val="32"/>
          <w:lang w:eastAsia="zh-CN"/>
        </w:rPr>
        <w:t>2025年</w:t>
      </w:r>
      <w:r>
        <w:rPr>
          <w:rFonts w:hint="eastAsia" w:ascii="Times New Roman" w:hAnsi="Times New Roman" w:eastAsia="楷体_GB2312" w:cs="楷体_GB2312"/>
          <w:bCs/>
          <w:color w:val="000000"/>
          <w:sz w:val="32"/>
          <w:szCs w:val="32"/>
        </w:rPr>
        <w:t>政府性基金预算支出情况说明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rPr>
      </w:pPr>
      <w:r>
        <w:rPr>
          <w:rFonts w:hint="eastAsia" w:ascii="Times New Roman" w:hAnsi="Times New Roman" w:eastAsia="仿宋_GB2312" w:cs="仿宋_GB2312"/>
          <w:color w:val="000000"/>
          <w:sz w:val="32"/>
          <w:szCs w:val="32"/>
        </w:rPr>
        <w:t>德清县财政票据管理中心</w:t>
      </w:r>
      <w:r>
        <w:rPr>
          <w:rFonts w:hint="eastAsia" w:ascii="Times New Roman" w:hAnsi="Times New Roman" w:eastAsia="仿宋_GB2312" w:cs="仿宋_GB2312"/>
          <w:color w:val="000000"/>
          <w:sz w:val="32"/>
          <w:szCs w:val="32"/>
          <w:lang w:eastAsia="zh-CN"/>
        </w:rPr>
        <w:t>2025年</w:t>
      </w:r>
      <w:r>
        <w:rPr>
          <w:rFonts w:hint="eastAsia" w:ascii="Times New Roman" w:hAnsi="Times New Roman" w:eastAsia="仿宋_GB2312" w:cs="仿宋_GB2312"/>
          <w:color w:val="000000"/>
          <w:sz w:val="32"/>
          <w:szCs w:val="32"/>
        </w:rPr>
        <w:t>没有使用政府性基金预算拨款安排的支出</w:t>
      </w:r>
      <w:r>
        <w:rPr>
          <w:rFonts w:hint="eastAsia" w:ascii="Times New Roman" w:hAnsi="Times New Roman" w:eastAsia="仿宋_GB2312"/>
          <w:color w:val="000000"/>
          <w:sz w:val="32"/>
          <w:szCs w:val="32"/>
        </w:rPr>
        <w:t>，与上年持平</w:t>
      </w:r>
      <w:r>
        <w:rPr>
          <w:rFonts w:hint="eastAsia" w:ascii="Times New Roman"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Fonts w:ascii="Times New Roman" w:hAnsi="Times New Roman" w:eastAsia="楷体_GB2312" w:cs="楷体_GB2312"/>
          <w:bCs/>
          <w:color w:val="000000"/>
          <w:sz w:val="32"/>
          <w:szCs w:val="32"/>
          <w:highlight w:val="none"/>
        </w:rPr>
      </w:pPr>
      <w:r>
        <w:rPr>
          <w:rFonts w:hint="eastAsia" w:ascii="Times New Roman" w:hAnsi="Times New Roman" w:eastAsia="楷体_GB2312" w:cs="楷体_GB2312"/>
          <w:bCs/>
          <w:color w:val="000000"/>
          <w:sz w:val="32"/>
          <w:szCs w:val="32"/>
          <w:highlight w:val="none"/>
        </w:rPr>
        <w:t>（八）关于</w:t>
      </w:r>
      <w:r>
        <w:rPr>
          <w:rFonts w:ascii="Times New Roman" w:hAnsi="Times New Roman" w:eastAsia="楷体_GB2312" w:cs="楷体_GB2312"/>
          <w:bCs/>
          <w:color w:val="000000"/>
          <w:sz w:val="32"/>
          <w:szCs w:val="32"/>
          <w:highlight w:val="none"/>
        </w:rPr>
        <w:t>德清县财政票据管理中心</w:t>
      </w:r>
      <w:r>
        <w:rPr>
          <w:rFonts w:hint="eastAsia" w:ascii="Times New Roman" w:hAnsi="Times New Roman" w:eastAsia="楷体_GB2312" w:cs="楷体_GB2312"/>
          <w:bCs/>
          <w:color w:val="000000"/>
          <w:sz w:val="32"/>
          <w:szCs w:val="32"/>
          <w:highlight w:val="none"/>
          <w:lang w:eastAsia="zh-CN"/>
        </w:rPr>
        <w:t>2025年</w:t>
      </w:r>
      <w:r>
        <w:rPr>
          <w:rFonts w:hint="eastAsia" w:ascii="Times New Roman" w:hAnsi="Times New Roman" w:eastAsia="楷体_GB2312" w:cs="楷体_GB2312"/>
          <w:bCs/>
          <w:color w:val="000000"/>
          <w:sz w:val="32"/>
          <w:szCs w:val="32"/>
          <w:highlight w:val="none"/>
        </w:rPr>
        <w:t>国有资本经营预算支出情况说明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jc w:val="both"/>
        <w:textAlignment w:val="auto"/>
        <w:rPr>
          <w:rFonts w:ascii="Times New Roman" w:hAnsi="Times New Roman"/>
          <w:b/>
          <w:sz w:val="20"/>
          <w:highlight w:val="none"/>
        </w:rPr>
      </w:pPr>
      <w:r>
        <w:rPr>
          <w:rFonts w:hint="eastAsia" w:ascii="Times New Roman" w:hAnsi="Times New Roman" w:eastAsia="仿宋_GB2312" w:cs="仿宋_GB2312"/>
          <w:color w:val="000000"/>
          <w:sz w:val="32"/>
          <w:szCs w:val="32"/>
          <w:highlight w:val="none"/>
        </w:rPr>
        <w:t>德清县财政票据管理中心</w:t>
      </w:r>
      <w:r>
        <w:rPr>
          <w:rFonts w:hint="eastAsia" w:ascii="Times New Roman" w:hAnsi="Times New Roman" w:eastAsia="仿宋_GB2312" w:cs="仿宋_GB2312"/>
          <w:color w:val="000000"/>
          <w:sz w:val="32"/>
          <w:szCs w:val="32"/>
          <w:highlight w:val="none"/>
          <w:lang w:eastAsia="zh-CN"/>
        </w:rPr>
        <w:t>2025年</w:t>
      </w:r>
      <w:r>
        <w:rPr>
          <w:rFonts w:hint="eastAsia" w:ascii="Times New Roman" w:hAnsi="Times New Roman" w:eastAsia="仿宋_GB2312" w:cs="仿宋_GB2312"/>
          <w:color w:val="000000"/>
          <w:sz w:val="32"/>
          <w:szCs w:val="32"/>
          <w:highlight w:val="none"/>
        </w:rPr>
        <w:t>没有使用国有资本经营预算拨款安排的支出，与上年持平</w:t>
      </w:r>
      <w:r>
        <w:rPr>
          <w:rFonts w:hint="eastAsia" w:ascii="Times New Roman" w:hAnsi="Times New Roman" w:eastAsia="仿宋_GB2312" w:cs="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Fonts w:ascii="Times New Roman" w:hAnsi="Times New Roman" w:eastAsia="楷体_GB2312" w:cs="楷体_GB2312"/>
          <w:bCs/>
          <w:color w:val="000000"/>
          <w:sz w:val="32"/>
          <w:szCs w:val="32"/>
        </w:rPr>
      </w:pPr>
      <w:r>
        <w:rPr>
          <w:rFonts w:hint="eastAsia" w:ascii="Times New Roman" w:hAnsi="Times New Roman" w:eastAsia="楷体_GB2312" w:cs="楷体_GB2312"/>
          <w:bCs/>
          <w:color w:val="000000"/>
          <w:sz w:val="32"/>
          <w:szCs w:val="32"/>
        </w:rPr>
        <w:t>（九）关于德清县财政票据管理中心</w:t>
      </w:r>
      <w:r>
        <w:rPr>
          <w:rFonts w:hint="eastAsia" w:ascii="Times New Roman" w:hAnsi="Times New Roman" w:eastAsia="楷体_GB2312" w:cs="楷体_GB2312"/>
          <w:bCs/>
          <w:color w:val="000000"/>
          <w:sz w:val="32"/>
          <w:szCs w:val="32"/>
          <w:lang w:eastAsia="zh-CN"/>
        </w:rPr>
        <w:t>2025年</w:t>
      </w:r>
      <w:r>
        <w:rPr>
          <w:rFonts w:hint="eastAsia" w:ascii="Times New Roman" w:hAnsi="Times New Roman" w:eastAsia="楷体_GB2312" w:cs="楷体_GB2312"/>
          <w:bCs/>
          <w:sz w:val="32"/>
          <w:szCs w:val="32"/>
        </w:rPr>
        <w:t>一般公共预算</w:t>
      </w:r>
      <w:r>
        <w:rPr>
          <w:rFonts w:hint="eastAsia" w:ascii="Times New Roman" w:hAnsi="Times New Roman" w:eastAsia="楷体_GB2312" w:cs="楷体_GB2312"/>
          <w:bCs/>
          <w:color w:val="000000"/>
          <w:sz w:val="32"/>
          <w:szCs w:val="32"/>
        </w:rPr>
        <w:t>“三公”经费预算情况说明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sz w:val="32"/>
        </w:rPr>
      </w:pPr>
      <w:r>
        <w:rPr>
          <w:rFonts w:hint="eastAsia" w:ascii="Times New Roman" w:hAnsi="Times New Roman" w:eastAsia="仿宋_GB2312"/>
          <w:sz w:val="32"/>
        </w:rPr>
        <w:t>德清县财政票据管理中心</w:t>
      </w:r>
      <w:r>
        <w:rPr>
          <w:rFonts w:hint="eastAsia" w:ascii="Times New Roman" w:hAnsi="Times New Roman" w:eastAsia="仿宋_GB2312"/>
          <w:sz w:val="32"/>
          <w:lang w:eastAsia="zh-CN"/>
        </w:rPr>
        <w:t>2025年</w:t>
      </w:r>
      <w:r>
        <w:rPr>
          <w:rFonts w:hint="eastAsia" w:ascii="Times New Roman" w:hAnsi="Times New Roman" w:eastAsia="仿宋_GB2312"/>
          <w:sz w:val="32"/>
        </w:rPr>
        <w:t>“三公”经费预算数为0.00万元，</w:t>
      </w:r>
      <w:r>
        <w:rPr>
          <w:rFonts w:hint="eastAsia" w:ascii="Times New Roman" w:hAnsi="Times New Roman" w:eastAsia="仿宋_GB2312"/>
          <w:sz w:val="32"/>
          <w:highlight w:val="none"/>
          <w:shd w:val="clear" w:color="auto" w:fill="FFFFFF"/>
          <w:lang w:eastAsia="zh-CN"/>
        </w:rPr>
        <w:t>与</w:t>
      </w:r>
      <w:r>
        <w:rPr>
          <w:rFonts w:hint="eastAsia" w:ascii="Times New Roman" w:hAnsi="Times New Roman" w:eastAsia="仿宋_GB2312"/>
          <w:sz w:val="32"/>
          <w:highlight w:val="none"/>
          <w:shd w:val="clear" w:color="auto" w:fill="FFFFFF"/>
        </w:rPr>
        <w:t>上年预算数</w:t>
      </w:r>
      <w:r>
        <w:rPr>
          <w:rFonts w:hint="eastAsia" w:ascii="Times New Roman" w:hAnsi="Times New Roman" w:eastAsia="仿宋_GB2312"/>
          <w:sz w:val="32"/>
          <w:highlight w:val="none"/>
          <w:shd w:val="clear" w:color="auto" w:fill="FFFFFF"/>
          <w:lang w:eastAsia="zh-CN"/>
        </w:rPr>
        <w:t>持平</w:t>
      </w:r>
      <w:r>
        <w:rPr>
          <w:rFonts w:hint="eastAsia" w:ascii="Times New Roman" w:hAnsi="Times New Roman" w:eastAsia="仿宋_GB2312"/>
          <w:sz w:val="32"/>
        </w:rPr>
        <w:t>，具体如下：</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1.因公出国（境）费用：</w:t>
      </w:r>
      <w:r>
        <w:rPr>
          <w:rFonts w:hint="eastAsia" w:ascii="Times New Roman" w:hAnsi="Times New Roman" w:eastAsia="仿宋_GB2312" w:cs="仿宋_GB2312"/>
          <w:color w:val="auto"/>
          <w:sz w:val="32"/>
          <w:szCs w:val="32"/>
          <w:highlight w:val="none"/>
        </w:rPr>
        <w:t>根据因公出国计划和实际工作需要，</w:t>
      </w:r>
      <w:r>
        <w:rPr>
          <w:rFonts w:hint="eastAsia" w:ascii="Times New Roman" w:hAnsi="Times New Roman" w:eastAsia="仿宋_GB2312" w:cs="仿宋_GB2312"/>
          <w:color w:val="auto"/>
          <w:sz w:val="32"/>
          <w:szCs w:val="32"/>
          <w:highlight w:val="none"/>
          <w:lang w:eastAsia="zh-CN"/>
        </w:rPr>
        <w:t>2025年</w:t>
      </w:r>
      <w:r>
        <w:rPr>
          <w:rFonts w:hint="eastAsia" w:ascii="Times New Roman" w:hAnsi="Times New Roman" w:eastAsia="仿宋_GB2312" w:cs="仿宋_GB2312"/>
          <w:color w:val="auto"/>
          <w:sz w:val="32"/>
          <w:szCs w:val="32"/>
          <w:highlight w:val="none"/>
        </w:rPr>
        <w:t>安排因公出国（境）费用预算0.00万元，</w:t>
      </w:r>
      <w:r>
        <w:rPr>
          <w:rFonts w:hint="eastAsia" w:ascii="Times New Roman" w:hAnsi="Times New Roman" w:eastAsia="仿宋_GB2312"/>
          <w:color w:val="auto"/>
          <w:sz w:val="32"/>
          <w:highlight w:val="none"/>
          <w:shd w:val="clear" w:color="auto" w:fill="FFFFFF"/>
          <w:lang w:eastAsia="zh-CN"/>
        </w:rPr>
        <w:t>与</w:t>
      </w:r>
      <w:r>
        <w:rPr>
          <w:rFonts w:hint="eastAsia" w:ascii="Times New Roman" w:hAnsi="Times New Roman" w:eastAsia="仿宋_GB2312"/>
          <w:color w:val="auto"/>
          <w:sz w:val="32"/>
          <w:highlight w:val="none"/>
          <w:shd w:val="clear" w:color="auto" w:fill="FFFFFF"/>
        </w:rPr>
        <w:t>上年预算数</w:t>
      </w:r>
      <w:r>
        <w:rPr>
          <w:rFonts w:hint="eastAsia" w:ascii="Times New Roman" w:hAnsi="Times New Roman" w:eastAsia="仿宋_GB2312"/>
          <w:color w:val="auto"/>
          <w:sz w:val="32"/>
          <w:highlight w:val="none"/>
          <w:shd w:val="clear" w:color="auto" w:fill="FFFFFF"/>
          <w:lang w:eastAsia="zh-CN"/>
        </w:rPr>
        <w:t>持平</w:t>
      </w:r>
      <w:r>
        <w:rPr>
          <w:rFonts w:hint="eastAsia" w:ascii="Times New Roman" w:hAnsi="Times New Roman" w:eastAsia="仿宋_GB2312" w:cs="仿宋_GB2312"/>
          <w:color w:val="auto"/>
          <w:sz w:val="32"/>
          <w:szCs w:val="32"/>
          <w:highlight w:val="none"/>
        </w:rPr>
        <w:t>。主要用于</w:t>
      </w:r>
      <w:r>
        <w:rPr>
          <w:rFonts w:hint="eastAsia" w:ascii="Times New Roman" w:hAnsi="Times New Roman" w:eastAsia="仿宋_GB2312"/>
          <w:color w:val="auto"/>
          <w:sz w:val="32"/>
          <w:highlight w:val="none"/>
          <w:lang w:eastAsia="zh-CN"/>
        </w:rPr>
        <w:t>本单位</w:t>
      </w:r>
      <w:r>
        <w:rPr>
          <w:rFonts w:hint="eastAsia" w:ascii="Times New Roman" w:hAnsi="Times New Roman" w:eastAsia="仿宋_GB2312" w:cs="仿宋_GB2312"/>
          <w:color w:val="auto"/>
          <w:sz w:val="32"/>
          <w:szCs w:val="32"/>
          <w:highlight w:val="none"/>
        </w:rPr>
        <w:t>公务出国（境）的国际旅费、国外城市间交通费、住宿费、伙食费、培训费、公杂费等支出。主要原因是由相关部门从严审批控制，根据实际情况调整，年初未纳入</w:t>
      </w:r>
      <w:r>
        <w:rPr>
          <w:rFonts w:hint="eastAsia" w:ascii="Times New Roman" w:hAnsi="Times New Roman" w:eastAsia="仿宋_GB2312" w:cs="仿宋_GB2312"/>
          <w:color w:val="auto"/>
          <w:sz w:val="32"/>
          <w:szCs w:val="32"/>
          <w:highlight w:val="none"/>
          <w:lang w:eastAsia="zh-CN"/>
        </w:rPr>
        <w:t>本单位</w:t>
      </w:r>
      <w:r>
        <w:rPr>
          <w:rFonts w:hint="eastAsia" w:ascii="Times New Roman" w:hAnsi="Times New Roman" w:eastAsia="仿宋_GB2312" w:cs="仿宋_GB2312"/>
          <w:color w:val="auto"/>
          <w:sz w:val="32"/>
          <w:szCs w:val="32"/>
          <w:highlight w:val="none"/>
          <w:lang w:val="en-US" w:eastAsia="zh-CN"/>
        </w:rPr>
        <w:t>2025年</w:t>
      </w:r>
      <w:r>
        <w:rPr>
          <w:rFonts w:hint="eastAsia" w:ascii="Times New Roman" w:hAnsi="Times New Roman" w:eastAsia="仿宋_GB2312" w:cs="仿宋_GB2312"/>
          <w:color w:val="auto"/>
          <w:sz w:val="32"/>
          <w:szCs w:val="32"/>
          <w:highlight w:val="none"/>
        </w:rPr>
        <w:t>预算。</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2.公务接待费：</w:t>
      </w:r>
      <w:r>
        <w:rPr>
          <w:rFonts w:hint="eastAsia" w:ascii="Times New Roman" w:hAnsi="Times New Roman" w:eastAsia="仿宋_GB2312" w:cs="仿宋_GB2312"/>
          <w:color w:val="auto"/>
          <w:sz w:val="32"/>
          <w:szCs w:val="32"/>
          <w:highlight w:val="none"/>
          <w:lang w:eastAsia="zh-CN"/>
        </w:rPr>
        <w:t>2025年</w:t>
      </w:r>
      <w:r>
        <w:rPr>
          <w:rFonts w:hint="eastAsia" w:ascii="Times New Roman" w:hAnsi="Times New Roman" w:eastAsia="仿宋_GB2312" w:cs="仿宋_GB2312"/>
          <w:color w:val="auto"/>
          <w:sz w:val="32"/>
          <w:szCs w:val="32"/>
          <w:highlight w:val="none"/>
        </w:rPr>
        <w:t>安排公务接待费预算0.00万元，</w:t>
      </w:r>
      <w:r>
        <w:rPr>
          <w:rFonts w:hint="eastAsia" w:ascii="Times New Roman" w:hAnsi="Times New Roman" w:eastAsia="仿宋_GB2312"/>
          <w:color w:val="auto"/>
          <w:sz w:val="32"/>
          <w:highlight w:val="none"/>
          <w:shd w:val="clear" w:color="auto" w:fill="FFFFFF"/>
          <w:lang w:eastAsia="zh-CN"/>
        </w:rPr>
        <w:t>与</w:t>
      </w:r>
      <w:r>
        <w:rPr>
          <w:rFonts w:hint="eastAsia" w:ascii="Times New Roman" w:hAnsi="Times New Roman" w:eastAsia="仿宋_GB2312"/>
          <w:color w:val="auto"/>
          <w:sz w:val="32"/>
          <w:highlight w:val="none"/>
          <w:shd w:val="clear" w:color="auto" w:fill="FFFFFF"/>
        </w:rPr>
        <w:t>上年预算数</w:t>
      </w:r>
      <w:r>
        <w:rPr>
          <w:rFonts w:hint="eastAsia" w:ascii="Times New Roman" w:hAnsi="Times New Roman" w:eastAsia="仿宋_GB2312"/>
          <w:color w:val="auto"/>
          <w:sz w:val="32"/>
          <w:highlight w:val="none"/>
          <w:shd w:val="clear" w:color="auto" w:fill="FFFFFF"/>
          <w:lang w:eastAsia="zh-CN"/>
        </w:rPr>
        <w:t>持平</w:t>
      </w:r>
      <w:r>
        <w:rPr>
          <w:rFonts w:hint="eastAsia" w:ascii="Times New Roman" w:hAnsi="Times New Roman" w:eastAsia="仿宋_GB2312" w:cs="仿宋_GB2312"/>
          <w:color w:val="auto"/>
          <w:sz w:val="32"/>
          <w:szCs w:val="32"/>
          <w:highlight w:val="none"/>
        </w:rPr>
        <w:t>。主要用于接待</w:t>
      </w:r>
      <w:r>
        <w:rPr>
          <w:rFonts w:hint="eastAsia" w:ascii="Times New Roman" w:hAnsi="Times New Roman" w:eastAsia="仿宋_GB2312"/>
          <w:color w:val="auto"/>
          <w:sz w:val="32"/>
          <w:szCs w:val="32"/>
          <w:highlight w:val="none"/>
        </w:rPr>
        <w:t>上级及兄弟省(市、区)来德进行调研接待</w:t>
      </w:r>
      <w:r>
        <w:rPr>
          <w:rFonts w:hint="eastAsia" w:ascii="Times New Roman" w:hAnsi="Times New Roman" w:eastAsia="仿宋_GB2312" w:cs="仿宋_GB2312"/>
          <w:color w:val="auto"/>
          <w:sz w:val="32"/>
          <w:szCs w:val="32"/>
          <w:highlight w:val="none"/>
        </w:rPr>
        <w:t>等支出。主要原因是年初未纳入</w:t>
      </w:r>
      <w:r>
        <w:rPr>
          <w:rFonts w:hint="eastAsia" w:ascii="Times New Roman" w:hAnsi="Times New Roman" w:eastAsia="仿宋_GB2312" w:cs="仿宋_GB2312"/>
          <w:color w:val="auto"/>
          <w:sz w:val="32"/>
          <w:szCs w:val="32"/>
          <w:highlight w:val="none"/>
          <w:lang w:eastAsia="zh-CN"/>
        </w:rPr>
        <w:t>本单位</w:t>
      </w:r>
      <w:r>
        <w:rPr>
          <w:rFonts w:hint="eastAsia" w:ascii="Times New Roman" w:hAnsi="Times New Roman" w:eastAsia="仿宋_GB2312" w:cs="仿宋_GB2312"/>
          <w:color w:val="auto"/>
          <w:sz w:val="32"/>
          <w:szCs w:val="32"/>
          <w:highlight w:val="none"/>
        </w:rPr>
        <w:t>预算</w:t>
      </w:r>
      <w:r>
        <w:rPr>
          <w:rFonts w:hint="eastAsia" w:ascii="Times New Roman" w:hAnsi="Times New Roman" w:eastAsia="仿宋_GB2312" w:cs="仿宋_GB2312"/>
          <w:color w:val="auto"/>
          <w:sz w:val="32"/>
          <w:szCs w:val="32"/>
          <w:highlight w:val="none"/>
          <w:lang w:eastAsia="zh-CN"/>
        </w:rPr>
        <w:t>，统一由德清县财政局本级支出</w:t>
      </w:r>
      <w:r>
        <w:rPr>
          <w:rFonts w:hint="eastAsia" w:eastAsia="仿宋_GB2312" w:cs="仿宋_GB2312"/>
          <w:color w:val="auto"/>
          <w:sz w:val="32"/>
          <w:szCs w:val="32"/>
          <w:highlight w:val="none"/>
          <w:lang w:eastAsia="zh-CN"/>
        </w:rPr>
        <w:t>。</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b/>
          <w:bCs/>
          <w:sz w:val="32"/>
          <w:szCs w:val="32"/>
        </w:rPr>
      </w:pPr>
      <w:r>
        <w:rPr>
          <w:rFonts w:hint="eastAsia" w:ascii="Times New Roman" w:hAnsi="Times New Roman" w:eastAsia="仿宋_GB2312"/>
          <w:color w:val="auto"/>
          <w:sz w:val="32"/>
          <w:szCs w:val="32"/>
          <w:highlight w:val="none"/>
        </w:rPr>
        <w:t>3.公务用车购置及运行维护费：</w:t>
      </w:r>
      <w:r>
        <w:rPr>
          <w:rFonts w:hint="eastAsia" w:ascii="Times New Roman" w:hAnsi="Times New Roman" w:eastAsia="仿宋_GB2312"/>
          <w:color w:val="auto"/>
          <w:sz w:val="32"/>
          <w:szCs w:val="32"/>
          <w:highlight w:val="none"/>
          <w:lang w:eastAsia="zh-CN"/>
        </w:rPr>
        <w:t>2025年</w:t>
      </w:r>
      <w:r>
        <w:rPr>
          <w:rFonts w:hint="eastAsia" w:ascii="Times New Roman" w:hAnsi="Times New Roman" w:eastAsia="仿宋_GB2312"/>
          <w:color w:val="auto"/>
          <w:sz w:val="32"/>
          <w:szCs w:val="32"/>
          <w:highlight w:val="none"/>
        </w:rPr>
        <w:t>安排公务用车购置及运行维护费预算0.00万元，</w:t>
      </w:r>
      <w:r>
        <w:rPr>
          <w:rFonts w:hint="eastAsia" w:ascii="Times New Roman" w:hAnsi="Times New Roman" w:eastAsia="仿宋_GB2312"/>
          <w:color w:val="auto"/>
          <w:sz w:val="32"/>
          <w:highlight w:val="none"/>
          <w:shd w:val="clear" w:color="auto" w:fill="FFFFFF"/>
          <w:lang w:eastAsia="zh-CN"/>
        </w:rPr>
        <w:t>与</w:t>
      </w:r>
      <w:r>
        <w:rPr>
          <w:rFonts w:hint="eastAsia" w:ascii="Times New Roman" w:hAnsi="Times New Roman" w:eastAsia="仿宋_GB2312"/>
          <w:color w:val="auto"/>
          <w:sz w:val="32"/>
          <w:highlight w:val="none"/>
          <w:shd w:val="clear" w:color="auto" w:fill="FFFFFF"/>
        </w:rPr>
        <w:t>上年预算数</w:t>
      </w:r>
      <w:r>
        <w:rPr>
          <w:rFonts w:hint="eastAsia" w:ascii="Times New Roman" w:hAnsi="Times New Roman" w:eastAsia="仿宋_GB2312"/>
          <w:color w:val="auto"/>
          <w:sz w:val="32"/>
          <w:highlight w:val="none"/>
          <w:shd w:val="clear" w:color="auto" w:fill="FFFFFF"/>
          <w:lang w:eastAsia="zh-CN"/>
        </w:rPr>
        <w:t>持平</w:t>
      </w:r>
      <w:r>
        <w:rPr>
          <w:rFonts w:hint="eastAsia" w:ascii="Times New Roman" w:hAnsi="Times New Roman" w:eastAsia="仿宋_GB2312"/>
          <w:color w:val="auto"/>
          <w:sz w:val="32"/>
          <w:szCs w:val="32"/>
          <w:highlight w:val="none"/>
        </w:rPr>
        <w:t>。其中，公务用车购置支出0.00万元（含购置税等附加费用），用于经批准购置的</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辆公务用车，</w:t>
      </w:r>
      <w:r>
        <w:rPr>
          <w:rFonts w:hint="eastAsia" w:ascii="Times New Roman" w:hAnsi="Times New Roman" w:eastAsia="仿宋_GB2312"/>
          <w:color w:val="auto"/>
          <w:sz w:val="32"/>
          <w:szCs w:val="32"/>
          <w:highlight w:val="none"/>
          <w:lang w:eastAsia="zh-CN"/>
        </w:rPr>
        <w:t>与上年预算数持平</w:t>
      </w:r>
      <w:r>
        <w:rPr>
          <w:rFonts w:hint="eastAsia" w:ascii="Times New Roman" w:hAnsi="Times New Roman" w:eastAsia="仿宋_GB2312"/>
          <w:color w:val="auto"/>
          <w:sz w:val="32"/>
          <w:szCs w:val="32"/>
          <w:highlight w:val="none"/>
        </w:rPr>
        <w:t>，主要原因是</w:t>
      </w:r>
      <w:r>
        <w:rPr>
          <w:rFonts w:hint="eastAsia" w:ascii="Times New Roman" w:hAnsi="Times New Roman" w:eastAsia="仿宋_GB2312"/>
          <w:color w:val="auto"/>
          <w:sz w:val="32"/>
          <w:szCs w:val="32"/>
          <w:highlight w:val="none"/>
          <w:lang w:val="en-US" w:eastAsia="zh-CN"/>
        </w:rPr>
        <w:t>2025年预算未安排公务用车购置经费</w:t>
      </w:r>
      <w:r>
        <w:rPr>
          <w:rFonts w:hint="eastAsia" w:ascii="Times New Roman" w:hAnsi="Times New Roman" w:eastAsia="仿宋_GB2312"/>
          <w:color w:val="auto"/>
          <w:sz w:val="32"/>
          <w:szCs w:val="32"/>
          <w:highlight w:val="none"/>
        </w:rPr>
        <w:t>；公务用车运行维护费支出0.00万元，主要用于公务用车燃料费、维修费、过桥过路费、保险费、安全奖励费用等支出。</w:t>
      </w:r>
      <w:r>
        <w:rPr>
          <w:rFonts w:hint="eastAsia" w:ascii="Times New Roman" w:hAnsi="Times New Roman" w:eastAsia="仿宋_GB2312" w:cs="仿宋_GB2312"/>
          <w:color w:val="auto"/>
          <w:sz w:val="32"/>
          <w:szCs w:val="32"/>
          <w:highlight w:val="none"/>
          <w:lang w:eastAsia="zh-CN"/>
        </w:rPr>
        <w:t>与</w:t>
      </w:r>
      <w:r>
        <w:rPr>
          <w:rFonts w:hint="eastAsia" w:ascii="Times New Roman" w:hAnsi="Times New Roman" w:eastAsia="仿宋_GB2312" w:cs="仿宋_GB2312"/>
          <w:color w:val="auto"/>
          <w:sz w:val="32"/>
          <w:szCs w:val="32"/>
          <w:highlight w:val="none"/>
        </w:rPr>
        <w:t>上年预算数</w:t>
      </w:r>
      <w:r>
        <w:rPr>
          <w:rFonts w:hint="eastAsia" w:ascii="Times New Roman" w:hAnsi="Times New Roman" w:eastAsia="仿宋_GB2312"/>
          <w:color w:val="auto"/>
          <w:sz w:val="32"/>
          <w:highlight w:val="none"/>
          <w:shd w:val="clear" w:color="auto" w:fill="FFFFFF"/>
          <w:lang w:eastAsia="zh-CN"/>
        </w:rPr>
        <w:t>持平</w:t>
      </w:r>
      <w:r>
        <w:rPr>
          <w:rFonts w:hint="eastAsia" w:ascii="Times New Roman" w:hAnsi="Times New Roman" w:eastAsia="仿宋_GB2312"/>
          <w:color w:val="auto"/>
          <w:sz w:val="32"/>
          <w:szCs w:val="32"/>
          <w:highlight w:val="none"/>
        </w:rPr>
        <w:t>，主要原因是</w:t>
      </w:r>
      <w:r>
        <w:rPr>
          <w:rFonts w:hint="eastAsia" w:ascii="Times New Roman" w:hAnsi="Times New Roman" w:eastAsia="仿宋_GB2312"/>
          <w:color w:val="auto"/>
          <w:sz w:val="32"/>
          <w:szCs w:val="32"/>
          <w:highlight w:val="none"/>
          <w:lang w:val="en-US" w:eastAsia="zh-CN"/>
        </w:rPr>
        <w:t>2025年预算未安排公务用车运行维护费</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（十）其他重要事项的情况说明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1.机关运行经费</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2025年</w:t>
      </w:r>
      <w:r>
        <w:rPr>
          <w:rFonts w:hint="eastAsia" w:ascii="Times New Roman" w:hAnsi="Times New Roman" w:eastAsia="仿宋_GB2312"/>
          <w:sz w:val="32"/>
          <w:szCs w:val="32"/>
        </w:rPr>
        <w:t>德清县财政票据管理中心</w:t>
      </w: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rPr>
        <w:t>家参公事业单位的机关运行经费财政拨款预算2.16万元，比上年预算减少</w:t>
      </w:r>
      <w:r>
        <w:rPr>
          <w:rFonts w:hint="eastAsia" w:ascii="Times New Roman" w:hAnsi="Times New Roman" w:eastAsia="仿宋_GB2312"/>
          <w:color w:val="000000"/>
          <w:sz w:val="32"/>
          <w:szCs w:val="32"/>
          <w:lang w:val="en-US" w:eastAsia="zh-CN"/>
        </w:rPr>
        <w:t>0.58</w:t>
      </w:r>
      <w:r>
        <w:rPr>
          <w:rFonts w:hint="eastAsia" w:ascii="Times New Roman" w:hAnsi="Times New Roman" w:eastAsia="仿宋_GB2312"/>
          <w:sz w:val="32"/>
          <w:szCs w:val="32"/>
        </w:rPr>
        <w:t>万元</w:t>
      </w:r>
      <w:r>
        <w:rPr>
          <w:rFonts w:hint="eastAsia" w:ascii="Times New Roman" w:hAnsi="Times New Roman" w:eastAsia="仿宋_GB2312"/>
          <w:kern w:val="2"/>
          <w:sz w:val="32"/>
          <w:szCs w:val="20"/>
        </w:rPr>
        <w:t>，下降</w:t>
      </w:r>
      <w:r>
        <w:rPr>
          <w:rFonts w:hint="eastAsia" w:ascii="Times New Roman" w:hAnsi="Times New Roman" w:eastAsia="仿宋_GB2312"/>
          <w:kern w:val="2"/>
          <w:sz w:val="32"/>
          <w:szCs w:val="20"/>
          <w:lang w:val="en-US" w:eastAsia="zh-CN"/>
        </w:rPr>
        <w:t>2.1</w:t>
      </w:r>
      <w:r>
        <w:rPr>
          <w:rFonts w:hint="eastAsia" w:ascii="Times New Roman" w:hAnsi="Times New Roman" w:eastAsia="仿宋_GB2312"/>
          <w:kern w:val="2"/>
          <w:sz w:val="32"/>
          <w:szCs w:val="20"/>
        </w:rPr>
        <w:t>%，主要是</w:t>
      </w:r>
      <w:r>
        <w:rPr>
          <w:rFonts w:hint="eastAsia" w:ascii="Times New Roman" w:hAnsi="Times New Roman" w:eastAsia="仿宋_GB2312"/>
          <w:color w:val="auto"/>
          <w:kern w:val="2"/>
          <w:sz w:val="32"/>
          <w:szCs w:val="20"/>
          <w:highlight w:val="none"/>
          <w:lang w:eastAsia="zh-CN"/>
        </w:rPr>
        <w:t>严格按照过紧日子原则，节约开支</w:t>
      </w:r>
      <w:r>
        <w:rPr>
          <w:rFonts w:hint="eastAsia" w:ascii="Times New Roman" w:hAnsi="Times New Roman" w:eastAsia="仿宋_GB2312"/>
          <w:color w:val="000000"/>
          <w:sz w:val="32"/>
          <w:szCs w:val="32"/>
        </w:rPr>
        <w:t>。</w:t>
      </w:r>
    </w:p>
    <w:p>
      <w:pPr>
        <w:pStyle w:val="14"/>
        <w:keepNext w:val="0"/>
        <w:keepLines w:val="0"/>
        <w:pageBreakBefore w:val="0"/>
        <w:numPr>
          <w:ilvl w:val="0"/>
          <w:numId w:val="2"/>
        </w:numPr>
        <w:kinsoku/>
        <w:wordWrap/>
        <w:overflowPunct/>
        <w:topLinePunct w:val="0"/>
        <w:autoSpaceDE/>
        <w:autoSpaceDN/>
        <w:bidi w:val="0"/>
        <w:adjustRightInd w:val="0"/>
        <w:snapToGrid w:val="0"/>
        <w:spacing w:line="600" w:lineRule="exact"/>
        <w:ind w:left="0" w:leftChars="0" w:right="0" w:rightChars="0" w:firstLine="600"/>
        <w:jc w:val="both"/>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政府采购情况。</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2025年</w:t>
      </w:r>
      <w:r>
        <w:rPr>
          <w:rFonts w:hint="eastAsia" w:ascii="Times New Roman" w:hAnsi="Times New Roman" w:eastAsia="仿宋_GB2312"/>
          <w:sz w:val="32"/>
          <w:szCs w:val="32"/>
        </w:rPr>
        <w:t>德清县财政票据管理中心</w:t>
      </w:r>
      <w:r>
        <w:rPr>
          <w:rFonts w:hint="eastAsia" w:ascii="Times New Roman" w:hAnsi="Times New Roman" w:eastAsia="仿宋_GB2312"/>
          <w:color w:val="000000"/>
          <w:sz w:val="32"/>
          <w:szCs w:val="32"/>
        </w:rPr>
        <w:t>各单位政府采购预算总额</w:t>
      </w:r>
      <w:r>
        <w:rPr>
          <w:rFonts w:ascii="Times New Roman" w:hAnsi="Times New Roman" w:eastAsia="仿宋_GB2312"/>
          <w:color w:val="000000"/>
          <w:sz w:val="32"/>
          <w:szCs w:val="32"/>
        </w:rPr>
        <w:t>0.00</w:t>
      </w:r>
      <w:r>
        <w:rPr>
          <w:rFonts w:hint="eastAsia" w:ascii="Times New Roman" w:hAnsi="Times New Roman" w:eastAsia="仿宋_GB2312"/>
          <w:color w:val="000000"/>
          <w:sz w:val="32"/>
          <w:szCs w:val="32"/>
        </w:rPr>
        <w:t>万元，其中：政府采购货物预算0.00万元、政府采购工程预算0.00万元、政府采购服务预算</w:t>
      </w:r>
      <w:r>
        <w:rPr>
          <w:rFonts w:ascii="Times New Roman" w:hAnsi="Times New Roman" w:eastAsia="仿宋_GB2312"/>
          <w:color w:val="000000"/>
          <w:sz w:val="32"/>
          <w:szCs w:val="32"/>
        </w:rPr>
        <w:t>0.00</w:t>
      </w:r>
      <w:r>
        <w:rPr>
          <w:rFonts w:hint="eastAsia" w:ascii="Times New Roman" w:hAnsi="Times New Roman" w:eastAsia="仿宋_GB2312"/>
          <w:color w:val="000000"/>
          <w:sz w:val="32"/>
          <w:szCs w:val="32"/>
        </w:rPr>
        <w:t>万元。</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sz w:val="32"/>
          <w:szCs w:val="32"/>
        </w:rPr>
      </w:pPr>
      <w:r>
        <w:rPr>
          <w:rFonts w:hint="eastAsia" w:ascii="Times New Roman" w:hAnsi="Times New Roman" w:eastAsia="仿宋_GB2312"/>
          <w:b/>
          <w:bCs/>
          <w:sz w:val="32"/>
          <w:szCs w:val="32"/>
        </w:rPr>
        <w:t>3.国有资产占有使用情况。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6"/>
          <w:sz w:val="32"/>
          <w:szCs w:val="32"/>
          <w:highlight w:val="none"/>
        </w:rPr>
        <w:t>截至202</w:t>
      </w:r>
      <w:r>
        <w:rPr>
          <w:rFonts w:hint="eastAsia" w:ascii="Times New Roman" w:hAnsi="Times New Roman" w:eastAsia="仿宋_GB2312" w:cs="仿宋_GB2312"/>
          <w:color w:val="auto"/>
          <w:spacing w:val="6"/>
          <w:sz w:val="32"/>
          <w:szCs w:val="32"/>
          <w:highlight w:val="none"/>
          <w:lang w:val="en-US" w:eastAsia="zh-CN"/>
        </w:rPr>
        <w:t>4</w:t>
      </w:r>
      <w:r>
        <w:rPr>
          <w:rFonts w:hint="eastAsia" w:ascii="Times New Roman" w:hAnsi="Times New Roman" w:eastAsia="仿宋_GB2312" w:cs="仿宋_GB2312"/>
          <w:color w:val="auto"/>
          <w:spacing w:val="6"/>
          <w:sz w:val="32"/>
          <w:szCs w:val="32"/>
          <w:highlight w:val="none"/>
        </w:rPr>
        <w:t>年12月31日，所属单位共有车辆</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辆，其中，应急保障用车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辆、老干部服务用车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辆、执法执勤用车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辆、特种专业技术用车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辆、行政执法专用车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辆、其他用车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辆。单位价值100万元以上设备</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 xml:space="preserve">台（套）。 </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color w:val="auto"/>
          <w:sz w:val="32"/>
          <w:szCs w:val="32"/>
          <w:highlight w:val="none"/>
          <w:lang w:eastAsia="zh-CN"/>
        </w:rPr>
        <w:t>2025年</w:t>
      </w:r>
      <w:r>
        <w:rPr>
          <w:rFonts w:ascii="Times New Roman" w:hAnsi="Times New Roman" w:eastAsia="仿宋_GB2312" w:cs="仿宋_GB2312"/>
          <w:color w:val="auto"/>
          <w:sz w:val="32"/>
          <w:szCs w:val="32"/>
          <w:highlight w:val="none"/>
        </w:rPr>
        <w:t>部门预算未安排购置车辆、单位价值100万元以上设备</w:t>
      </w:r>
      <w:r>
        <w:rPr>
          <w:rFonts w:hint="eastAsia" w:ascii="Times New Roman" w:hAnsi="Times New Roman" w:eastAsia="仿宋_GB2312" w:cs="仿宋_GB2312"/>
          <w:color w:val="auto"/>
          <w:sz w:val="32"/>
          <w:szCs w:val="32"/>
          <w:highlight w:val="none"/>
        </w:rPr>
        <w:t>。</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jc w:val="both"/>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 xml:space="preserve">    4.预算绩效情况说明。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2025年</w:t>
      </w:r>
      <w:r>
        <w:rPr>
          <w:rFonts w:ascii="Times New Roman" w:hAnsi="Times New Roman" w:eastAsia="仿宋_GB2312" w:cs="仿宋_GB2312"/>
          <w:sz w:val="32"/>
          <w:szCs w:val="32"/>
        </w:rPr>
        <w:t>德清县财政票据管理中心其他运转类项目和特定目标类项目均实行绩效目标管理，共计0个一级项目，涉及当年资金0.00万元。同时，将按照相关制度规定开展绩效自评。</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黑体" w:cs="黑体"/>
          <w:bCs/>
          <w:kern w:val="2"/>
          <w:sz w:val="32"/>
          <w:szCs w:val="32"/>
        </w:rPr>
      </w:pPr>
      <w:r>
        <w:rPr>
          <w:rFonts w:hint="eastAsia" w:ascii="Times New Roman" w:hAnsi="Times New Roman" w:eastAsia="黑体" w:cs="黑体"/>
          <w:bCs/>
          <w:kern w:val="2"/>
          <w:sz w:val="32"/>
          <w:szCs w:val="32"/>
        </w:rPr>
        <w:t>三、名词解释</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1.财政拨款收入：本级财政部门当年拨付的财政预算资金，包括一般公共预算财政拨款</w:t>
      </w:r>
      <w:r>
        <w:rPr>
          <w:rFonts w:hint="eastAsia" w:ascii="Times New Roman" w:hAnsi="Times New Roman" w:eastAsia="仿宋_GB2312"/>
          <w:color w:val="000000"/>
          <w:sz w:val="32"/>
          <w:szCs w:val="32"/>
        </w:rPr>
        <w:t>、</w:t>
      </w:r>
      <w:r>
        <w:rPr>
          <w:rFonts w:hint="eastAsia" w:ascii="Times New Roman" w:hAnsi="Times New Roman" w:eastAsia="仿宋_GB2312" w:cs="仿宋_GB2312"/>
          <w:sz w:val="32"/>
          <w:szCs w:val="32"/>
        </w:rPr>
        <w:t>政府性基金预算和国有资本经营预算财政拨款。</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2.财政专户管理资金:教育收费作为本部门的事业收入，纳入财政专户管理的资金。</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3.事业收入：事业单位开展专业业务活动及辅助活动所取得的收入，不含财政专户管理资金收入。</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4.事业单位经营收入：事业单位在专业业务活动及辅助活动之外开展非独立核算经营活动取得的收入。</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6.上年结转结余：包括财政拨款结转结余、财政专户管理结转结余和单位资金结转结余。</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7.基本支出：是预算单位为保障其正常运转，完成日常工作任务所发生的支出，包括人员支出和日常公用支出。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8.项目支出：是预算单位为完成其特定的行政工作任务或事业发展目标所发生的支出。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.“三公”经费：纳入财政预决算管理的“三公”经费，是指部门用一般公共预算财政拨款安排的因公出国（境）费</w:t>
      </w:r>
      <w:r>
        <w:rPr>
          <w:rFonts w:hint="eastAsia" w:ascii="Times New Roman" w:hAnsi="Times New Roman" w:eastAsia="仿宋_GB2312" w:cs="仿宋_GB2312"/>
          <w:sz w:val="32"/>
          <w:szCs w:val="32"/>
          <w:lang w:val="en-US" w:eastAsia="zh-CN"/>
        </w:rPr>
        <w:t>用</w:t>
      </w:r>
      <w:r>
        <w:rPr>
          <w:rFonts w:hint="eastAsia" w:ascii="Times New Roman" w:hAnsi="Times New Roman" w:eastAsia="仿宋_GB2312" w:cs="仿宋_GB2312"/>
          <w:sz w:val="32"/>
          <w:szCs w:val="32"/>
        </w:rPr>
        <w:t>、公务用车购置及运行费和公务接待费。其中，因公出国（境）费</w:t>
      </w:r>
      <w:r>
        <w:rPr>
          <w:rFonts w:hint="eastAsia" w:ascii="Times New Roman" w:hAnsi="Times New Roman" w:eastAsia="仿宋_GB2312" w:cs="仿宋_GB2312"/>
          <w:sz w:val="32"/>
          <w:szCs w:val="32"/>
          <w:lang w:val="en-US" w:eastAsia="zh-CN"/>
        </w:rPr>
        <w:t>用</w:t>
      </w:r>
      <w:r>
        <w:rPr>
          <w:rFonts w:hint="eastAsia" w:ascii="Times New Roman" w:hAnsi="Times New Roman" w:eastAsia="仿宋_GB2312" w:cs="仿宋_GB2312"/>
          <w:sz w:val="32"/>
          <w:szCs w:val="32"/>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.机关运行经费：指为保障行政单位（含参照公务员法管理的事业单位）运行用于购买货物和服务的各项资金，包括办公</w:t>
      </w:r>
      <w:r>
        <w:rPr>
          <w:rFonts w:hint="eastAsia" w:ascii="Times New Roman" w:hAnsi="Times New Roman" w:eastAsia="仿宋_GB2312" w:cs="仿宋_GB2312"/>
          <w:sz w:val="32"/>
          <w:szCs w:val="32"/>
          <w:lang w:val="en-US" w:eastAsia="zh-CN"/>
        </w:rPr>
        <w:t>费、</w:t>
      </w:r>
      <w:r>
        <w:rPr>
          <w:rFonts w:hint="eastAsia" w:ascii="Times New Roman" w:hAnsi="Times New Roman" w:eastAsia="仿宋_GB2312" w:cs="仿宋_GB2312"/>
          <w:sz w:val="32"/>
          <w:szCs w:val="32"/>
        </w:rPr>
        <w:t>印刷费、邮电费、差旅费、会议费、福利费、日常维修费、专用材料</w:t>
      </w:r>
      <w:r>
        <w:rPr>
          <w:rFonts w:hint="eastAsia" w:ascii="Times New Roman" w:hAnsi="Times New Roman" w:eastAsia="仿宋_GB2312" w:cs="仿宋_GB2312"/>
          <w:sz w:val="32"/>
          <w:szCs w:val="32"/>
          <w:lang w:val="en-US" w:eastAsia="zh-CN"/>
        </w:rPr>
        <w:t>费</w:t>
      </w:r>
      <w:r>
        <w:rPr>
          <w:rFonts w:hint="eastAsia" w:ascii="Times New Roman" w:hAnsi="Times New Roman" w:eastAsia="仿宋_GB2312" w:cs="仿宋_GB2312"/>
          <w:sz w:val="32"/>
          <w:szCs w:val="32"/>
        </w:rPr>
        <w:t>及</w:t>
      </w:r>
      <w:r>
        <w:rPr>
          <w:rFonts w:hint="eastAsia" w:ascii="Times New Roman" w:hAnsi="Times New Roman" w:eastAsia="仿宋_GB2312" w:cs="仿宋_GB2312"/>
          <w:sz w:val="32"/>
          <w:szCs w:val="32"/>
          <w:lang w:val="en-US" w:eastAsia="zh-CN"/>
        </w:rPr>
        <w:t>办公</w:t>
      </w:r>
      <w:r>
        <w:rPr>
          <w:rFonts w:hint="eastAsia" w:ascii="Times New Roman" w:hAnsi="Times New Roman" w:eastAsia="仿宋_GB2312" w:cs="仿宋_GB2312"/>
          <w:sz w:val="32"/>
          <w:szCs w:val="32"/>
        </w:rPr>
        <w:t>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olor w:val="auto"/>
          <w:sz w:val="32"/>
          <w:szCs w:val="32"/>
          <w:highlight w:val="none"/>
        </w:rPr>
      </w:pPr>
      <w:r>
        <w:rPr>
          <w:rFonts w:ascii="Times New Roman" w:hAnsi="Times New Roman" w:eastAsia="仿宋_GB2312"/>
          <w:color w:val="auto"/>
          <w:kern w:val="2"/>
          <w:sz w:val="32"/>
          <w:szCs w:val="32"/>
          <w:highlight w:val="none"/>
        </w:rPr>
        <w:t>1</w:t>
      </w:r>
      <w:r>
        <w:rPr>
          <w:rFonts w:hint="eastAsia" w:ascii="Times New Roman" w:hAnsi="Times New Roman" w:eastAsia="仿宋_GB2312"/>
          <w:color w:val="auto"/>
          <w:kern w:val="2"/>
          <w:sz w:val="32"/>
          <w:szCs w:val="32"/>
          <w:highlight w:val="none"/>
          <w:lang w:val="en-US" w:eastAsia="zh-CN"/>
        </w:rPr>
        <w:t>1</w:t>
      </w:r>
      <w:r>
        <w:rPr>
          <w:rFonts w:ascii="Times New Roman" w:hAnsi="Times New Roman" w:eastAsia="仿宋_GB2312"/>
          <w:color w:val="auto"/>
          <w:kern w:val="2"/>
          <w:sz w:val="32"/>
          <w:szCs w:val="32"/>
          <w:highlight w:val="none"/>
        </w:rPr>
        <w:t>.</w:t>
      </w:r>
      <w:r>
        <w:rPr>
          <w:rFonts w:hint="eastAsia" w:ascii="Times New Roman" w:hAnsi="Times New Roman" w:eastAsia="仿宋_GB2312"/>
          <w:color w:val="auto"/>
          <w:kern w:val="2"/>
          <w:sz w:val="32"/>
          <w:szCs w:val="32"/>
          <w:highlight w:val="none"/>
        </w:rPr>
        <w:t>一般公共服务</w:t>
      </w:r>
      <w:r>
        <w:rPr>
          <w:rFonts w:hint="eastAsia" w:ascii="Times New Roman" w:hAnsi="Times New Roman" w:eastAsia="仿宋_GB2312"/>
          <w:color w:val="auto"/>
          <w:kern w:val="2"/>
          <w:sz w:val="32"/>
          <w:szCs w:val="32"/>
          <w:highlight w:val="none"/>
          <w:lang w:eastAsia="zh-CN"/>
        </w:rPr>
        <w:t>支出</w:t>
      </w:r>
      <w:r>
        <w:rPr>
          <w:rFonts w:hint="eastAsia" w:ascii="Times New Roman" w:hAnsi="Times New Roman" w:eastAsia="仿宋_GB2312"/>
          <w:color w:val="auto"/>
          <w:kern w:val="2"/>
          <w:sz w:val="32"/>
          <w:szCs w:val="32"/>
          <w:highlight w:val="none"/>
        </w:rPr>
        <w:t>（类）财政事务（款）行政运行（项）反映行政单位（包括实行公务员管理的事业单位）的基本支出。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olor w:val="auto"/>
          <w:sz w:val="32"/>
          <w:szCs w:val="32"/>
          <w:highlight w:val="none"/>
        </w:rPr>
      </w:pPr>
      <w:r>
        <w:rPr>
          <w:rFonts w:ascii="Times New Roman" w:hAnsi="Times New Roman" w:eastAsia="仿宋_GB2312"/>
          <w:color w:val="auto"/>
          <w:kern w:val="2"/>
          <w:sz w:val="32"/>
          <w:szCs w:val="32"/>
          <w:highlight w:val="none"/>
        </w:rPr>
        <w:t>1</w:t>
      </w:r>
      <w:r>
        <w:rPr>
          <w:rFonts w:hint="eastAsia" w:ascii="Times New Roman" w:hAnsi="Times New Roman" w:eastAsia="仿宋_GB2312"/>
          <w:color w:val="auto"/>
          <w:kern w:val="2"/>
          <w:sz w:val="32"/>
          <w:szCs w:val="32"/>
          <w:highlight w:val="none"/>
          <w:lang w:val="en-US" w:eastAsia="zh-CN"/>
        </w:rPr>
        <w:t>2</w:t>
      </w:r>
      <w:r>
        <w:rPr>
          <w:rFonts w:ascii="Times New Roman" w:hAnsi="Times New Roman" w:eastAsia="仿宋_GB2312"/>
          <w:color w:val="auto"/>
          <w:kern w:val="2"/>
          <w:sz w:val="32"/>
          <w:szCs w:val="32"/>
          <w:highlight w:val="none"/>
        </w:rPr>
        <w:t>.</w:t>
      </w:r>
      <w:r>
        <w:rPr>
          <w:rFonts w:hint="eastAsia" w:ascii="Times New Roman" w:hAnsi="Times New Roman" w:eastAsia="仿宋_GB2312"/>
          <w:color w:val="auto"/>
          <w:kern w:val="2"/>
          <w:sz w:val="32"/>
          <w:szCs w:val="32"/>
          <w:highlight w:val="none"/>
        </w:rPr>
        <w:t>社会保障和就业支出(类)行政事业单位养老支出(款)行政单位离退休(项)反映行政单位（包括实行公务员管理的事业单位）开支的离退休经费。</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olor w:val="auto"/>
          <w:sz w:val="32"/>
          <w:szCs w:val="32"/>
          <w:highlight w:val="none"/>
        </w:rPr>
      </w:pPr>
      <w:r>
        <w:rPr>
          <w:rFonts w:ascii="Times New Roman" w:hAnsi="Times New Roman" w:eastAsia="仿宋_GB2312"/>
          <w:color w:val="auto"/>
          <w:kern w:val="2"/>
          <w:sz w:val="32"/>
          <w:szCs w:val="32"/>
          <w:highlight w:val="none"/>
        </w:rPr>
        <w:t>1</w:t>
      </w:r>
      <w:r>
        <w:rPr>
          <w:rFonts w:hint="eastAsia" w:ascii="Times New Roman" w:hAnsi="Times New Roman" w:eastAsia="仿宋_GB2312"/>
          <w:color w:val="auto"/>
          <w:kern w:val="2"/>
          <w:sz w:val="32"/>
          <w:szCs w:val="32"/>
          <w:highlight w:val="none"/>
          <w:lang w:val="en-US" w:eastAsia="zh-CN"/>
        </w:rPr>
        <w:t>3</w:t>
      </w:r>
      <w:r>
        <w:rPr>
          <w:rFonts w:ascii="Times New Roman" w:hAnsi="Times New Roman" w:eastAsia="仿宋_GB2312"/>
          <w:color w:val="auto"/>
          <w:kern w:val="2"/>
          <w:sz w:val="32"/>
          <w:szCs w:val="32"/>
          <w:highlight w:val="none"/>
        </w:rPr>
        <w:t>.</w:t>
      </w:r>
      <w:r>
        <w:rPr>
          <w:rFonts w:hint="eastAsia" w:ascii="Times New Roman" w:hAnsi="Times New Roman" w:eastAsia="仿宋_GB2312"/>
          <w:color w:val="auto"/>
          <w:kern w:val="2"/>
          <w:sz w:val="32"/>
          <w:szCs w:val="32"/>
          <w:highlight w:val="none"/>
        </w:rPr>
        <w:t>社会保障和就业支出(类)行政事业单位养老支出(款)机关事业单位基本养老保险缴费支出(项)反映机关事业单位实施养老保险制度由单位缴纳的基本养老保险费支出。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ascii="Times New Roman" w:hAnsi="Times New Roman" w:eastAsia="仿宋_GB2312"/>
          <w:color w:val="auto"/>
          <w:sz w:val="32"/>
          <w:szCs w:val="32"/>
          <w:highlight w:val="none"/>
        </w:rPr>
      </w:pPr>
      <w:r>
        <w:rPr>
          <w:rFonts w:ascii="Times New Roman" w:hAnsi="Times New Roman" w:eastAsia="仿宋_GB2312"/>
          <w:color w:val="auto"/>
          <w:kern w:val="2"/>
          <w:sz w:val="32"/>
          <w:szCs w:val="32"/>
          <w:highlight w:val="none"/>
        </w:rPr>
        <w:t>1</w:t>
      </w:r>
      <w:r>
        <w:rPr>
          <w:rFonts w:hint="eastAsia" w:ascii="Times New Roman" w:hAnsi="Times New Roman" w:eastAsia="仿宋_GB2312"/>
          <w:color w:val="auto"/>
          <w:kern w:val="2"/>
          <w:sz w:val="32"/>
          <w:szCs w:val="32"/>
          <w:highlight w:val="none"/>
          <w:lang w:val="en-US" w:eastAsia="zh-CN"/>
        </w:rPr>
        <w:t>4</w:t>
      </w:r>
      <w:r>
        <w:rPr>
          <w:rFonts w:ascii="Times New Roman" w:hAnsi="Times New Roman" w:eastAsia="仿宋_GB2312"/>
          <w:color w:val="auto"/>
          <w:kern w:val="2"/>
          <w:sz w:val="32"/>
          <w:szCs w:val="32"/>
          <w:highlight w:val="none"/>
        </w:rPr>
        <w:t>.</w:t>
      </w:r>
      <w:r>
        <w:rPr>
          <w:rFonts w:hint="eastAsia" w:ascii="Times New Roman" w:hAnsi="Times New Roman" w:eastAsia="仿宋_GB2312"/>
          <w:color w:val="auto"/>
          <w:kern w:val="2"/>
          <w:sz w:val="32"/>
          <w:szCs w:val="32"/>
          <w:highlight w:val="none"/>
        </w:rPr>
        <w:t>社会保障和就业支出(类)行政事业单位养老支出(款)机关事业单位职业年金缴费支出(项)反映机关事业单位实施养老保险制度由单位实际缴纳的职业年金支出</w:t>
      </w:r>
      <w:r>
        <w:rPr>
          <w:rFonts w:hint="eastAsia" w:ascii="Times New Roman" w:hAnsi="Times New Roman" w:eastAsia="仿宋_GB2312"/>
          <w:color w:val="auto"/>
          <w:kern w:val="2"/>
          <w:sz w:val="32"/>
          <w:szCs w:val="32"/>
          <w:highlight w:val="none"/>
          <w:lang w:eastAsia="zh-CN"/>
        </w:rPr>
        <w:t>（含职业年金补记支出）</w:t>
      </w:r>
      <w:r>
        <w:rPr>
          <w:rFonts w:hint="eastAsia" w:ascii="Times New Roman" w:hAnsi="Times New Roman" w:eastAsia="仿宋_GB2312"/>
          <w:color w:val="auto"/>
          <w:kern w:val="2"/>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ascii="Times New Roman" w:hAnsi="Times New Roman" w:eastAsia="仿宋_GB2312"/>
          <w:color w:val="auto"/>
          <w:sz w:val="32"/>
          <w:szCs w:val="32"/>
          <w:highlight w:val="none"/>
        </w:rPr>
      </w:pPr>
      <w:r>
        <w:rPr>
          <w:rFonts w:ascii="Times New Roman" w:hAnsi="Times New Roman" w:eastAsia="仿宋_GB2312"/>
          <w:color w:val="auto"/>
          <w:kern w:val="2"/>
          <w:sz w:val="32"/>
          <w:szCs w:val="32"/>
          <w:highlight w:val="none"/>
        </w:rPr>
        <w:t>1</w:t>
      </w:r>
      <w:r>
        <w:rPr>
          <w:rFonts w:hint="eastAsia" w:ascii="Times New Roman" w:hAnsi="Times New Roman" w:eastAsia="仿宋_GB2312"/>
          <w:color w:val="auto"/>
          <w:kern w:val="2"/>
          <w:sz w:val="32"/>
          <w:szCs w:val="32"/>
          <w:highlight w:val="none"/>
          <w:lang w:val="en-US" w:eastAsia="zh-CN"/>
        </w:rPr>
        <w:t>5</w:t>
      </w:r>
      <w:r>
        <w:rPr>
          <w:rFonts w:ascii="Times New Roman" w:hAnsi="Times New Roman" w:eastAsia="仿宋_GB2312"/>
          <w:color w:val="auto"/>
          <w:kern w:val="2"/>
          <w:sz w:val="32"/>
          <w:szCs w:val="32"/>
          <w:highlight w:val="none"/>
        </w:rPr>
        <w:t>.</w:t>
      </w:r>
      <w:r>
        <w:rPr>
          <w:rFonts w:hint="eastAsia" w:ascii="Times New Roman" w:hAnsi="Times New Roman" w:eastAsia="仿宋_GB2312"/>
          <w:color w:val="auto"/>
          <w:kern w:val="2"/>
          <w:sz w:val="32"/>
          <w:szCs w:val="32"/>
          <w:highlight w:val="none"/>
        </w:rPr>
        <w:t>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olor w:val="000000"/>
          <w:sz w:val="32"/>
          <w:szCs w:val="32"/>
        </w:rPr>
      </w:pP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lang w:val="en-US" w:eastAsia="zh-CN"/>
        </w:rPr>
        <w:t>6</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卫生健康支出(类)</w:t>
      </w:r>
      <w:r>
        <w:rPr>
          <w:rFonts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rPr>
        <w:t>行政事业单位医疗(款)公务员医疗补助(项)反映财政部门安排的公务员医疗补助经费。</w:t>
      </w:r>
    </w:p>
    <w:p>
      <w:pPr>
        <w:spacing w:line="520" w:lineRule="exact"/>
      </w:pPr>
    </w:p>
    <w:p>
      <w:p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pPr>
      <w:r>
        <w:object>
          <v:shape id="_x0000_i1025" o:spt="75" type="#_x0000_t75" style="height:364.3pt;width:766.65pt;" o:ole="t" filled="f" o:preferrelative="t" stroked="f" coordsize="21600,21600">
            <v:path/>
            <v:fill on="f" focussize="0,0"/>
            <v:stroke on="f"/>
            <v:imagedata r:id="rId11" o:title=""/>
            <o:lock v:ext="edit" aspectratio="f"/>
            <w10:wrap type="none"/>
            <w10:anchorlock/>
          </v:shape>
          <o:OLEObject Type="Embed" ProgID="Excel.Sheet.12" ShapeID="_x0000_i1025" DrawAspect="Content" ObjectID="_1468075725" r:id="rId10">
            <o:LockedField>false</o:LockedField>
          </o:OLEObject>
        </w:objec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sectPr>
          <w:pgSz w:w="16838" w:h="11906" w:orient="landscape"/>
          <w:pgMar w:top="1800" w:right="1440" w:bottom="1800" w:left="1440" w:header="851" w:footer="992" w:gutter="0"/>
          <w:pgNumType w:start="6"/>
          <w:cols w:space="425" w:num="1"/>
          <w:docGrid w:type="lines" w:linePitch="312" w:charSpace="0"/>
        </w:sectPr>
      </w:pPr>
      <w:r>
        <w:object>
          <v:shape id="_x0000_i1026" o:spt="75" type="#_x0000_t75" style="height:158.4pt;width:696.75pt;" o:ole="t" filled="f" o:preferrelative="t" stroked="f" coordsize="21600,21600">
            <v:path/>
            <v:fill on="f" focussize="0,0"/>
            <v:stroke on="f"/>
            <v:imagedata r:id="rId13" o:title=""/>
            <o:lock v:ext="edit" aspectratio="f"/>
            <w10:wrap type="none"/>
            <w10:anchorlock/>
          </v:shape>
          <o:OLEObject Type="Embed" ProgID="Excel.Sheet.12" ShapeID="_x0000_i1026" DrawAspect="Content" ObjectID="_1468075726" r:id="rId12">
            <o:LockedField>false</o:LockedField>
          </o:OLEObject>
        </w:objec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pPr>
      <w:r>
        <w:object>
          <v:shape id="_x0000_i1027" o:spt="75" type="#_x0000_t75" style="height:368pt;width:697.7pt;" o:ole="t" filled="f" o:preferrelative="t" stroked="f" coordsize="21600,21600">
            <v:path/>
            <v:fill on="f" focussize="0,0"/>
            <v:stroke on="f"/>
            <v:imagedata r:id="rId15" o:title=""/>
            <o:lock v:ext="edit" aspectratio="f"/>
            <w10:wrap type="none"/>
            <w10:anchorlock/>
          </v:shape>
          <o:OLEObject Type="Embed" ProgID="Excel.Sheet.12" ShapeID="_x0000_i1027" DrawAspect="Content" ObjectID="_1468075727" r:id="rId14">
            <o:LockedField>false</o:LockedField>
          </o:OLEObject>
        </w:objec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pPr>
      <w:r>
        <w:object>
          <v:shape id="_x0000_i1028" o:spt="75" type="#_x0000_t75" style="height:425.5pt;width:697.8pt;" o:ole="t" filled="f" o:preferrelative="t" stroked="f" coordsize="21600,21600">
            <v:path/>
            <v:fill on="f" focussize="0,0"/>
            <v:stroke on="f"/>
            <v:imagedata r:id="rId17" o:title=""/>
            <o:lock v:ext="edit" aspectratio="f"/>
            <w10:wrap type="none"/>
            <w10:anchorlock/>
          </v:shape>
          <o:OLEObject Type="Embed" ProgID="Excel.Sheet.12" ShapeID="_x0000_i1028" DrawAspect="Content" ObjectID="_1468075728" r:id="rId16">
            <o:LockedField>false</o:LockedField>
          </o:OLEObject>
        </w:objec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pPr>
      <w:r>
        <w:object>
          <v:shape id="_x0000_i1029" o:spt="75" type="#_x0000_t75" style="height:398.95pt;width:697.4pt;" o:ole="t" filled="f" o:preferrelative="t" stroked="f" coordsize="21600,21600">
            <v:path/>
            <v:fill on="f" focussize="0,0"/>
            <v:stroke on="f"/>
            <v:imagedata r:id="rId19" o:title=""/>
            <o:lock v:ext="edit" aspectratio="f"/>
            <w10:wrap type="none"/>
            <w10:anchorlock/>
          </v:shape>
          <o:OLEObject Type="Embed" ProgID="Excel.Sheet.12" ShapeID="_x0000_i1029" DrawAspect="Content" ObjectID="_1468075729" r:id="rId18">
            <o:LockedField>false</o:LockedField>
          </o:OLEObject>
        </w:objec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pPr>
    </w:p>
    <w:p>
      <w:pPr>
        <w:spacing w:line="640" w:lineRule="exact"/>
        <w:ind w:firstLine="440" w:firstLineChars="100"/>
        <w:jc w:val="center"/>
        <w:rPr>
          <w:rFonts w:hint="eastAsia" w:ascii="宋体" w:hAnsi="宋体" w:eastAsia="宋体" w:cs="宋体"/>
          <w:b w:val="0"/>
          <w:bCs/>
          <w:color w:val="auto"/>
          <w:sz w:val="44"/>
          <w:szCs w:val="44"/>
        </w:rPr>
      </w:pPr>
      <w:r>
        <w:rPr>
          <w:rFonts w:hint="eastAsia" w:ascii="宋体" w:hAnsi="宋体" w:eastAsia="宋体" w:cs="宋体"/>
          <w:b w:val="0"/>
          <w:bCs/>
          <w:color w:val="auto"/>
          <w:sz w:val="44"/>
          <w:szCs w:val="44"/>
        </w:rPr>
        <w:t>2025年单位一般公共预算基本支出表</w:t>
      </w:r>
    </w:p>
    <w:p>
      <w:pPr>
        <w:spacing w:line="640" w:lineRule="exact"/>
        <w:ind w:firstLine="200" w:firstLineChars="100"/>
        <w:jc w:val="left"/>
        <w:rPr>
          <w:rFonts w:ascii="仿宋_GB2312" w:hAnsi="仿宋_GB2312" w:eastAsia="仿宋_GB2312"/>
          <w:sz w:val="32"/>
        </w:rPr>
      </w:pPr>
      <w:r>
        <w:rPr>
          <w:rFonts w:hint="eastAsia" w:ascii="宋体" w:hAnsi="宋体"/>
          <w:color w:val="000000"/>
          <w:sz w:val="20"/>
          <w:lang w:val="en-US" w:eastAsia="zh-CN"/>
        </w:rPr>
        <w:t>326006-</w:t>
      </w:r>
      <w:r>
        <w:rPr>
          <w:rFonts w:hint="eastAsia" w:ascii="宋体" w:hAnsi="宋体"/>
          <w:color w:val="000000"/>
          <w:sz w:val="20"/>
        </w:rPr>
        <w:t xml:space="preserve"> </w:t>
      </w:r>
      <w:r>
        <w:rPr>
          <w:rFonts w:hint="eastAsia" w:ascii="宋体" w:hAnsi="宋体"/>
          <w:color w:val="000000"/>
          <w:sz w:val="20"/>
          <w:lang w:eastAsia="zh-CN"/>
        </w:rPr>
        <w:t>德清县财政票据管理中心</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w:t>
      </w:r>
      <w:r>
        <w:rPr>
          <w:rFonts w:hint="eastAsia" w:ascii="宋体" w:hAnsi="宋体"/>
          <w:color w:val="000000"/>
          <w:sz w:val="20"/>
          <w:lang w:val="en-US" w:eastAsia="zh-CN"/>
        </w:rPr>
        <w:t xml:space="preserve">   </w:t>
      </w:r>
      <w:r>
        <w:rPr>
          <w:rFonts w:hint="eastAsia" w:ascii="宋体" w:hAnsi="宋体"/>
          <w:color w:val="000000"/>
          <w:sz w:val="20"/>
        </w:rPr>
        <w:t>单位：万元</w:t>
      </w:r>
    </w:p>
    <w:tbl>
      <w:tblPr>
        <w:tblStyle w:val="8"/>
        <w:tblW w:w="135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3686"/>
        <w:gridCol w:w="2645"/>
        <w:gridCol w:w="245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5797" w:type="dxa"/>
            <w:gridSpan w:val="2"/>
            <w:vAlign w:val="center"/>
          </w:tcPr>
          <w:p>
            <w:pPr>
              <w:widowControl/>
              <w:jc w:val="center"/>
              <w:rPr>
                <w:rFonts w:ascii="宋体" w:hAnsi="宋体" w:cs="Arial"/>
                <w:color w:val="000000"/>
                <w:kern w:val="0"/>
                <w:sz w:val="20"/>
              </w:rPr>
            </w:pPr>
            <w:r>
              <w:rPr>
                <w:rFonts w:hint="eastAsia" w:ascii="宋体" w:hAnsi="宋体" w:cs="Arial"/>
                <w:color w:val="000000"/>
                <w:kern w:val="0"/>
                <w:sz w:val="20"/>
              </w:rPr>
              <w:t>经济分类科目</w:t>
            </w:r>
          </w:p>
        </w:tc>
        <w:tc>
          <w:tcPr>
            <w:tcW w:w="7796" w:type="dxa"/>
            <w:gridSpan w:val="3"/>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111"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3686"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2645"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合计</w:t>
            </w:r>
          </w:p>
        </w:tc>
        <w:tc>
          <w:tcPr>
            <w:tcW w:w="2458"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人员经费</w:t>
            </w:r>
          </w:p>
        </w:tc>
        <w:tc>
          <w:tcPr>
            <w:tcW w:w="2693"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w:t>
            </w:r>
          </w:p>
        </w:tc>
        <w:tc>
          <w:tcPr>
            <w:tcW w:w="3686"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w:t>
            </w:r>
          </w:p>
        </w:tc>
        <w:tc>
          <w:tcPr>
            <w:tcW w:w="2645"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1</w:t>
            </w:r>
          </w:p>
        </w:tc>
        <w:tc>
          <w:tcPr>
            <w:tcW w:w="2458"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2</w:t>
            </w:r>
          </w:p>
        </w:tc>
        <w:tc>
          <w:tcPr>
            <w:tcW w:w="2693"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jc w:val="left"/>
              <w:rPr>
                <w:rFonts w:ascii="宋体" w:hAnsi="宋体" w:cs="Arial"/>
                <w:color w:val="000000"/>
                <w:kern w:val="0"/>
                <w:sz w:val="20"/>
              </w:rPr>
            </w:pP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合计</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199.97</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197.81</w:t>
            </w: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301</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工资福利支出</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181.70</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181.70</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30101</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基本工资</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14.35</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14.35</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30102</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津贴补贴</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30.29</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30.29</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30103</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奖金</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53.11</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53.11</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30106</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伙食补助费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7.06</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7.06</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30108</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机关事业单位基本养老保险缴费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13.42</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13.42</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30109</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职业年金缴费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6.71</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6.71</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30110</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职工基本医疗保险缴费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6.82</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6.82</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30111</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公务员医疗补助缴费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9.65</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9.65</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30112</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其他社会保障缴费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0.17</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0.17</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30113</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住房公积金</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18.50</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18.50</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30199</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其他工资福利支出</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21.64</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21.64</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97" w:type="dxa"/>
            <w:gridSpan w:val="2"/>
            <w:vAlign w:val="center"/>
          </w:tcPr>
          <w:p>
            <w:pPr>
              <w:widowControl/>
              <w:jc w:val="center"/>
              <w:rPr>
                <w:rFonts w:ascii="宋体" w:hAnsi="宋体" w:cs="Arial"/>
                <w:color w:val="000000"/>
                <w:kern w:val="0"/>
                <w:sz w:val="20"/>
              </w:rPr>
            </w:pPr>
            <w:r>
              <w:rPr>
                <w:rFonts w:hint="eastAsia" w:ascii="宋体" w:hAnsi="宋体" w:cs="Arial"/>
                <w:color w:val="000000"/>
                <w:kern w:val="0"/>
                <w:sz w:val="20"/>
              </w:rPr>
              <w:t>经济分类科目</w:t>
            </w:r>
          </w:p>
        </w:tc>
        <w:tc>
          <w:tcPr>
            <w:tcW w:w="7796" w:type="dxa"/>
            <w:gridSpan w:val="3"/>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3686"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2645"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合计</w:t>
            </w:r>
          </w:p>
        </w:tc>
        <w:tc>
          <w:tcPr>
            <w:tcW w:w="2458"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人员经费</w:t>
            </w:r>
          </w:p>
        </w:tc>
        <w:tc>
          <w:tcPr>
            <w:tcW w:w="2693"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w:t>
            </w:r>
          </w:p>
        </w:tc>
        <w:tc>
          <w:tcPr>
            <w:tcW w:w="3686"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w:t>
            </w:r>
          </w:p>
        </w:tc>
        <w:tc>
          <w:tcPr>
            <w:tcW w:w="2645"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1</w:t>
            </w:r>
          </w:p>
        </w:tc>
        <w:tc>
          <w:tcPr>
            <w:tcW w:w="2458"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2</w:t>
            </w:r>
          </w:p>
        </w:tc>
        <w:tc>
          <w:tcPr>
            <w:tcW w:w="2693"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302</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商品和服务支出</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2.16</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30201</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办公费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1.27</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30202</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印刷费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0.06</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30207</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邮电费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0.30</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30239</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其他交通费用</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0.53</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303</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对个人和家庭的补助</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16.11</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16.11</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30302</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退休费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13.11</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13.11</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30399</w:t>
            </w:r>
          </w:p>
        </w:tc>
        <w:tc>
          <w:tcPr>
            <w:tcW w:w="368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其他对个人和家庭的补助</w:t>
            </w:r>
          </w:p>
        </w:tc>
        <w:tc>
          <w:tcPr>
            <w:tcW w:w="2645"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245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2693" w:type="dxa"/>
            <w:vAlign w:val="center"/>
          </w:tcPr>
          <w:p>
            <w:pPr>
              <w:jc w:val="right"/>
              <w:rPr>
                <w:rFonts w:ascii="宋体" w:hAnsi="宋体" w:cs="Arial"/>
                <w:color w:val="000000"/>
                <w:sz w:val="20"/>
              </w:rPr>
            </w:pPr>
          </w:p>
        </w:tc>
      </w:tr>
    </w:tbl>
    <w:p>
      <w:pPr>
        <w:pStyle w:val="2"/>
        <w:sectPr>
          <w:pgSz w:w="16838" w:h="11906" w:orient="landscape"/>
          <w:pgMar w:top="1800" w:right="1440" w:bottom="1800" w:left="1440" w:header="851" w:footer="992" w:gutter="0"/>
          <w:pgNumType w:start="6"/>
          <w:cols w:space="425" w:num="1"/>
          <w:docGrid w:type="lines" w:linePitch="312" w:charSpace="0"/>
        </w:sect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pPr>
      <w:r>
        <w:object>
          <v:shape id="_x0000_i1030" o:spt="75" type="#_x0000_t75" style="height:381pt;width:609.75pt;" o:ole="t" filled="f" o:preferrelative="t" stroked="f" coordsize="21600,21600">
            <v:path/>
            <v:fill on="f" focussize="0,0"/>
            <v:stroke on="f"/>
            <v:imagedata r:id="rId21" o:title=""/>
            <o:lock v:ext="edit" aspectratio="f"/>
            <w10:wrap type="none"/>
            <w10:anchorlock/>
          </v:shape>
          <o:OLEObject Type="Embed" ProgID="Excel.Sheet.12" ShapeID="_x0000_i1030" DrawAspect="Content" ObjectID="_1468075730" r:id="rId20">
            <o:LockedField>false</o:LockedField>
          </o:OLEObject>
        </w:objec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sectPr>
          <w:pgSz w:w="16838" w:h="11906" w:orient="landscape"/>
          <w:pgMar w:top="1800" w:right="1440" w:bottom="1800" w:left="1440" w:header="851" w:footer="992" w:gutter="0"/>
          <w:pgNumType w:start="6"/>
          <w:cols w:space="425" w:num="1"/>
          <w:docGrid w:type="lines" w:linePitch="312" w:charSpace="0"/>
        </w:sectPr>
      </w:pPr>
      <w:r>
        <w:object>
          <v:shape id="_x0000_i1031" o:spt="75" type="#_x0000_t75" style="height:238.15pt;width:697.7pt;" o:ole="t" filled="f" o:preferrelative="t" stroked="f" coordsize="21600,21600">
            <v:path/>
            <v:fill on="f" focussize="0,0"/>
            <v:stroke on="f"/>
            <v:imagedata r:id="rId23" o:title=""/>
            <o:lock v:ext="edit" aspectratio="f"/>
            <w10:wrap type="none"/>
            <w10:anchorlock/>
          </v:shape>
          <o:OLEObject Type="Embed" ProgID="Excel.Sheet.12" ShapeID="_x0000_i1031" DrawAspect="Content" ObjectID="_1468075731" r:id="rId22">
            <o:LockedField>false</o:LockedField>
          </o:OLEObject>
        </w:objec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sectPr>
          <w:pgSz w:w="16838" w:h="11906" w:orient="landscape"/>
          <w:pgMar w:top="1800" w:right="1440" w:bottom="1800" w:left="1440" w:header="851" w:footer="992" w:gutter="0"/>
          <w:pgNumType w:start="6"/>
          <w:cols w:space="425" w:num="1"/>
          <w:docGrid w:type="lines" w:linePitch="312" w:charSpace="0"/>
        </w:sectPr>
      </w:pPr>
      <w:r>
        <w:object>
          <v:shape id="_x0000_i1032" o:spt="75" type="#_x0000_t75" style="height:141.05pt;width:697.7pt;" o:ole="t" filled="f" o:preferrelative="t" stroked="f" coordsize="21600,21600">
            <v:path/>
            <v:fill on="f" focussize="0,0"/>
            <v:stroke on="f"/>
            <v:imagedata r:id="rId25" o:title=""/>
            <o:lock v:ext="edit" aspectratio="f"/>
            <w10:wrap type="none"/>
            <w10:anchorlock/>
          </v:shape>
          <o:OLEObject Type="Embed" ProgID="Excel.Sheet.12" ShapeID="_x0000_i1032" DrawAspect="Content" ObjectID="_1468075732" r:id="rId24">
            <o:LockedField>false</o:LockedField>
          </o:OLEObject>
        </w:objec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sectPr>
          <w:pgSz w:w="16838" w:h="11906" w:orient="landscape"/>
          <w:pgMar w:top="1800" w:right="1440" w:bottom="1800" w:left="1440" w:header="851" w:footer="992" w:gutter="0"/>
          <w:pgNumType w:start="6"/>
          <w:cols w:space="425" w:num="1"/>
          <w:docGrid w:type="lines" w:linePitch="312" w:charSpace="0"/>
        </w:sectPr>
      </w:pPr>
      <w:r>
        <w:object>
          <v:shape id="_x0000_i1033" o:spt="75" type="#_x0000_t75" style="height:163.45pt;width:753.25pt;" o:ole="t" filled="f" o:preferrelative="t" stroked="f" coordsize="21600,21600">
            <v:path/>
            <v:fill on="f" focussize="0,0"/>
            <v:stroke on="f"/>
            <v:imagedata r:id="rId27" o:title=""/>
            <o:lock v:ext="edit" aspectratio="f"/>
            <w10:wrap type="none"/>
            <w10:anchorlock/>
          </v:shape>
          <o:OLEObject Type="Embed" ProgID="Excel.Sheet.12" ShapeID="_x0000_i1033" DrawAspect="Content" ObjectID="_1468075733" r:id="rId26">
            <o:LockedField>false</o:LockedField>
          </o:OLEObject>
        </w:objec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pPr>
      <w:r>
        <w:object>
          <v:shape id="_x0000_i1034" o:spt="75" type="#_x0000_t75" style="height:170.25pt;width:762.7pt;" o:ole="t" filled="f" o:preferrelative="t" stroked="f" coordsize="21600,21600">
            <v:path/>
            <v:fill on="f" focussize="0,0"/>
            <v:stroke on="f"/>
            <v:imagedata r:id="rId29" o:title=""/>
            <o:lock v:ext="edit" aspectratio="f"/>
            <w10:wrap type="none"/>
            <w10:anchorlock/>
          </v:shape>
          <o:OLEObject Type="Embed" ProgID="Excel.Sheet.12" ShapeID="_x0000_i1034" DrawAspect="Content" ObjectID="_1468075734" r:id="rId28">
            <o:LockedField>false</o:LockedField>
          </o:OLEObject>
        </w:object>
      </w:r>
    </w:p>
    <w:sectPr>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8C7FF1"/>
    <w:rsid w:val="03AA3E3B"/>
    <w:rsid w:val="03EA5C50"/>
    <w:rsid w:val="0458580D"/>
    <w:rsid w:val="04600135"/>
    <w:rsid w:val="05054F3D"/>
    <w:rsid w:val="05F46152"/>
    <w:rsid w:val="05F835B0"/>
    <w:rsid w:val="06113422"/>
    <w:rsid w:val="063B27DE"/>
    <w:rsid w:val="065E25EC"/>
    <w:rsid w:val="06835E42"/>
    <w:rsid w:val="06F965CB"/>
    <w:rsid w:val="07487AC1"/>
    <w:rsid w:val="07623DA7"/>
    <w:rsid w:val="081119C7"/>
    <w:rsid w:val="08DE4DFD"/>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0FEA06B3"/>
    <w:rsid w:val="106B2554"/>
    <w:rsid w:val="1085571C"/>
    <w:rsid w:val="10AD6224"/>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F81734"/>
    <w:rsid w:val="180061CB"/>
    <w:rsid w:val="18154C5A"/>
    <w:rsid w:val="18EF3804"/>
    <w:rsid w:val="19001E7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A3498E"/>
    <w:rsid w:val="1EFB5835"/>
    <w:rsid w:val="1F5052F4"/>
    <w:rsid w:val="1F8A1433"/>
    <w:rsid w:val="1FD94E57"/>
    <w:rsid w:val="205247F6"/>
    <w:rsid w:val="205508A0"/>
    <w:rsid w:val="2057551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672817"/>
    <w:rsid w:val="29763DAA"/>
    <w:rsid w:val="29954B63"/>
    <w:rsid w:val="29A41943"/>
    <w:rsid w:val="29B831E7"/>
    <w:rsid w:val="29DF16A7"/>
    <w:rsid w:val="29F74F67"/>
    <w:rsid w:val="2A484907"/>
    <w:rsid w:val="2B755902"/>
    <w:rsid w:val="2BA81833"/>
    <w:rsid w:val="2BAC3F70"/>
    <w:rsid w:val="2BB02AB9"/>
    <w:rsid w:val="2C56166B"/>
    <w:rsid w:val="2C772798"/>
    <w:rsid w:val="2CE33635"/>
    <w:rsid w:val="2D391980"/>
    <w:rsid w:val="2D7C6F9A"/>
    <w:rsid w:val="2ED263DE"/>
    <w:rsid w:val="2F312BD6"/>
    <w:rsid w:val="2F4F315F"/>
    <w:rsid w:val="2F5260FE"/>
    <w:rsid w:val="2F78760A"/>
    <w:rsid w:val="30780EC9"/>
    <w:rsid w:val="309A0801"/>
    <w:rsid w:val="31651329"/>
    <w:rsid w:val="31C46552"/>
    <w:rsid w:val="31EC7268"/>
    <w:rsid w:val="32691E0F"/>
    <w:rsid w:val="33722AF4"/>
    <w:rsid w:val="339F6CDD"/>
    <w:rsid w:val="344952F9"/>
    <w:rsid w:val="34962644"/>
    <w:rsid w:val="34DB19B0"/>
    <w:rsid w:val="34F20284"/>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DF42B5"/>
    <w:rsid w:val="3CEA3E5A"/>
    <w:rsid w:val="3CFD6A0C"/>
    <w:rsid w:val="3DDA1E4D"/>
    <w:rsid w:val="400943B7"/>
    <w:rsid w:val="40143523"/>
    <w:rsid w:val="406B2735"/>
    <w:rsid w:val="4171469C"/>
    <w:rsid w:val="41857EAB"/>
    <w:rsid w:val="42C454C8"/>
    <w:rsid w:val="42EC4BA0"/>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7C24104"/>
    <w:rsid w:val="484652C3"/>
    <w:rsid w:val="489E735B"/>
    <w:rsid w:val="48EF215B"/>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96B72CE"/>
    <w:rsid w:val="59B3494A"/>
    <w:rsid w:val="59EB1B1F"/>
    <w:rsid w:val="59EC6E24"/>
    <w:rsid w:val="5A0B2520"/>
    <w:rsid w:val="5A186813"/>
    <w:rsid w:val="5A3B2376"/>
    <w:rsid w:val="5A40591F"/>
    <w:rsid w:val="5A6F0692"/>
    <w:rsid w:val="5ABF2E42"/>
    <w:rsid w:val="5B586398"/>
    <w:rsid w:val="5B5E26D5"/>
    <w:rsid w:val="5B916903"/>
    <w:rsid w:val="5BEF472E"/>
    <w:rsid w:val="5C932202"/>
    <w:rsid w:val="5CC87E6F"/>
    <w:rsid w:val="5CD918EA"/>
    <w:rsid w:val="5D247D3D"/>
    <w:rsid w:val="5DAE1AC9"/>
    <w:rsid w:val="5E153AF5"/>
    <w:rsid w:val="5F0E1E7F"/>
    <w:rsid w:val="5F112305"/>
    <w:rsid w:val="5F2767B3"/>
    <w:rsid w:val="5FE31F70"/>
    <w:rsid w:val="60045498"/>
    <w:rsid w:val="614C1844"/>
    <w:rsid w:val="617A6C2D"/>
    <w:rsid w:val="61855523"/>
    <w:rsid w:val="618968F0"/>
    <w:rsid w:val="619E6355"/>
    <w:rsid w:val="61BD64DA"/>
    <w:rsid w:val="6215384D"/>
    <w:rsid w:val="627460EE"/>
    <w:rsid w:val="62AC06BC"/>
    <w:rsid w:val="633B4987"/>
    <w:rsid w:val="63525D55"/>
    <w:rsid w:val="63F321C7"/>
    <w:rsid w:val="64BD699D"/>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D23ACD"/>
    <w:rsid w:val="6AE706B2"/>
    <w:rsid w:val="6B103823"/>
    <w:rsid w:val="6B315A81"/>
    <w:rsid w:val="6B4E7636"/>
    <w:rsid w:val="6C3F4637"/>
    <w:rsid w:val="6C9D07C7"/>
    <w:rsid w:val="6CB426A8"/>
    <w:rsid w:val="6D3835CD"/>
    <w:rsid w:val="6D9B59D3"/>
    <w:rsid w:val="6DDF18A8"/>
    <w:rsid w:val="6E7742D5"/>
    <w:rsid w:val="6E947A29"/>
    <w:rsid w:val="6EFB1E55"/>
    <w:rsid w:val="701E0D35"/>
    <w:rsid w:val="708C2BAE"/>
    <w:rsid w:val="717A54B6"/>
    <w:rsid w:val="71E47115"/>
    <w:rsid w:val="72124418"/>
    <w:rsid w:val="72BF52A3"/>
    <w:rsid w:val="73520170"/>
    <w:rsid w:val="73B32D5B"/>
    <w:rsid w:val="74906E74"/>
    <w:rsid w:val="74D2633E"/>
    <w:rsid w:val="75061B64"/>
    <w:rsid w:val="75127B2A"/>
    <w:rsid w:val="756B70AB"/>
    <w:rsid w:val="762D45E7"/>
    <w:rsid w:val="76432C97"/>
    <w:rsid w:val="76472E5B"/>
    <w:rsid w:val="76622032"/>
    <w:rsid w:val="76C41DF7"/>
    <w:rsid w:val="76DA2B8D"/>
    <w:rsid w:val="773F1B2E"/>
    <w:rsid w:val="776141C0"/>
    <w:rsid w:val="77E71EE7"/>
    <w:rsid w:val="78403651"/>
    <w:rsid w:val="784051C1"/>
    <w:rsid w:val="789E16E5"/>
    <w:rsid w:val="78DB40C6"/>
    <w:rsid w:val="7954401D"/>
    <w:rsid w:val="79547EF1"/>
    <w:rsid w:val="79A24C96"/>
    <w:rsid w:val="7AC02D1F"/>
    <w:rsid w:val="7AE80A7B"/>
    <w:rsid w:val="7AE861A8"/>
    <w:rsid w:val="7B452E9A"/>
    <w:rsid w:val="7B5C7060"/>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EB52BD6"/>
    <w:rsid w:val="7F346A7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oleObject" Target="embeddings/oleObject1.bin"/>
  <Relationship Id="rId11" Type="http://schemas.openxmlformats.org/officeDocument/2006/relationships/image" Target="media/image1.emf"/>
  <Relationship Id="rId12" Type="http://schemas.openxmlformats.org/officeDocument/2006/relationships/oleObject" Target="embeddings/oleObject2.bin"/>
  <Relationship Id="rId13" Type="http://schemas.openxmlformats.org/officeDocument/2006/relationships/image" Target="media/image2.emf"/>
  <Relationship Id="rId14" Type="http://schemas.openxmlformats.org/officeDocument/2006/relationships/oleObject" Target="embeddings/oleObject3.bin"/>
  <Relationship Id="rId15" Type="http://schemas.openxmlformats.org/officeDocument/2006/relationships/image" Target="media/image3.emf"/>
  <Relationship Id="rId16" Type="http://schemas.openxmlformats.org/officeDocument/2006/relationships/oleObject" Target="embeddings/oleObject4.bin"/>
  <Relationship Id="rId17" Type="http://schemas.openxmlformats.org/officeDocument/2006/relationships/image" Target="media/image4.emf"/>
  <Relationship Id="rId18" Type="http://schemas.openxmlformats.org/officeDocument/2006/relationships/oleObject" Target="embeddings/oleObject5.bin"/>
  <Relationship Id="rId19" Type="http://schemas.openxmlformats.org/officeDocument/2006/relationships/image" Target="media/image5.emf"/>
  <Relationship Id="rId2" Type="http://schemas.openxmlformats.org/officeDocument/2006/relationships/settings" Target="settings.xml"/>
  <Relationship Id="rId20" Type="http://schemas.openxmlformats.org/officeDocument/2006/relationships/oleObject" Target="embeddings/oleObject6.bin"/>
  <Relationship Id="rId21" Type="http://schemas.openxmlformats.org/officeDocument/2006/relationships/image" Target="media/image6.emf"/>
  <Relationship Id="rId22" Type="http://schemas.openxmlformats.org/officeDocument/2006/relationships/oleObject" Target="embeddings/oleObject7.bin"/>
  <Relationship Id="rId23" Type="http://schemas.openxmlformats.org/officeDocument/2006/relationships/image" Target="media/image7.emf"/>
  <Relationship Id="rId24" Type="http://schemas.openxmlformats.org/officeDocument/2006/relationships/oleObject" Target="embeddings/oleObject8.bin"/>
  <Relationship Id="rId25" Type="http://schemas.openxmlformats.org/officeDocument/2006/relationships/image" Target="media/image8.emf"/>
  <Relationship Id="rId26" Type="http://schemas.openxmlformats.org/officeDocument/2006/relationships/oleObject" Target="embeddings/oleObject9.bin"/>
  <Relationship Id="rId27" Type="http://schemas.openxmlformats.org/officeDocument/2006/relationships/image" Target="media/image9.emf"/>
  <Relationship Id="rId28" Type="http://schemas.openxmlformats.org/officeDocument/2006/relationships/oleObject" Target="embeddings/oleObject10.bin"/>
  <Relationship Id="rId29" Type="http://schemas.openxmlformats.org/officeDocument/2006/relationships/image" Target="media/image10.emf"/>
  <Relationship Id="rId3" Type="http://schemas.openxmlformats.org/officeDocument/2006/relationships/header" Target="header1.xml"/>
  <Relationship Id="rId30" Type="http://schemas.openxmlformats.org/officeDocument/2006/relationships/customXml" Target="../customXml/item1.xml"/>
  <Relationship Id="rId31" Type="http://schemas.openxmlformats.org/officeDocument/2006/relationships/numbering" Target="numbering.xml"/>
  <Relationship Id="rId32" Type="http://schemas.openxmlformats.org/officeDocument/2006/relationships/fontTable" Target="fontTable.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xc</Company>
  <Pages>19</Pages>
  <Words>9460</Words>
  <Characters>10215</Characters>
  <Lines>145</Lines>
  <Paragraphs>54</Paragraphs>
  <ScaleCrop>false</ScaleCrop>
  <LinksUpToDate>false</LinksUpToDate>
  <CharactersWithSpaces>10242</CharactersWithSpaces>
  <Application>WPS Office_10.8.0.6253_F1E327BC-269C-435d-A152-05C5408002CA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User</lastModifiedBy>
  <dcterms:modified xsi:type="dcterms:W3CDTF">2025-03-10T05:48:55Z</dcterms:modified>
  <revision>16</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eyJoZGlkIjoiMDkyMzBhOWU1ZmQyNTE3YzlkZWViNjFmMzM0OWUyNGQifQ==</vt:lpwstr>
  </property>
</Properties>
</file>