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德清县政府投资项目预算审核中心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7"/>
          <w:color w:val="000000"/>
          <w:sz w:val="30"/>
          <w:szCs w:val="30"/>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r>
        <w:rPr>
          <w:rStyle w:val="7"/>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7"/>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二、</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德清县政府投资项目预算审核中心单位预算安排情况说明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（九）关于德清县政府投资项目预算审核中心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7"/>
          <w:rFonts w:ascii="黑体" w:hAnsi="Calibri" w:eastAsia="黑体"/>
          <w:b w:val="0"/>
          <w:color w:val="000000"/>
          <w:kern w:val="2"/>
          <w:sz w:val="32"/>
          <w:szCs w:val="32"/>
        </w:rPr>
      </w:pPr>
      <w:r>
        <w:rPr>
          <w:rStyle w:val="7"/>
          <w:rFonts w:hint="eastAsia" w:ascii="黑体" w:hAnsi="Calibri" w:eastAsia="黑体"/>
          <w:b w:val="0"/>
          <w:color w:val="000000"/>
          <w:kern w:val="2"/>
          <w:sz w:val="32"/>
          <w:szCs w:val="32"/>
        </w:rPr>
        <w:t>三、名词解释</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四、</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德清县政府投资项目预算审核中心单位预算表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7"/>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tabs>
          <w:tab w:val="left" w:pos="2608"/>
        </w:tabs>
        <w:rPr>
          <w:rStyle w:val="7"/>
          <w:rFonts w:hint="default" w:ascii="黑体" w:eastAsia="黑体"/>
          <w:b w:val="0"/>
          <w:sz w:val="32"/>
          <w:szCs w:val="32"/>
        </w:rPr>
      </w:pPr>
      <w:r>
        <w:rPr>
          <w:rStyle w:val="7"/>
          <w:rFonts w:ascii="黑体" w:eastAsia="黑体"/>
          <w:b w:val="0"/>
          <w:sz w:val="32"/>
          <w:szCs w:val="32"/>
        </w:rPr>
        <w:tab/>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Style w:val="7"/>
          <w:rFonts w:ascii="Times New Roman" w:hAnsi="Times New Roman" w:eastAsia="黑体"/>
          <w:b w:val="0"/>
          <w:color w:val="000000"/>
          <w:sz w:val="32"/>
          <w:szCs w:val="32"/>
        </w:rPr>
      </w:pPr>
      <w:r>
        <w:rPr>
          <w:rStyle w:val="7"/>
          <w:rFonts w:hint="eastAsia" w:ascii="Times New Roman" w:hAnsi="Times New Roman" w:eastAsia="黑体"/>
          <w:b w:val="0"/>
          <w:color w:val="000000"/>
          <w:sz w:val="32"/>
          <w:szCs w:val="32"/>
        </w:rPr>
        <w:t>一、单位概况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（一）主要职能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rPr>
        <w:t>1、承担县级政府投资项目支出预算审核工作，对政府投资项目支出预算提出审核意见，对项目支出预算执行情况进行追踪问效。</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rPr>
        <w:t>2、承担</w:t>
      </w:r>
      <w:r>
        <w:rPr>
          <w:rFonts w:ascii="Times New Roman" w:hAnsi="Times New Roman" w:eastAsia="仿宋_GB2312"/>
          <w:bCs/>
          <w:sz w:val="32"/>
          <w:szCs w:val="32"/>
        </w:rPr>
        <w:t>县级政府投资项目投资（概算）审核，协助开展县级政府投资项目预算执行的监督。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Cs/>
          <w:sz w:val="32"/>
          <w:szCs w:val="32"/>
        </w:rPr>
      </w:pPr>
      <w:r>
        <w:rPr>
          <w:rFonts w:ascii="Times New Roman" w:hAnsi="Times New Roman" w:eastAsia="仿宋_GB2312"/>
          <w:bCs/>
          <w:sz w:val="32"/>
          <w:szCs w:val="32"/>
        </w:rPr>
        <w:t>3、承担县级政府投资项目施工图预算（招标控制价）的审核工作。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Cs/>
          <w:sz w:val="32"/>
          <w:szCs w:val="32"/>
        </w:rPr>
      </w:pPr>
      <w:r>
        <w:rPr>
          <w:rFonts w:ascii="Times New Roman" w:hAnsi="Times New Roman" w:eastAsia="仿宋_GB2312"/>
          <w:bCs/>
          <w:sz w:val="32"/>
          <w:szCs w:val="32"/>
        </w:rPr>
        <w:t>4、承担政府投资项目期中评审相关工作。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Cs/>
          <w:sz w:val="32"/>
          <w:szCs w:val="32"/>
        </w:rPr>
      </w:pPr>
      <w:r>
        <w:rPr>
          <w:rFonts w:ascii="Times New Roman" w:hAnsi="Times New Roman" w:eastAsia="仿宋_GB2312"/>
          <w:bCs/>
          <w:sz w:val="32"/>
          <w:szCs w:val="32"/>
        </w:rPr>
        <w:t>5、承担政府投资项目预算委托评审的组织协调工作。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仿宋_GB2312"/>
          <w:bCs/>
          <w:sz w:val="32"/>
          <w:szCs w:val="32"/>
        </w:rPr>
      </w:pPr>
      <w:r>
        <w:rPr>
          <w:rFonts w:ascii="Times New Roman" w:hAnsi="Times New Roman" w:eastAsia="仿宋_GB2312"/>
          <w:bCs/>
          <w:sz w:val="32"/>
          <w:szCs w:val="32"/>
        </w:rPr>
        <w:t>6、完成上级交办的其他任务。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（二）单位机构设置情况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rPr>
        <w:t>从预算单位构成看，德清县政府投资项目预算审核中心预算包括：本单位预算。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楷体_GB2312" w:cs="楷体_GB2312"/>
          <w:color w:val="000000"/>
          <w:sz w:val="32"/>
          <w:szCs w:val="32"/>
        </w:rPr>
      </w:pPr>
      <w:r>
        <w:rPr>
          <w:rStyle w:val="7"/>
          <w:rFonts w:hint="eastAsia" w:ascii="Times New Roman" w:hAnsi="Times New Roman" w:eastAsia="黑体"/>
          <w:b w:val="0"/>
          <w:color w:val="000000"/>
          <w:sz w:val="32"/>
          <w:szCs w:val="32"/>
        </w:rPr>
        <w:t>二、</w:t>
      </w:r>
      <w:r>
        <w:rPr>
          <w:rStyle w:val="7"/>
          <w:rFonts w:hint="eastAsia" w:ascii="Times New Roman" w:hAnsi="Times New Roman" w:eastAsia="黑体"/>
          <w:b w:val="0"/>
          <w:color w:val="000000"/>
          <w:sz w:val="32"/>
          <w:szCs w:val="32"/>
          <w:lang w:eastAsia="zh-CN"/>
        </w:rPr>
        <w:t>2025年</w:t>
      </w:r>
      <w:r>
        <w:rPr>
          <w:rStyle w:val="7"/>
          <w:rFonts w:hint="eastAsia" w:ascii="Times New Roman" w:hAnsi="Times New Roman" w:eastAsia="黑体"/>
          <w:b w:val="0"/>
          <w:color w:val="000000"/>
          <w:sz w:val="32"/>
          <w:szCs w:val="32"/>
        </w:rPr>
        <w:t>德清县政府投资项目预算审核中心单位预算安排情况说明</w:t>
      </w:r>
      <w:r>
        <w:rPr>
          <w:rFonts w:hint="eastAsia" w:ascii="Times New Roman" w:hAnsi="Times New Roman"/>
          <w:color w:val="000000"/>
          <w:sz w:val="32"/>
          <w:szCs w:val="32"/>
        </w:rPr>
        <w:br w:type="textWrapping"/>
      </w:r>
      <w:r>
        <w:rPr>
          <w:rFonts w:hint="eastAsia" w:ascii="Times New Roman" w:hAnsi="Times New Roman" w:eastAsia="仿宋_GB2312"/>
          <w:b/>
          <w:bCs/>
          <w:color w:val="000000"/>
          <w:sz w:val="32"/>
          <w:szCs w:val="32"/>
        </w:rPr>
        <w:t>　　</w:t>
      </w:r>
      <w:r>
        <w:rPr>
          <w:rFonts w:hint="eastAsia" w:ascii="Times New Roman" w:hAnsi="Times New Roman" w:eastAsia="楷体_GB2312" w:cs="楷体_GB2312"/>
          <w:color w:val="000000"/>
          <w:sz w:val="32"/>
          <w:szCs w:val="32"/>
        </w:rPr>
        <w:t>（一）关于德清县政府投资项目预算审核中心</w:t>
      </w:r>
      <w:r>
        <w:rPr>
          <w:rStyle w:val="7"/>
          <w:rFonts w:hint="eastAsia" w:ascii="Times New Roman" w:hAnsi="Times New Roman" w:eastAsia="楷体_GB2312" w:cs="楷体_GB2312"/>
          <w:b w:val="0"/>
          <w:bCs w:val="0"/>
          <w:color w:val="000000"/>
          <w:sz w:val="32"/>
          <w:szCs w:val="32"/>
          <w:lang w:eastAsia="zh-CN"/>
        </w:rPr>
        <w:t>2025年</w:t>
      </w:r>
      <w:r>
        <w:rPr>
          <w:rStyle w:val="7"/>
          <w:rFonts w:hint="eastAsia" w:ascii="Times New Roman" w:hAnsi="Times New Roman" w:eastAsia="楷体_GB2312" w:cs="楷体_GB2312"/>
          <w:b w:val="0"/>
          <w:bCs w:val="0"/>
          <w:color w:val="000000"/>
          <w:sz w:val="32"/>
          <w:szCs w:val="32"/>
        </w:rPr>
        <w:t>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楷体_GB2312" w:cs="楷体_GB2312"/>
          <w:b/>
          <w:color w:val="000000"/>
          <w:sz w:val="32"/>
          <w:szCs w:val="32"/>
        </w:rPr>
      </w:pPr>
      <w:r>
        <w:rPr>
          <w:rFonts w:hint="eastAsia" w:ascii="Times New Roman" w:hAnsi="Times New Roman" w:eastAsia="仿宋_GB2312"/>
          <w:bCs/>
          <w:color w:val="000000"/>
          <w:sz w:val="32"/>
          <w:szCs w:val="32"/>
        </w:rPr>
        <w:t xml:space="preserve">    按照</w:t>
      </w:r>
      <w:r>
        <w:rPr>
          <w:rFonts w:hint="eastAsia" w:ascii="Times New Roman" w:hAnsi="Times New Roman" w:eastAsia="仿宋_GB2312"/>
          <w:bCs/>
          <w:sz w:val="32"/>
          <w:szCs w:val="32"/>
        </w:rPr>
        <w:t>综合预算的原则，德清县政府投资项目预算审核中心</w:t>
      </w:r>
      <w:r>
        <w:rPr>
          <w:rFonts w:hint="eastAsia" w:ascii="Times New Roman" w:hAnsi="Times New Roman" w:eastAsia="仿宋_GB2312"/>
          <w:color w:val="000000"/>
          <w:sz w:val="32"/>
          <w:szCs w:val="32"/>
        </w:rPr>
        <w:t>所有收入和支出均纳入部门预算管理。收入包括：一般公共预算拨款收入；支出包括：一般公共服务支出、社会保障和就业支出、卫生健康支出。德清县政府投资项目预算审核中心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收支总预算433.24万元。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（二）关于德清县政府投资项目预算审核中心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收入预算情况说明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德清县政府投资项目预算审核中心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收入预算433.24万元，比上年执行数减少</w:t>
      </w:r>
      <w:r>
        <w:rPr>
          <w:rFonts w:hint="eastAsia" w:ascii="Times New Roman" w:hAnsi="Times New Roman" w:eastAsia="仿宋_GB2312" w:cs="仿宋_GB2312"/>
          <w:color w:val="000000"/>
          <w:sz w:val="32"/>
          <w:szCs w:val="32"/>
          <w:highlight w:val="none"/>
          <w:lang w:val="en-US" w:eastAsia="zh-CN"/>
        </w:rPr>
        <w:t>75.94</w:t>
      </w:r>
      <w:r>
        <w:rPr>
          <w:rFonts w:hint="eastAsia" w:ascii="Times New Roman" w:hAnsi="Times New Roman" w:eastAsia="仿宋_GB2312" w:cs="仿宋_GB2312"/>
          <w:color w:val="000000"/>
          <w:sz w:val="32"/>
          <w:szCs w:val="32"/>
          <w:highlight w:val="none"/>
        </w:rPr>
        <w:t>万元，下</w:t>
      </w:r>
      <w:r>
        <w:rPr>
          <w:rFonts w:hint="eastAsia" w:ascii="Times New Roman" w:hAnsi="Times New Roman" w:eastAsia="仿宋_GB2312" w:cs="仿宋_GB2312"/>
          <w:color w:val="000000"/>
          <w:sz w:val="32"/>
          <w:highlight w:val="none"/>
        </w:rPr>
        <w:t>降</w:t>
      </w:r>
      <w:r>
        <w:rPr>
          <w:rFonts w:hint="eastAsia" w:ascii="Times New Roman" w:hAnsi="Times New Roman" w:eastAsia="仿宋_GB2312" w:cs="仿宋_GB2312"/>
          <w:color w:val="000000"/>
          <w:sz w:val="32"/>
          <w:highlight w:val="none"/>
          <w:lang w:val="en-US" w:eastAsia="zh-CN"/>
        </w:rPr>
        <w:t>14.9</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eastAsia="zh-CN"/>
        </w:rPr>
        <w:t>按照过紧日子原则，节约开支</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其中：一般公共预算拨款收入</w:t>
      </w:r>
      <w:r>
        <w:rPr>
          <w:rFonts w:ascii="Times New Roman" w:hAnsi="Times New Roman" w:eastAsia="仿宋_GB2312"/>
          <w:color w:val="000000"/>
          <w:sz w:val="32"/>
          <w:szCs w:val="32"/>
          <w:highlight w:val="none"/>
        </w:rPr>
        <w:t>433.24</w:t>
      </w:r>
      <w:r>
        <w:rPr>
          <w:rFonts w:hint="eastAsia" w:ascii="Times New Roman" w:hAnsi="Times New Roman" w:eastAsia="仿宋_GB2312"/>
          <w:color w:val="000000"/>
          <w:sz w:val="32"/>
          <w:szCs w:val="32"/>
          <w:highlight w:val="none"/>
        </w:rPr>
        <w:t>万元（上年结转0.00万元），占100.0%。</w:t>
      </w:r>
      <w:r>
        <w:rPr>
          <w:rFonts w:hint="eastAsia" w:ascii="Times New Roman" w:hAnsi="Times New Roman" w:eastAsia="仿宋_GB2312"/>
          <w:color w:val="000000"/>
          <w:sz w:val="32"/>
          <w:szCs w:val="32"/>
          <w:highlight w:val="none"/>
        </w:rPr>
        <w:br w:type="textWrapping"/>
      </w:r>
      <w:r>
        <w:rPr>
          <w:rFonts w:hint="eastAsia" w:ascii="Times New Roman" w:hAnsi="Times New Roman" w:eastAsia="楷体_GB2312" w:cs="楷体_GB2312"/>
          <w:bCs/>
          <w:color w:val="000000"/>
          <w:sz w:val="32"/>
          <w:szCs w:val="32"/>
          <w:highlight w:val="none"/>
        </w:rPr>
        <w:t>　　（三）关于德清县政府投资项目预算审核中心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支出预算情况说明</w:t>
      </w:r>
      <w:r>
        <w:rPr>
          <w:rFonts w:hint="eastAsia" w:ascii="Times New Roman" w:hAnsi="Times New Roman" w:eastAsia="楷体_GB2312" w:cs="楷体_GB2312"/>
          <w:bCs/>
          <w:color w:val="000000"/>
          <w:sz w:val="32"/>
          <w:szCs w:val="32"/>
          <w:highlight w:val="none"/>
        </w:rPr>
        <w:br w:type="textWrapping"/>
      </w:r>
      <w:r>
        <w:rPr>
          <w:rFonts w:hint="eastAsia" w:ascii="Times New Roman" w:hAnsi="Times New Roman" w:eastAsia="仿宋_GB2312"/>
          <w:color w:val="000000"/>
          <w:sz w:val="32"/>
          <w:szCs w:val="32"/>
          <w:highlight w:val="none"/>
        </w:rPr>
        <w:t>　</w:t>
      </w:r>
      <w:r>
        <w:rPr>
          <w:rFonts w:hint="eastAsia" w:ascii="Times New Roman" w:hAnsi="Times New Roman" w:eastAsia="仿宋_GB2312" w:cs="仿宋_GB2312"/>
          <w:color w:val="000000"/>
          <w:sz w:val="32"/>
          <w:szCs w:val="32"/>
          <w:highlight w:val="none"/>
        </w:rPr>
        <w:t>　德清县政府投资项目预算审核中心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支出预算433.24万元，比上年执行数减少</w:t>
      </w:r>
      <w:r>
        <w:rPr>
          <w:rFonts w:hint="eastAsia" w:ascii="Times New Roman" w:hAnsi="Times New Roman" w:eastAsia="仿宋_GB2312" w:cs="仿宋_GB2312"/>
          <w:color w:val="000000"/>
          <w:sz w:val="32"/>
          <w:szCs w:val="32"/>
          <w:highlight w:val="none"/>
          <w:lang w:val="en-US" w:eastAsia="zh-CN"/>
        </w:rPr>
        <w:t>75.94</w:t>
      </w:r>
      <w:r>
        <w:rPr>
          <w:rFonts w:hint="eastAsia" w:ascii="Times New Roman" w:hAnsi="Times New Roman" w:eastAsia="仿宋_GB2312" w:cs="仿宋_GB2312"/>
          <w:color w:val="000000"/>
          <w:sz w:val="32"/>
          <w:szCs w:val="32"/>
          <w:highlight w:val="none"/>
        </w:rPr>
        <w:t>万元，下</w:t>
      </w:r>
      <w:r>
        <w:rPr>
          <w:rFonts w:hint="eastAsia" w:ascii="Times New Roman" w:hAnsi="Times New Roman" w:eastAsia="仿宋_GB2312" w:cs="仿宋_GB2312"/>
          <w:color w:val="000000"/>
          <w:sz w:val="32"/>
          <w:highlight w:val="none"/>
        </w:rPr>
        <w:t>降</w:t>
      </w:r>
      <w:r>
        <w:rPr>
          <w:rFonts w:hint="eastAsia" w:ascii="Times New Roman" w:hAnsi="Times New Roman" w:eastAsia="仿宋_GB2312" w:cs="仿宋_GB2312"/>
          <w:color w:val="000000"/>
          <w:sz w:val="32"/>
          <w:highlight w:val="none"/>
          <w:lang w:val="en-US" w:eastAsia="zh-CN"/>
        </w:rPr>
        <w:t>14.9</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eastAsia="zh-CN"/>
        </w:rPr>
        <w:t>按照过紧日子原则，节约开支</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3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1.按支出功能分类，包括一般公共服务支出396.97万元、社会保障和就业支出21.84万元、卫生健康支出14.42万元。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2.按支出用途分类，包括人员支出230.86万元，占53.3%；日常公用支出2.38万元，占0.5%；项目支出200.00万元，占46.2%。</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年终结转结余0.00万元。</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（四）关于德清县政府投资项目预算审核中心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财政拨款收支预算情况的总体说明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德清县政府投资项目预算审核中心</w:t>
      </w:r>
      <w:r>
        <w:rPr>
          <w:rFonts w:hint="eastAsia" w:ascii="Times New Roman" w:hAnsi="Times New Roman" w:eastAsia="仿宋_GB2312"/>
          <w:color w:val="000000"/>
          <w:sz w:val="32"/>
          <w:szCs w:val="32"/>
          <w:highlight w:val="none"/>
          <w:lang w:eastAsia="zh-CN"/>
        </w:rPr>
        <w:t>2025年</w:t>
      </w:r>
      <w:r>
        <w:rPr>
          <w:rFonts w:hint="eastAsia" w:ascii="Times New Roman" w:hAnsi="Times New Roman" w:eastAsia="仿宋_GB2312"/>
          <w:color w:val="000000"/>
          <w:sz w:val="32"/>
          <w:szCs w:val="32"/>
          <w:highlight w:val="none"/>
        </w:rPr>
        <w:t>财政拨款收支总预算433.24万元。收入包括：一般公共预算433.24万元；支出包括：一般公共服务支出396.97万元、社会保障和就业支出21.84万元、卫生健康支出14.42万元。</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关于德清县政府投资项目预算审核中心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一般公共预算拨款情况说明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highlight w:val="none"/>
        </w:rPr>
      </w:pPr>
      <w:r>
        <w:rPr>
          <w:rFonts w:hint="eastAsia" w:ascii="Times New Roman" w:hAnsi="Times New Roman" w:eastAsia="仿宋_GB2312" w:cs="仿宋_GB2312"/>
          <w:b/>
          <w:color w:val="000000"/>
          <w:sz w:val="32"/>
          <w:szCs w:val="32"/>
          <w:highlight w:val="none"/>
        </w:rPr>
        <w:t>1.一般公共预算拨款规模变化情况。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德清县政府投资项目预算审核中心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一般公共预算拨款</w:t>
      </w:r>
      <w:r>
        <w:rPr>
          <w:rFonts w:hint="eastAsia" w:ascii="Times New Roman" w:hAnsi="Times New Roman" w:eastAsia="仿宋_GB2312" w:cs="仿宋_GB2312"/>
          <w:bCs/>
          <w:color w:val="000000"/>
          <w:sz w:val="32"/>
          <w:szCs w:val="32"/>
          <w:highlight w:val="none"/>
        </w:rPr>
        <w:t>433.24</w:t>
      </w:r>
      <w:r>
        <w:rPr>
          <w:rFonts w:hint="eastAsia" w:ascii="Times New Roman" w:hAnsi="Times New Roman" w:eastAsia="仿宋_GB2312" w:cs="仿宋_GB2312"/>
          <w:color w:val="000000"/>
          <w:sz w:val="32"/>
          <w:szCs w:val="32"/>
          <w:highlight w:val="none"/>
        </w:rPr>
        <w:t>万元，比上年执行数减少</w:t>
      </w:r>
      <w:r>
        <w:rPr>
          <w:rFonts w:hint="eastAsia" w:ascii="Times New Roman" w:hAnsi="Times New Roman" w:eastAsia="仿宋_GB2312" w:cs="仿宋_GB2312"/>
          <w:color w:val="000000"/>
          <w:sz w:val="32"/>
          <w:szCs w:val="32"/>
          <w:highlight w:val="none"/>
          <w:lang w:val="en-US" w:eastAsia="zh-CN"/>
        </w:rPr>
        <w:t>75.94</w:t>
      </w:r>
      <w:r>
        <w:rPr>
          <w:rFonts w:hint="eastAsia" w:ascii="Times New Roman" w:hAnsi="Times New Roman" w:eastAsia="仿宋_GB2312" w:cs="仿宋_GB2312"/>
          <w:color w:val="000000"/>
          <w:sz w:val="32"/>
          <w:szCs w:val="32"/>
          <w:highlight w:val="none"/>
        </w:rPr>
        <w:t>万元，下</w:t>
      </w:r>
      <w:r>
        <w:rPr>
          <w:rFonts w:hint="eastAsia" w:ascii="Times New Roman" w:hAnsi="Times New Roman" w:eastAsia="仿宋_GB2312" w:cs="仿宋_GB2312"/>
          <w:color w:val="000000"/>
          <w:sz w:val="32"/>
          <w:highlight w:val="none"/>
        </w:rPr>
        <w:t>降</w:t>
      </w:r>
      <w:r>
        <w:rPr>
          <w:rFonts w:hint="eastAsia" w:ascii="Times New Roman" w:hAnsi="Times New Roman" w:eastAsia="仿宋_GB2312" w:cs="仿宋_GB2312"/>
          <w:color w:val="000000"/>
          <w:sz w:val="32"/>
          <w:highlight w:val="none"/>
          <w:lang w:val="en-US" w:eastAsia="zh-CN"/>
        </w:rPr>
        <w:t>14.9</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eastAsia="zh-CN"/>
        </w:rPr>
        <w:t>按照过紧日子原则，节约开支</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2.一般公共预算拨款结构情况。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一般公共服务支出396.97万元，占91.6%；社会保障和就业支出21.84万元，占5.0%；卫生健康支出14.42万元，占3.3%。</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3.一般公共预算拨款具体使用情况。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（1）一般公共服务（类）财政事务（款）</w:t>
      </w:r>
      <w:r>
        <w:rPr>
          <w:rFonts w:hint="eastAsia" w:ascii="Times New Roman" w:hAnsi="Times New Roman" w:eastAsia="仿宋_GB2312"/>
          <w:color w:val="000000"/>
          <w:sz w:val="32"/>
          <w:szCs w:val="32"/>
          <w:highlight w:val="none"/>
          <w:lang w:eastAsia="zh-CN"/>
        </w:rPr>
        <w:t>其他财政事务支出</w:t>
      </w:r>
      <w:r>
        <w:rPr>
          <w:rFonts w:hint="eastAsia" w:ascii="Times New Roman" w:hAnsi="Times New Roman" w:eastAsia="仿宋_GB2312"/>
          <w:color w:val="000000"/>
          <w:sz w:val="32"/>
          <w:szCs w:val="32"/>
          <w:highlight w:val="none"/>
        </w:rPr>
        <w:t>（项）</w:t>
      </w:r>
      <w:r>
        <w:rPr>
          <w:rFonts w:hint="eastAsia" w:ascii="Times New Roman" w:hAnsi="Times New Roman" w:eastAsia="仿宋_GB2312"/>
          <w:color w:val="000000"/>
          <w:sz w:val="32"/>
          <w:szCs w:val="32"/>
          <w:highlight w:val="none"/>
          <w:lang w:val="en-US" w:eastAsia="zh-CN"/>
        </w:rPr>
        <w:t>200</w:t>
      </w:r>
      <w:r>
        <w:rPr>
          <w:rFonts w:hint="eastAsia" w:ascii="Times New Roman" w:hAnsi="Times New Roman" w:eastAsia="仿宋_GB2312"/>
          <w:color w:val="000000"/>
          <w:sz w:val="32"/>
          <w:szCs w:val="32"/>
          <w:highlight w:val="none"/>
        </w:rPr>
        <w:t>.00万元，反映</w:t>
      </w:r>
      <w:r>
        <w:rPr>
          <w:rFonts w:hint="eastAsia" w:ascii="Times New Roman" w:hAnsi="Times New Roman" w:eastAsia="仿宋_GB2312"/>
          <w:color w:val="000000"/>
          <w:sz w:val="32"/>
          <w:szCs w:val="32"/>
          <w:highlight w:val="none"/>
          <w:lang w:eastAsia="zh-CN"/>
        </w:rPr>
        <w:t>其他财政事务方面的支出</w:t>
      </w:r>
      <w:r>
        <w:rPr>
          <w:rFonts w:hint="eastAsia" w:ascii="Times New Roman" w:hAnsi="Times New Roman"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（2）一般公共服务（类）财政事务（款）事业运行（项）</w:t>
      </w:r>
      <w:r>
        <w:rPr>
          <w:rFonts w:hint="eastAsia" w:ascii="Times New Roman" w:hAnsi="Times New Roman" w:eastAsia="仿宋_GB2312"/>
          <w:color w:val="000000"/>
          <w:sz w:val="32"/>
          <w:szCs w:val="32"/>
          <w:highlight w:val="none"/>
          <w:lang w:val="en-US" w:eastAsia="zh-CN"/>
        </w:rPr>
        <w:t>196.97</w:t>
      </w:r>
      <w:r>
        <w:rPr>
          <w:rFonts w:hint="eastAsia" w:ascii="Times New Roman" w:hAnsi="Times New Roman" w:eastAsia="仿宋_GB2312"/>
          <w:color w:val="000000"/>
          <w:sz w:val="32"/>
          <w:szCs w:val="32"/>
          <w:highlight w:val="none"/>
        </w:rPr>
        <w:t>万元，反映事业单位的基本支出。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highlight w:val="none"/>
        </w:rPr>
      </w:pPr>
      <w:r>
        <w:rPr>
          <w:rFonts w:hint="eastAsia" w:ascii="Times New Roman" w:hAnsi="Times New Roman" w:eastAsia="仿宋_GB2312"/>
          <w:color w:val="000000"/>
          <w:sz w:val="32"/>
          <w:szCs w:val="32"/>
          <w:highlight w:val="none"/>
        </w:rPr>
        <w:t>（3）社会保障和就业支出(类)行政事业单位养老支出(款)事业单位离退休(项)</w:t>
      </w:r>
      <w:r>
        <w:rPr>
          <w:rFonts w:hint="eastAsia" w:ascii="Times New Roman" w:hAnsi="Times New Roman" w:eastAsia="仿宋_GB2312"/>
          <w:color w:val="000000"/>
          <w:sz w:val="32"/>
          <w:szCs w:val="32"/>
          <w:highlight w:val="none"/>
          <w:lang w:val="en-US" w:eastAsia="zh-CN"/>
        </w:rPr>
        <w:t>4.41</w:t>
      </w:r>
      <w:r>
        <w:rPr>
          <w:rFonts w:hint="eastAsia" w:ascii="Times New Roman" w:hAnsi="Times New Roman" w:eastAsia="仿宋_GB2312"/>
          <w:color w:val="000000"/>
          <w:sz w:val="32"/>
          <w:szCs w:val="32"/>
          <w:highlight w:val="none"/>
        </w:rPr>
        <w:t>万元，反映事业单位开支的离退休经费。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（4）社会保障和就业支出(类)行政事业单位养老支出(款)机关事业单位基本养老保险缴费支出(项)</w:t>
      </w:r>
      <w:r>
        <w:rPr>
          <w:rFonts w:hint="eastAsia" w:ascii="Times New Roman" w:hAnsi="Times New Roman" w:eastAsia="仿宋_GB2312"/>
          <w:color w:val="000000"/>
          <w:sz w:val="32"/>
          <w:szCs w:val="32"/>
          <w:highlight w:val="none"/>
          <w:lang w:val="en-US" w:eastAsia="zh-CN"/>
        </w:rPr>
        <w:t>11.62</w:t>
      </w:r>
      <w:r>
        <w:rPr>
          <w:rFonts w:hint="eastAsia" w:ascii="Times New Roman" w:hAnsi="Times New Roman" w:eastAsia="仿宋_GB2312"/>
          <w:color w:val="000000"/>
          <w:sz w:val="32"/>
          <w:szCs w:val="32"/>
          <w:highlight w:val="none"/>
        </w:rPr>
        <w:t>万元，反映机关事业单位实施养老保险制度由单位缴纳的基本养老保险费支出。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（5）社会保障和就业支出(类)行政事业单位养老支出(款)机关事业单位职业年金缴费支出(项)</w:t>
      </w:r>
      <w:r>
        <w:rPr>
          <w:rFonts w:hint="eastAsia" w:ascii="Times New Roman" w:hAnsi="Times New Roman" w:eastAsia="仿宋_GB2312"/>
          <w:color w:val="000000"/>
          <w:sz w:val="32"/>
          <w:szCs w:val="32"/>
          <w:highlight w:val="none"/>
          <w:lang w:val="en-US" w:eastAsia="zh-CN"/>
        </w:rPr>
        <w:t>5.81</w:t>
      </w:r>
      <w:r>
        <w:rPr>
          <w:rFonts w:hint="eastAsia" w:ascii="Times New Roman" w:hAnsi="Times New Roman" w:eastAsia="仿宋_GB2312"/>
          <w:color w:val="000000"/>
          <w:sz w:val="32"/>
          <w:szCs w:val="32"/>
          <w:highlight w:val="none"/>
        </w:rPr>
        <w:t>万元，反映机关事业单位实施养老保险制度由单位实际缴纳的职业年金支出</w:t>
      </w:r>
      <w:r>
        <w:rPr>
          <w:rFonts w:hint="eastAsia" w:ascii="Times New Roman" w:hAnsi="Times New Roman" w:eastAsia="仿宋_GB2312"/>
          <w:color w:val="000000"/>
          <w:sz w:val="32"/>
          <w:szCs w:val="32"/>
          <w:highlight w:val="none"/>
          <w:lang w:eastAsia="zh-CN"/>
        </w:rPr>
        <w:t>（含职业年金补助支出）</w:t>
      </w:r>
      <w:r>
        <w:rPr>
          <w:rFonts w:hint="eastAsia" w:ascii="Times New Roman" w:hAnsi="Times New Roman" w:eastAsia="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楷体_GB2312" w:cs="楷体_GB2312"/>
          <w:bCs/>
          <w:color w:val="000000"/>
          <w:sz w:val="32"/>
          <w:szCs w:val="32"/>
          <w:highlight w:val="none"/>
        </w:rPr>
      </w:pPr>
      <w:r>
        <w:rPr>
          <w:rFonts w:hint="eastAsia" w:ascii="Times New Roman" w:hAnsi="Times New Roman" w:eastAsia="仿宋_GB2312"/>
          <w:color w:val="000000"/>
          <w:sz w:val="32"/>
          <w:szCs w:val="32"/>
          <w:highlight w:val="none"/>
        </w:rPr>
        <w:t>（6）卫生健康支出(类) 行政事业单位医疗(款)事业单位医疗(项)</w:t>
      </w:r>
      <w:r>
        <w:rPr>
          <w:rFonts w:hint="eastAsia" w:ascii="Times New Roman" w:hAnsi="Times New Roman" w:eastAsia="仿宋_GB2312"/>
          <w:color w:val="000000"/>
          <w:sz w:val="32"/>
          <w:szCs w:val="32"/>
          <w:highlight w:val="none"/>
          <w:lang w:val="en-US" w:eastAsia="zh-CN"/>
        </w:rPr>
        <w:t>6.38</w:t>
      </w:r>
      <w:r>
        <w:rPr>
          <w:rFonts w:hint="eastAsia" w:ascii="Times New Roman" w:hAnsi="Times New Roman" w:eastAsia="仿宋_GB2312"/>
          <w:color w:val="000000"/>
          <w:sz w:val="32"/>
          <w:szCs w:val="32"/>
          <w:highlight w:val="none"/>
        </w:rPr>
        <w:t>万元，反映财政部门安排的事业单位基本医疗保险缴费经费，未参加医疗保险的事业单位的公费医疗经费，按国家规定享受离休人员待遇的医疗经费。</w:t>
      </w:r>
      <w:r>
        <w:rPr>
          <w:rFonts w:hint="eastAsia" w:ascii="Times New Roman" w:hAnsi="Times New Roman" w:eastAsia="楷体_GB2312" w:cs="楷体_GB2312"/>
          <w:bCs/>
          <w:color w:val="000000"/>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0"/>
        <w:jc w:val="both"/>
        <w:textAlignment w:val="auto"/>
        <w:rPr>
          <w:rFonts w:hint="eastAsia" w:ascii="Times New Roman" w:hAnsi="Times New Roman" w:eastAsia="楷体_GB2312" w:cs="楷体_GB2312"/>
          <w:bCs/>
          <w:color w:val="000000"/>
          <w:sz w:val="32"/>
          <w:szCs w:val="32"/>
          <w:highlight w:val="none"/>
        </w:rPr>
      </w:pP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7</w:t>
      </w:r>
      <w:r>
        <w:rPr>
          <w:rFonts w:hint="eastAsia" w:ascii="Times New Roman" w:hAnsi="Times New Roman" w:eastAsia="仿宋_GB2312"/>
          <w:color w:val="000000"/>
          <w:sz w:val="32"/>
          <w:szCs w:val="32"/>
          <w:highlight w:val="none"/>
        </w:rPr>
        <w:t>）卫生健康支出(类)</w:t>
      </w:r>
      <w:r>
        <w:rPr>
          <w:rFonts w:ascii="Times New Roman" w:hAnsi="Times New Roman" w:eastAsia="仿宋_GB2312"/>
          <w:color w:val="000000"/>
          <w:sz w:val="32"/>
          <w:szCs w:val="32"/>
          <w:highlight w:val="none"/>
        </w:rPr>
        <w:t xml:space="preserve"> </w:t>
      </w:r>
      <w:r>
        <w:rPr>
          <w:rFonts w:hint="eastAsia" w:ascii="Times New Roman" w:hAnsi="Times New Roman" w:eastAsia="仿宋_GB2312"/>
          <w:color w:val="000000"/>
          <w:sz w:val="32"/>
          <w:szCs w:val="32"/>
          <w:highlight w:val="none"/>
        </w:rPr>
        <w:t>行政事业单位医疗(款)公务员医疗补助(项)</w:t>
      </w:r>
      <w:r>
        <w:rPr>
          <w:rFonts w:hint="eastAsia" w:ascii="Times New Roman" w:hAnsi="Times New Roman" w:eastAsia="仿宋_GB2312"/>
          <w:color w:val="000000"/>
          <w:sz w:val="32"/>
          <w:szCs w:val="32"/>
          <w:highlight w:val="none"/>
          <w:lang w:val="en-US" w:eastAsia="zh-CN"/>
        </w:rPr>
        <w:t>8.04</w:t>
      </w:r>
      <w:r>
        <w:rPr>
          <w:rFonts w:hint="eastAsia" w:ascii="Times New Roman" w:hAnsi="Times New Roman" w:eastAsia="仿宋_GB2312"/>
          <w:color w:val="000000"/>
          <w:sz w:val="32"/>
          <w:szCs w:val="32"/>
          <w:highlight w:val="none"/>
        </w:rPr>
        <w:t>万元，反映财政部门安排的公务员医疗补助经费。</w:t>
      </w:r>
      <w:r>
        <w:rPr>
          <w:rFonts w:hint="eastAsia" w:ascii="Times New Roman" w:hAnsi="Times New Roman" w:eastAsia="楷体_GB2312" w:cs="楷体_GB2312"/>
          <w:bCs/>
          <w:color w:val="000000"/>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 xml:space="preserve">    （六）关于德清县政府投资项目预算审核中心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一般公共预算基本支出情况说明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德清县政府投资项目预算审核中心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一般公共预算基本支出233.24万元，其中：</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人员</w:t>
      </w:r>
      <w:r>
        <w:rPr>
          <w:rFonts w:hint="eastAsia" w:ascii="Times New Roman" w:hAnsi="Times New Roman" w:eastAsia="仿宋_GB2312"/>
          <w:color w:val="000000"/>
          <w:sz w:val="32"/>
          <w:szCs w:val="32"/>
          <w:lang w:val="en-US" w:eastAsia="zh-CN"/>
        </w:rPr>
        <w:t>支出</w:t>
      </w:r>
      <w:r>
        <w:rPr>
          <w:rFonts w:hint="eastAsia" w:ascii="Times New Roman" w:hAnsi="Times New Roman" w:eastAsia="仿宋_GB2312"/>
          <w:color w:val="000000"/>
          <w:sz w:val="32"/>
          <w:szCs w:val="32"/>
        </w:rPr>
        <w:t>230.86万元，主要包括：</w:t>
      </w:r>
      <w:r>
        <w:rPr>
          <w:rFonts w:hint="eastAsia" w:ascii="Times New Roman" w:hAnsi="Times New Roman" w:eastAsia="仿宋_GB2312"/>
          <w:color w:val="000000"/>
          <w:sz w:val="32"/>
          <w:szCs w:val="32"/>
          <w:highlight w:val="none"/>
        </w:rPr>
        <w:t>基本工资、</w:t>
      </w:r>
      <w:r>
        <w:rPr>
          <w:rFonts w:hint="eastAsia" w:ascii="Times New Roman" w:hAnsi="Times New Roman" w:eastAsia="仿宋_GB2312"/>
          <w:color w:val="000000"/>
          <w:sz w:val="32"/>
          <w:szCs w:val="32"/>
          <w:highlight w:val="none"/>
          <w:lang w:eastAsia="zh-CN"/>
        </w:rPr>
        <w:t>伙食补助费、</w:t>
      </w:r>
      <w:r>
        <w:rPr>
          <w:rFonts w:hint="eastAsia" w:ascii="Times New Roman" w:hAnsi="Times New Roman" w:eastAsia="仿宋_GB2312"/>
          <w:color w:val="000000"/>
          <w:sz w:val="32"/>
          <w:szCs w:val="32"/>
          <w:highlight w:val="none"/>
        </w:rPr>
        <w:t>奖金、绩效工资、机关事业单位基本养老保险缴费、职业年金缴费、职工基本医疗保险缴费、公务员医疗补助缴费、其他社会保障缴费、住房公积金、其他工资福利支出、退休费</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其他对个人和家庭的补助</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lang w:val="en-US" w:eastAsia="zh-CN"/>
        </w:rPr>
        <w:t>日常</w:t>
      </w:r>
      <w:r>
        <w:rPr>
          <w:rFonts w:hint="eastAsia" w:ascii="Times New Roman" w:hAnsi="Times New Roman" w:eastAsia="仿宋_GB2312"/>
          <w:color w:val="000000"/>
          <w:sz w:val="32"/>
          <w:szCs w:val="32"/>
        </w:rPr>
        <w:t>公用</w:t>
      </w:r>
      <w:r>
        <w:rPr>
          <w:rFonts w:hint="eastAsia" w:ascii="Times New Roman" w:hAnsi="Times New Roman" w:eastAsia="仿宋_GB2312"/>
          <w:color w:val="000000"/>
          <w:sz w:val="32"/>
          <w:szCs w:val="32"/>
          <w:lang w:val="en-US" w:eastAsia="zh-CN"/>
        </w:rPr>
        <w:t>支出</w:t>
      </w:r>
      <w:r>
        <w:rPr>
          <w:rFonts w:hint="eastAsia" w:ascii="Times New Roman" w:hAnsi="Times New Roman" w:eastAsia="仿宋_GB2312"/>
          <w:color w:val="000000"/>
          <w:sz w:val="32"/>
          <w:szCs w:val="32"/>
        </w:rPr>
        <w:t>2.38万元，主要包括：</w:t>
      </w:r>
      <w:r>
        <w:rPr>
          <w:rFonts w:hint="eastAsia" w:ascii="Times New Roman" w:hAnsi="Times New Roman" w:eastAsia="仿宋_GB2312"/>
          <w:color w:val="000000"/>
          <w:sz w:val="32"/>
          <w:szCs w:val="32"/>
          <w:highlight w:val="none"/>
        </w:rPr>
        <w:t>办公费、印刷费、邮电费、其他交通费用。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（七）关于德清县政府投资项目预算审核中心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政府性基金预算支出情况说明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德清县政府投资项目预算审核中心</w:t>
      </w:r>
      <w:r>
        <w:rPr>
          <w:rFonts w:hint="eastAsia" w:ascii="Times New Roman" w:hAnsi="Times New Roman" w:eastAsia="仿宋_GB2312" w:cs="仿宋_GB2312"/>
          <w:color w:val="000000"/>
          <w:sz w:val="32"/>
          <w:szCs w:val="32"/>
          <w:lang w:eastAsia="zh-CN"/>
        </w:rPr>
        <w:t>2025年</w:t>
      </w:r>
      <w:r>
        <w:rPr>
          <w:rFonts w:hint="eastAsia" w:ascii="Times New Roman" w:hAnsi="Times New Roman" w:eastAsia="仿宋_GB2312" w:cs="仿宋_GB2312"/>
          <w:color w:val="000000"/>
          <w:sz w:val="32"/>
          <w:szCs w:val="32"/>
        </w:rPr>
        <w:t>没有使用政府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rPr>
      </w:pPr>
      <w:r>
        <w:rPr>
          <w:rFonts w:hint="eastAsia" w:ascii="Times New Roman" w:hAnsi="Times New Roman" w:eastAsia="仿宋_GB2312" w:cs="仿宋_GB2312"/>
          <w:color w:val="000000"/>
          <w:sz w:val="32"/>
          <w:szCs w:val="32"/>
        </w:rPr>
        <w:t>性基金预算拨款安排的支出</w:t>
      </w:r>
      <w:r>
        <w:rPr>
          <w:rFonts w:hint="eastAsia" w:ascii="Times New Roman" w:hAnsi="Times New Roman" w:eastAsia="仿宋_GB2312"/>
          <w:color w:val="000000"/>
          <w:sz w:val="32"/>
          <w:szCs w:val="32"/>
        </w:rPr>
        <w:t>，与上年持平</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（八）关于</w:t>
      </w:r>
      <w:r>
        <w:rPr>
          <w:rFonts w:ascii="Times New Roman" w:hAnsi="Times New Roman" w:eastAsia="楷体_GB2312" w:cs="楷体_GB2312"/>
          <w:bCs/>
          <w:color w:val="000000"/>
          <w:sz w:val="32"/>
          <w:szCs w:val="32"/>
          <w:highlight w:val="none"/>
        </w:rPr>
        <w:t>德清县政府投资项目预算审核中心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国有资本经营预算支出情况说明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德清县政府投资项目预算审核中心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没有使用国有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b/>
          <w:sz w:val="20"/>
          <w:highlight w:val="none"/>
        </w:rPr>
      </w:pPr>
      <w:r>
        <w:rPr>
          <w:rFonts w:hint="eastAsia" w:ascii="Times New Roman" w:hAnsi="Times New Roman" w:eastAsia="仿宋_GB2312" w:cs="仿宋_GB2312"/>
          <w:color w:val="000000"/>
          <w:sz w:val="32"/>
          <w:szCs w:val="32"/>
          <w:highlight w:val="none"/>
        </w:rPr>
        <w:t>资本经营预算拨款安排的支出，与上年持平</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27" w:firstLineChars="196"/>
        <w:jc w:val="both"/>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（九）关于德清县政府投资项目预算审核中心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sz w:val="32"/>
          <w:szCs w:val="32"/>
          <w:highlight w:val="none"/>
        </w:rPr>
        <w:t>一般公共预算</w:t>
      </w:r>
      <w:r>
        <w:rPr>
          <w:rFonts w:hint="eastAsia" w:ascii="Times New Roman" w:hAnsi="Times New Roman" w:eastAsia="楷体_GB2312" w:cs="楷体_GB2312"/>
          <w:bCs/>
          <w:color w:val="000000"/>
          <w:sz w:val="32"/>
          <w:szCs w:val="32"/>
          <w:highlight w:val="none"/>
        </w:rPr>
        <w:t>“三公”经费预算情况说明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rPr>
      </w:pPr>
      <w:r>
        <w:rPr>
          <w:rFonts w:hint="eastAsia" w:ascii="Times New Roman" w:hAnsi="Times New Roman" w:eastAsia="仿宋_GB2312"/>
          <w:sz w:val="32"/>
          <w:highlight w:val="none"/>
        </w:rPr>
        <w:t>德清县政府投资项目预算审核中心</w:t>
      </w:r>
      <w:r>
        <w:rPr>
          <w:rFonts w:hint="eastAsia" w:ascii="Times New Roman" w:hAnsi="Times New Roman" w:eastAsia="仿宋_GB2312"/>
          <w:sz w:val="32"/>
          <w:highlight w:val="none"/>
          <w:lang w:eastAsia="zh-CN"/>
        </w:rPr>
        <w:t>2025年</w:t>
      </w:r>
      <w:r>
        <w:rPr>
          <w:rFonts w:hint="eastAsia" w:ascii="Times New Roman" w:hAnsi="Times New Roman" w:eastAsia="仿宋_GB2312"/>
          <w:sz w:val="32"/>
          <w:highlight w:val="none"/>
        </w:rPr>
        <w:t>“三公”经费预算数为0.00万元，</w:t>
      </w:r>
      <w:r>
        <w:rPr>
          <w:rFonts w:hint="eastAsia" w:ascii="Times New Roman" w:hAnsi="Times New Roman" w:eastAsia="仿宋_GB2312"/>
          <w:sz w:val="32"/>
          <w:highlight w:val="none"/>
          <w:shd w:val="clear" w:color="auto" w:fill="FFFFFF"/>
          <w:lang w:eastAsia="zh-CN"/>
        </w:rPr>
        <w:t>与上年预算数持平，</w:t>
      </w:r>
      <w:r>
        <w:rPr>
          <w:rFonts w:hint="eastAsia" w:ascii="Times New Roman" w:hAnsi="Times New Roman" w:eastAsia="仿宋_GB2312"/>
          <w:sz w:val="32"/>
        </w:rPr>
        <w:t>具体如下：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1.因公出国（境）费用：</w:t>
      </w:r>
      <w:r>
        <w:rPr>
          <w:rFonts w:hint="eastAsia" w:ascii="Times New Roman" w:hAnsi="Times New Roman" w:eastAsia="仿宋_GB2312" w:cs="仿宋_GB2312"/>
          <w:color w:val="auto"/>
          <w:sz w:val="32"/>
          <w:szCs w:val="32"/>
          <w:highlight w:val="none"/>
        </w:rPr>
        <w:t>根据因公出国计划和实际工作需要，</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安排因公出国（境）费用预算0.00万元，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olor w:val="auto"/>
          <w:sz w:val="32"/>
          <w:highlight w:val="none"/>
          <w:lang w:eastAsia="zh-CN"/>
        </w:rPr>
        <w:t>本单位</w:t>
      </w:r>
      <w:r>
        <w:rPr>
          <w:rFonts w:hint="eastAsia" w:ascii="Times New Roman" w:hAnsi="Times New Roman" w:eastAsia="仿宋_GB2312" w:cs="仿宋_GB2312"/>
          <w:color w:val="auto"/>
          <w:sz w:val="32"/>
          <w:szCs w:val="32"/>
          <w:highlight w:val="none"/>
        </w:rPr>
        <w:t>公务出国（境）的国际旅费、国外城市间交通费、住宿费、伙食费、培训费、公杂费等支出。主要原因是由相关部门从严审批控制，根据实际情况调整，年初未纳入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rPr>
        <w:t>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2.公务接待费：</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安排公务接待费预算0.00万元，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。主要用于接待</w:t>
      </w:r>
      <w:r>
        <w:rPr>
          <w:rFonts w:hint="eastAsia" w:ascii="Times New Roman" w:hAnsi="Times New Roman" w:eastAsia="仿宋_GB2312"/>
          <w:color w:val="auto"/>
          <w:sz w:val="32"/>
          <w:szCs w:val="32"/>
          <w:highlight w:val="none"/>
        </w:rPr>
        <w:t>上级及兄弟省(市、区)来德进行调研接待</w:t>
      </w:r>
      <w:r>
        <w:rPr>
          <w:rFonts w:hint="eastAsia" w:ascii="Times New Roman" w:hAnsi="Times New Roman" w:eastAsia="仿宋_GB2312" w:cs="仿宋_GB2312"/>
          <w:color w:val="auto"/>
          <w:sz w:val="32"/>
          <w:szCs w:val="32"/>
          <w:highlight w:val="none"/>
        </w:rPr>
        <w:t>等支出。主要原因是年初未纳入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rPr>
        <w:t>预算</w:t>
      </w:r>
      <w:r>
        <w:rPr>
          <w:rFonts w:hint="eastAsia" w:ascii="Times New Roman" w:hAnsi="Times New Roman" w:eastAsia="仿宋_GB2312" w:cs="仿宋_GB2312"/>
          <w:color w:val="auto"/>
          <w:sz w:val="32"/>
          <w:szCs w:val="32"/>
          <w:highlight w:val="none"/>
          <w:lang w:eastAsia="zh-CN"/>
        </w:rPr>
        <w:t>，统一由德清县财政局本级支出。</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b/>
          <w:bCs/>
          <w:sz w:val="32"/>
          <w:szCs w:val="32"/>
          <w:highlight w:val="none"/>
        </w:rPr>
      </w:pPr>
      <w:r>
        <w:rPr>
          <w:rFonts w:hint="eastAsia" w:ascii="Times New Roman" w:hAnsi="Times New Roman" w:eastAsia="仿宋_GB2312"/>
          <w:sz w:val="32"/>
          <w:szCs w:val="32"/>
        </w:rPr>
        <w:t>3.公务用车购置及运行维护费：</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年安排公务用车购置及运行维护费预算0.00万元，</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szCs w:val="32"/>
          <w:highlight w:val="none"/>
        </w:rPr>
        <w:t>。其中，公务用车购置支出0.00万元（含购置税等附加费用），主要用于经批准购置的</w:t>
      </w:r>
      <w:r>
        <w:rPr>
          <w:rFonts w:hint="eastAsia" w:ascii="Times New Roman" w:hAnsi="Times New Roman" w:eastAsia="仿宋_GB2312"/>
          <w:color w:val="000000"/>
          <w:sz w:val="32"/>
          <w:szCs w:val="32"/>
          <w:highlight w:val="none"/>
          <w:lang w:val="en-US" w:eastAsia="zh-CN"/>
        </w:rPr>
        <w:t>0</w:t>
      </w:r>
      <w:r>
        <w:rPr>
          <w:rFonts w:hint="eastAsia" w:ascii="Times New Roman" w:hAnsi="Times New Roman" w:eastAsia="仿宋_GB2312"/>
          <w:sz w:val="32"/>
          <w:szCs w:val="32"/>
          <w:highlight w:val="none"/>
        </w:rPr>
        <w:t>辆公务用车，</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2025年预算未安排公务用车购置经费</w:t>
      </w:r>
      <w:r>
        <w:rPr>
          <w:rFonts w:hint="eastAsia" w:ascii="Times New Roman" w:hAnsi="Times New Roman" w:eastAsia="仿宋_GB2312"/>
          <w:sz w:val="32"/>
          <w:szCs w:val="32"/>
          <w:highlight w:val="none"/>
        </w:rPr>
        <w:t>；公务用车运行维护费支出0.00万元，主要用于公务用车燃料费、维修费、过桥过路费、保险费、安全奖励费用等支出。</w:t>
      </w:r>
      <w:r>
        <w:rPr>
          <w:rFonts w:hint="eastAsia" w:ascii="Times New Roman" w:hAnsi="Times New Roman" w:eastAsia="仿宋_GB2312" w:cs="仿宋_GB2312"/>
          <w:sz w:val="32"/>
          <w:szCs w:val="32"/>
          <w:highlight w:val="none"/>
          <w:lang w:eastAsia="zh-CN"/>
        </w:rPr>
        <w:t>与</w:t>
      </w:r>
      <w:r>
        <w:rPr>
          <w:rFonts w:hint="eastAsia" w:ascii="Times New Roman" w:hAnsi="Times New Roman" w:eastAsia="仿宋_GB2312" w:cs="仿宋_GB2312"/>
          <w:sz w:val="32"/>
          <w:szCs w:val="32"/>
          <w:highlight w:val="none"/>
        </w:rPr>
        <w:t>上年预算数</w:t>
      </w:r>
      <w:r>
        <w:rPr>
          <w:rFonts w:hint="eastAsia" w:ascii="Times New Roman" w:hAnsi="Times New Roman" w:eastAsia="仿宋_GB2312"/>
          <w:sz w:val="32"/>
          <w:highlight w:val="none"/>
          <w:shd w:val="clear" w:color="auto" w:fill="FFFFFF"/>
          <w:lang w:eastAsia="zh-CN"/>
        </w:rPr>
        <w:t>持平</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2025年预算未安排公务用车运行维护费</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（十）其他重要事项的情况说明</w:t>
      </w:r>
    </w:p>
    <w:p>
      <w:pPr>
        <w:pStyle w:val="14"/>
        <w:keepNext w:val="0"/>
        <w:keepLines w:val="0"/>
        <w:pageBreakBefore w:val="0"/>
        <w:numPr>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政府采购情况。</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德清县政府投资项目预算审核中心</w:t>
      </w:r>
      <w:r>
        <w:rPr>
          <w:rFonts w:hint="eastAsia" w:ascii="Times New Roman" w:hAnsi="Times New Roman" w:eastAsia="仿宋_GB2312"/>
          <w:color w:val="000000"/>
          <w:sz w:val="32"/>
          <w:szCs w:val="32"/>
        </w:rPr>
        <w:t>各单位政府采购预算总额</w:t>
      </w:r>
      <w:r>
        <w:rPr>
          <w:rFonts w:ascii="Times New Roman" w:hAnsi="Times New Roman" w:eastAsia="仿宋_GB2312"/>
          <w:color w:val="000000"/>
          <w:sz w:val="32"/>
          <w:szCs w:val="32"/>
        </w:rPr>
        <w:t>200.00</w:t>
      </w:r>
      <w:r>
        <w:rPr>
          <w:rFonts w:hint="eastAsia" w:ascii="Times New Roman" w:hAnsi="Times New Roman" w:eastAsia="仿宋_GB2312"/>
          <w:color w:val="000000"/>
          <w:sz w:val="32"/>
          <w:szCs w:val="32"/>
        </w:rPr>
        <w:t>万元，其中：政府采购货物预算0.00万元、政府采购工程预算0.00万元、政府采购服务预算</w:t>
      </w:r>
      <w:r>
        <w:rPr>
          <w:rFonts w:ascii="Times New Roman" w:hAnsi="Times New Roman" w:eastAsia="仿宋_GB2312"/>
          <w:color w:val="000000"/>
          <w:sz w:val="32"/>
          <w:szCs w:val="32"/>
        </w:rPr>
        <w:t>200.00</w:t>
      </w:r>
      <w:r>
        <w:rPr>
          <w:rFonts w:hint="eastAsia" w:ascii="Times New Roman" w:hAnsi="Times New Roman" w:eastAsia="仿宋_GB2312"/>
          <w:color w:val="000000"/>
          <w:sz w:val="32"/>
          <w:szCs w:val="32"/>
        </w:rPr>
        <w:t>万元。</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国有资产占有使用情况。</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64"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6"/>
          <w:sz w:val="32"/>
          <w:szCs w:val="32"/>
          <w:highlight w:val="none"/>
        </w:rPr>
        <w:t>截至202</w:t>
      </w:r>
      <w:r>
        <w:rPr>
          <w:rFonts w:hint="eastAsia" w:ascii="Times New Roman" w:hAnsi="Times New Roman" w:eastAsia="仿宋_GB2312" w:cs="仿宋_GB2312"/>
          <w:color w:val="auto"/>
          <w:spacing w:val="6"/>
          <w:sz w:val="32"/>
          <w:szCs w:val="32"/>
          <w:highlight w:val="none"/>
          <w:lang w:val="en-US" w:eastAsia="zh-CN"/>
        </w:rPr>
        <w:t>4</w:t>
      </w:r>
      <w:r>
        <w:rPr>
          <w:rFonts w:hint="eastAsia" w:ascii="Times New Roman" w:hAnsi="Times New Roman" w:eastAsia="仿宋_GB2312" w:cs="仿宋_GB2312"/>
          <w:color w:val="auto"/>
          <w:spacing w:val="6"/>
          <w:sz w:val="32"/>
          <w:szCs w:val="32"/>
          <w:highlight w:val="none"/>
        </w:rPr>
        <w:t>年12月31日，所属单位共有车辆</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辆，其中，应急保障用车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辆、老干部服务用车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辆、执法执勤用车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辆、特种专业技术用车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辆、行政执法专用车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辆、其他用车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辆。单位价值100万元以上设备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台（套）。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部门预算未安排购置车辆、单位价值100万元以上设备</w:t>
      </w:r>
      <w:r>
        <w:rPr>
          <w:rFonts w:hint="eastAsia" w:ascii="Times New Roman" w:hAnsi="Times New Roman" w:eastAsia="仿宋_GB2312" w:cs="仿宋_GB2312"/>
          <w:sz w:val="32"/>
          <w:szCs w:val="32"/>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jc w:val="both"/>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 xml:space="preserve">    </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预算绩效情况说明。</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德清县政府投资项目预算审核中心其他运转类项目和特定目标类项目均实行绩效目标管理，共计1个一级项目，涉及当年资金200.00万元。同时，将按照相关制度规定开展绩效自评。一级项目绩效目标表，详见“</w:t>
      </w:r>
      <w:r>
        <w:rPr>
          <w:rFonts w:hint="eastAsia" w:ascii="Times New Roman" w:hAnsi="Times New Roman" w:eastAsia="仿宋_GB2312" w:cs="仿宋_GB2312"/>
          <w:sz w:val="32"/>
          <w:szCs w:val="32"/>
        </w:rPr>
        <w:t>单位</w:t>
      </w:r>
      <w:r>
        <w:rPr>
          <w:rFonts w:ascii="Times New Roman" w:hAnsi="Times New Roman" w:eastAsia="仿宋_GB2312" w:cs="仿宋_GB2312"/>
          <w:sz w:val="32"/>
          <w:szCs w:val="32"/>
        </w:rPr>
        <w:t>项目支出绩效表”</w:t>
      </w:r>
      <w:r>
        <w:rPr>
          <w:rFonts w:hint="eastAsia" w:ascii="Times New Roman" w:hAnsi="Times New Roman" w:eastAsia="仿宋_GB2312" w:cs="仿宋_GB2312"/>
          <w:sz w:val="32"/>
          <w:szCs w:val="32"/>
        </w:rPr>
        <w:t>。</w:t>
      </w:r>
    </w:p>
    <w:p>
      <w:pPr>
        <w:pStyle w:val="14"/>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三、名词解释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1.财政拨款收入：本级财政部门当年拨付的财政预算资金，包括一般公共预算财政拨款</w:t>
      </w:r>
      <w:r>
        <w:rPr>
          <w:rFonts w:hint="eastAsia" w:ascii="Times New Roman" w:hAnsi="Times New Roman" w:eastAsia="仿宋_GB2312"/>
          <w:color w:val="000000"/>
          <w:sz w:val="32"/>
          <w:szCs w:val="32"/>
        </w:rPr>
        <w:t>、</w:t>
      </w:r>
      <w:r>
        <w:rPr>
          <w:rFonts w:hint="eastAsia" w:ascii="Times New Roman" w:hAnsi="Times New Roman" w:eastAsia="仿宋_GB2312" w:cs="仿宋_GB2312"/>
          <w:sz w:val="32"/>
          <w:szCs w:val="32"/>
        </w:rPr>
        <w:t>政府性基金预算和国有资本经营预算财政拨款。</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2.财政专户管理资金:教育收费作为本部门的事业收入，纳入财政专户管理的资金。</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3.事业收入：事业单位开展专业业务活动及辅助活动所取得的收入，不含财政专户管理资金收入。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4.事业单位经营收入：事业单位在专业业务活动及辅助活动之外开展非独立核算经营活动取得的收入。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6.上年结转结余：包括财政拨款结转结余、财政专户管理结转结余和单位资金结转结余。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7.基本支出：是预算单位为保障其正常运转，完成日常工作任务所发生的支出，包括人员支出和日常公用支出。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8.项目支出：是预算单位为完成其特定的行政工作任务或事业发展目标所发生的支出。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.“三公”经费：纳入财政预决算管理的“三公”经费，是指部门用一般公共预算财政拨款安排的因公出国（境）费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、公务用车购置及运行费和公务接待费。其中，因公出国（境）费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.机关运行经费：指为保障行政单位（含参照公务员法管理的事业单位）运行用于购买货物和服务的各项资金，包括办公</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印刷费、邮电费、差旅费、会议费、福利费、日常维修费、专用材料</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及</w:t>
      </w:r>
      <w:r>
        <w:rPr>
          <w:rFonts w:hint="eastAsia" w:ascii="Times New Roman" w:hAnsi="Times New Roman" w:eastAsia="仿宋_GB2312" w:cs="仿宋_GB2312"/>
          <w:sz w:val="32"/>
          <w:szCs w:val="32"/>
          <w:lang w:val="en-US" w:eastAsia="zh-CN"/>
        </w:rPr>
        <w:t>办公</w:t>
      </w:r>
      <w:r>
        <w:rPr>
          <w:rFonts w:hint="eastAsia" w:ascii="Times New Roman" w:hAnsi="Times New Roman" w:eastAsia="仿宋_GB2312" w:cs="仿宋_GB2312"/>
          <w:sz w:val="32"/>
          <w:szCs w:val="32"/>
        </w:rPr>
        <w:t>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.一般公共服务（类）财政事务（款）事业运行（项）反映事业单位的基本支出。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一般公共服务（类）财政事务（款）</w:t>
      </w:r>
      <w:r>
        <w:rPr>
          <w:rFonts w:hint="eastAsia" w:ascii="Times New Roman" w:hAnsi="Times New Roman" w:eastAsia="仿宋_GB2312"/>
          <w:color w:val="000000"/>
          <w:sz w:val="32"/>
          <w:szCs w:val="32"/>
          <w:lang w:eastAsia="zh-CN"/>
        </w:rPr>
        <w:t>其他财政事务支出</w:t>
      </w:r>
      <w:r>
        <w:rPr>
          <w:rFonts w:hint="eastAsia" w:ascii="Times New Roman" w:hAnsi="Times New Roman" w:eastAsia="仿宋_GB2312"/>
          <w:color w:val="000000"/>
          <w:sz w:val="32"/>
          <w:szCs w:val="32"/>
        </w:rPr>
        <w:t>（项）反映</w:t>
      </w:r>
      <w:r>
        <w:rPr>
          <w:rFonts w:hint="eastAsia" w:ascii="Times New Roman" w:hAnsi="Times New Roman" w:eastAsia="仿宋_GB2312"/>
          <w:color w:val="000000"/>
          <w:sz w:val="32"/>
          <w:szCs w:val="32"/>
          <w:lang w:eastAsia="zh-CN"/>
        </w:rPr>
        <w:t>除上述项目外其他财政事务方面的支出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.社会保障和就业支出(类)行政事业单位养老支出(款)机关事业单位职业年金缴费支出(项)反映机关事业单位实施养老保险制度由单位实际缴纳的职业年金支出</w:t>
      </w:r>
      <w:r>
        <w:rPr>
          <w:rFonts w:hint="eastAsia" w:ascii="Times New Roman" w:hAnsi="Times New Roman" w:eastAsia="仿宋_GB2312"/>
          <w:color w:val="000000"/>
          <w:sz w:val="32"/>
          <w:szCs w:val="32"/>
          <w:lang w:eastAsia="zh-CN"/>
        </w:rPr>
        <w:t>（含职业年金补助支出）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.卫生健康支出(类) 行政事业单位医疗(款)事业单位医疗(项)反映财政部门安排的事业单位基本医疗保险缴费经费，未参加医疗保险的事业单位的公费医疗经费，按国家规定享受离休人员待遇的医疗经费。</w:t>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pPr>
        <w:pStyle w:val="2"/>
        <w:jc w:val="both"/>
        <w:sectPr>
          <w:pgSz w:w="16838" w:h="11906" w:orient="landscape"/>
          <w:pgMar w:top="1800" w:right="1440" w:bottom="1800" w:left="1440" w:header="851" w:footer="992" w:gutter="0"/>
          <w:pgNumType w:start="6"/>
          <w:cols w:space="425" w:num="1"/>
          <w:docGrid w:type="lines" w:linePitch="312" w:charSpace="0"/>
        </w:sectPr>
      </w:pPr>
      <w:r>
        <w:object>
          <v:shape id="_x0000_i1027" o:spt="75" type="#_x0000_t75" style="height:356.3pt;width:697.8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5" r:id="rId10">
            <o:LockedField>false</o:LockedField>
          </o:OLEObject>
        </w:object>
      </w:r>
    </w:p>
    <w:p>
      <w:pPr>
        <w:pStyle w:val="2"/>
        <w:jc w:val="both"/>
        <w:sectPr>
          <w:pgSz w:w="16838" w:h="11906" w:orient="landscape"/>
          <w:pgMar w:top="1800" w:right="1440" w:bottom="1800" w:left="1440" w:header="851" w:footer="992" w:gutter="0"/>
          <w:pgNumType w:start="6"/>
          <w:cols w:space="425" w:num="1"/>
          <w:docGrid w:type="lines" w:linePitch="312" w:charSpace="0"/>
        </w:sectPr>
      </w:pPr>
      <w:r>
        <w:object>
          <v:shape id="_x0000_i1028" o:spt="75" type="#_x0000_t75" style="height:158.4pt;width:696.75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6" r:id="rId12">
            <o:LockedField>false</o:LockedField>
          </o:OLEObject>
        </w:object>
      </w:r>
    </w:p>
    <w:p>
      <w:pPr>
        <w:pStyle w:val="2"/>
        <w:jc w:val="both"/>
        <w:sectPr>
          <w:pgSz w:w="16838" w:h="11906" w:orient="landscape"/>
          <w:pgMar w:top="1800" w:right="1440" w:bottom="1800" w:left="1440" w:header="851" w:footer="992" w:gutter="0"/>
          <w:pgNumType w:start="6"/>
          <w:cols w:space="425" w:num="1"/>
          <w:docGrid w:type="lines" w:linePitch="312" w:charSpace="0"/>
        </w:sectPr>
      </w:pPr>
      <w:r>
        <w:object>
          <v:shape id="_x0000_i1029" o:spt="75" type="#_x0000_t75" style="height:385.8pt;width:697.7pt;" o:ole="t" filled="f" o:preferrelative="t" stroked="f" coordsize="21600,21600">
            <v:path/>
            <v:fill on="f" focussize="0,0"/>
            <v:stroke on="f"/>
            <v:imagedata r:id="rId15" o:title=""/>
            <o:lock v:ext="edit" aspectratio="f"/>
            <w10:wrap type="none"/>
            <w10:anchorlock/>
          </v:shape>
          <o:OLEObject Type="Embed" ProgID="Excel.Sheet.12" ShapeID="_x0000_i1029" DrawAspect="Content" ObjectID="_1468075727" r:id="rId14">
            <o:LockedField>false</o:LockedField>
          </o:OLEObject>
        </w:object>
      </w:r>
    </w:p>
    <w:p>
      <w:pPr>
        <w:pStyle w:val="2"/>
        <w:jc w:val="both"/>
        <w:sectPr>
          <w:pgSz w:w="16838" w:h="11906" w:orient="landscape"/>
          <w:pgMar w:top="1800" w:right="1440" w:bottom="1800" w:left="1440" w:header="851" w:footer="992" w:gutter="0"/>
          <w:pgNumType w:start="6"/>
          <w:cols w:space="425" w:num="1"/>
          <w:docGrid w:type="lines" w:linePitch="312" w:charSpace="0"/>
        </w:sectPr>
      </w:pPr>
      <w:r>
        <w:object>
          <v:shape id="_x0000_i1030" o:spt="75" type="#_x0000_t75" style="height:454.8pt;width:697.8pt;" o:ole="t" filled="f" o:preferrelative="t" stroked="f" coordsize="21600,21600">
            <v:path/>
            <v:fill on="f" focussize="0,0"/>
            <v:stroke on="f"/>
            <v:imagedata r:id="rId17" o:title=""/>
            <o:lock v:ext="edit" aspectratio="f"/>
            <w10:wrap type="none"/>
            <w10:anchorlock/>
          </v:shape>
          <o:OLEObject Type="Embed" ProgID="Excel.Sheet.12" ShapeID="_x0000_i1030" DrawAspect="Content" ObjectID="_1468075728" r:id="rId16">
            <o:LockedField>false</o:LockedField>
          </o:OLEObject>
        </w:object>
      </w:r>
    </w:p>
    <w:p>
      <w:pPr>
        <w:pStyle w:val="2"/>
        <w:jc w:val="both"/>
        <w:sectPr>
          <w:pgSz w:w="16838" w:h="11906" w:orient="landscape"/>
          <w:pgMar w:top="1800" w:right="1440" w:bottom="1800" w:left="1440" w:header="851" w:footer="992" w:gutter="0"/>
          <w:pgNumType w:start="6"/>
          <w:cols w:space="425" w:num="1"/>
          <w:docGrid w:type="lines" w:linePitch="312" w:charSpace="0"/>
        </w:sectPr>
      </w:pPr>
      <w:r>
        <w:object>
          <v:shape id="_x0000_i1032" o:spt="75" type="#_x0000_t75" style="height:418.85pt;width:697.4pt;" o:ole="t" filled="f" o:preferrelative="t" stroked="f" coordsize="21600,21600">
            <v:path/>
            <v:fill on="f" focussize="0,0"/>
            <v:stroke on="f"/>
            <v:imagedata r:id="rId19" o:title=""/>
            <o:lock v:ext="edit" aspectratio="f"/>
            <w10:wrap type="none"/>
            <w10:anchorlock/>
          </v:shape>
          <o:OLEObject Type="Embed" ProgID="Excel.Sheet.12" ShapeID="_x0000_i1032" DrawAspect="Content" ObjectID="_1468075729" r:id="rId18">
            <o:LockedField>false</o:LockedField>
          </o:OLEObject>
        </w:object>
      </w:r>
    </w:p>
    <w:p>
      <w:pPr>
        <w:spacing w:line="640" w:lineRule="exact"/>
        <w:jc w:val="center"/>
        <w:rPr>
          <w:rFonts w:hint="eastAsia" w:asciiTheme="majorEastAsia" w:hAnsiTheme="majorEastAsia" w:eastAsiaTheme="majorEastAsia" w:cstheme="majorEastAsia"/>
          <w:b w:val="0"/>
          <w:bCs/>
          <w:color w:val="000000"/>
          <w:sz w:val="44"/>
          <w:szCs w:val="44"/>
        </w:rPr>
      </w:pPr>
      <w:r>
        <w:rPr>
          <w:rFonts w:hint="eastAsia" w:asciiTheme="majorEastAsia" w:hAnsiTheme="majorEastAsia" w:eastAsiaTheme="majorEastAsia" w:cstheme="majorEastAsia"/>
          <w:b w:val="0"/>
          <w:bCs/>
          <w:color w:val="000000"/>
          <w:sz w:val="44"/>
          <w:szCs w:val="44"/>
        </w:rPr>
        <w:t>202</w:t>
      </w:r>
      <w:r>
        <w:rPr>
          <w:rFonts w:hint="eastAsia" w:asciiTheme="majorEastAsia" w:hAnsiTheme="majorEastAsia" w:eastAsiaTheme="majorEastAsia" w:cstheme="majorEastAsia"/>
          <w:b w:val="0"/>
          <w:bCs/>
          <w:color w:val="000000"/>
          <w:sz w:val="44"/>
          <w:szCs w:val="44"/>
          <w:lang w:val="en-US" w:eastAsia="zh-CN"/>
        </w:rPr>
        <w:t>5</w:t>
      </w:r>
      <w:r>
        <w:rPr>
          <w:rFonts w:hint="eastAsia" w:asciiTheme="majorEastAsia" w:hAnsiTheme="majorEastAsia" w:eastAsiaTheme="majorEastAsia" w:cstheme="majorEastAsia"/>
          <w:b w:val="0"/>
          <w:bCs/>
          <w:color w:val="000000"/>
          <w:sz w:val="44"/>
          <w:szCs w:val="44"/>
        </w:rPr>
        <w:t>年单位一般公共预算基本支出表</w:t>
      </w:r>
    </w:p>
    <w:p>
      <w:pPr>
        <w:spacing w:line="640" w:lineRule="exact"/>
        <w:ind w:firstLine="200" w:firstLineChars="100"/>
        <w:jc w:val="both"/>
        <w:rPr>
          <w:rFonts w:ascii="仿宋_GB2312" w:hAnsi="仿宋_GB2312" w:eastAsia="仿宋_GB2312"/>
          <w:sz w:val="32"/>
        </w:rPr>
      </w:pPr>
      <w:r>
        <w:rPr>
          <w:rFonts w:hint="eastAsia" w:ascii="宋体" w:hAnsi="宋体"/>
          <w:color w:val="000000"/>
          <w:sz w:val="20"/>
          <w:lang w:val="en-US" w:eastAsia="zh-CN"/>
        </w:rPr>
        <w:t>326009-德清县政府投资项目预算审核中心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8"/>
        <w:tblW w:w="13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233.24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230.86</w:t>
            </w: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301</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223.65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223.65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30101</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基本工资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30.15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30.15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30103</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奖金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65.58</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65.58</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ind w:firstLine="200" w:firstLineChars="100"/>
              <w:jc w:val="left"/>
              <w:rPr>
                <w:rFonts w:ascii="宋体" w:hAnsi="宋体" w:cs="Arial"/>
                <w:color w:val="000000"/>
                <w:kern w:val="0"/>
                <w:sz w:val="20"/>
              </w:rPr>
            </w:pPr>
            <w:r>
              <w:rPr>
                <w:rFonts w:hint="eastAsia" w:ascii="宋体" w:hAnsi="宋体" w:cs="Arial"/>
                <w:color w:val="000000"/>
                <w:kern w:val="0"/>
                <w:sz w:val="20"/>
              </w:rPr>
              <w:t>30106</w:t>
            </w:r>
          </w:p>
        </w:tc>
        <w:tc>
          <w:tcPr>
            <w:tcW w:w="3686" w:type="dxa"/>
            <w:vAlign w:val="center"/>
          </w:tcPr>
          <w:p>
            <w:pPr>
              <w:widowControl/>
              <w:ind w:firstLine="200" w:firstLineChars="100"/>
              <w:jc w:val="left"/>
              <w:rPr>
                <w:rFonts w:ascii="宋体" w:hAnsi="宋体" w:cs="Arial"/>
                <w:color w:val="000000"/>
                <w:kern w:val="0"/>
                <w:sz w:val="20"/>
              </w:rPr>
            </w:pPr>
            <w:r>
              <w:rPr>
                <w:rFonts w:hint="eastAsia" w:ascii="宋体" w:hAnsi="宋体" w:cs="Arial"/>
                <w:color w:val="000000"/>
                <w:kern w:val="0"/>
                <w:sz w:val="20"/>
              </w:rPr>
              <w:t>伙食补助费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9.41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9.41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30107</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绩效工资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45.85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45.85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30108</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机关事业单位基本养老保险缴费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11.62</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11.62</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30109</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职业年金缴费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5.81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30110</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职工基本医疗保险缴费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6.38</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6.38</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30111</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公务员医疗补助缴费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8.04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8.04</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30112</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其他社会保障缴费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0.53</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0.53</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30113</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住房公积金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19.33</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19.33</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30199</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其他工资福利支出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20.95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20.95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302</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商品和服务支出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2.38</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30201</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办公费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30202</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印刷费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0.08</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30207</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邮电费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0.40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30229</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福利费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0.40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30239</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其他交通费用</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7.21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7.21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303</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4.41</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4.41</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ind w:firstLine="200" w:firstLineChars="100"/>
              <w:jc w:val="left"/>
              <w:rPr>
                <w:rFonts w:ascii="宋体" w:hAnsi="宋体" w:cs="Arial"/>
                <w:color w:val="000000"/>
                <w:kern w:val="0"/>
                <w:sz w:val="20"/>
              </w:rPr>
            </w:pPr>
            <w:r>
              <w:rPr>
                <w:rFonts w:hint="eastAsia" w:ascii="宋体" w:hAnsi="宋体" w:cs="Arial"/>
                <w:color w:val="000000"/>
                <w:kern w:val="0"/>
                <w:sz w:val="20"/>
              </w:rPr>
              <w:t>30302</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退休费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2.80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30399</w:t>
            </w:r>
          </w:p>
        </w:tc>
        <w:tc>
          <w:tcPr>
            <w:tcW w:w="3686" w:type="dxa"/>
            <w:vAlign w:val="center"/>
          </w:tcPr>
          <w:p>
            <w:pPr>
              <w:widowControl/>
              <w:jc w:val="left"/>
              <w:rPr>
                <w:rFonts w:ascii="宋体" w:hAnsi="宋体" w:cs="Arial"/>
                <w:color w:val="000000"/>
                <w:kern w:val="0"/>
                <w:sz w:val="20"/>
              </w:rPr>
            </w:pPr>
            <w:r>
              <w:rPr>
                <w:rFonts w:hint="eastAsia" w:ascii="宋体" w:hAnsi="宋体" w:cs="Arial"/>
                <w:color w:val="000000"/>
                <w:kern w:val="0"/>
                <w:sz w:val="20"/>
              </w:rPr>
              <w:t>　其他对个人和家庭的补助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2.38</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2.38</w:t>
            </w:r>
          </w:p>
        </w:tc>
      </w:tr>
    </w:tbl>
    <w:p>
      <w:pPr>
        <w:pStyle w:val="2"/>
        <w:jc w:val="both"/>
      </w:pPr>
    </w:p>
    <w:p>
      <w:pPr>
        <w:pStyle w:val="2"/>
        <w:jc w:val="both"/>
      </w:pPr>
    </w:p>
    <w:p>
      <w:pPr>
        <w:pStyle w:val="2"/>
        <w:jc w:val="both"/>
      </w:pPr>
    </w:p>
    <w:p>
      <w:pPr>
        <w:pStyle w:val="2"/>
        <w:jc w:val="both"/>
        <w:sectPr>
          <w:pgSz w:w="16838" w:h="11906" w:orient="landscape"/>
          <w:pgMar w:top="1800" w:right="1440" w:bottom="1800" w:left="1440" w:header="851" w:footer="992" w:gutter="0"/>
          <w:pgNumType w:start="6"/>
          <w:cols w:space="425" w:num="1"/>
          <w:docGrid w:type="lines" w:linePitch="312" w:charSpace="0"/>
        </w:sectPr>
      </w:pP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4" o:spt="75" type="#_x0000_t75" style="height:381pt;width:609.75pt;" o:ole="t" filled="f" o:preferrelative="t" stroked="f" coordsize="21600,21600">
            <v:path/>
            <v:fill on="f" focussize="0,0"/>
            <v:stroke on="f"/>
            <v:imagedata r:id="rId21" o:title=""/>
            <o:lock v:ext="edit" aspectratio="f"/>
            <w10:wrap type="none"/>
            <w10:anchorlock/>
          </v:shape>
          <o:OLEObject Type="Embed" ProgID="Excel.Sheet.12" ShapeID="_x0000_i1034" DrawAspect="Content" ObjectID="_1468075730" r:id="rId20">
            <o:LockedField>false</o:LockedField>
          </o:OLEObject>
        </w:object>
      </w: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5" o:spt="75" type="#_x0000_t75" style="height:238.15pt;width:697.7pt;" o:ole="t" filled="f" o:preferrelative="t" stroked="f" coordsize="21600,21600">
            <v:path/>
            <v:fill on="f" focussize="0,0"/>
            <v:stroke on="f"/>
            <v:imagedata r:id="rId23" o:title=""/>
            <o:lock v:ext="edit" aspectratio="f"/>
            <w10:wrap type="none"/>
            <w10:anchorlock/>
          </v:shape>
          <o:OLEObject Type="Embed" ProgID="Excel.Sheet.12" ShapeID="_x0000_i1035" DrawAspect="Content" ObjectID="_1468075731" r:id="rId22">
            <o:LockedField>false</o:LockedField>
          </o:OLEObject>
        </w:object>
      </w: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6" o:spt="75" type="#_x0000_t75" style="height:141.05pt;width:697.7pt;" o:ole="t" filled="f" o:preferrelative="t" stroked="f" coordsize="21600,21600">
            <v:path/>
            <v:fill on="f" focussize="0,0"/>
            <v:stroke on="f"/>
            <v:imagedata r:id="rId25" o:title=""/>
            <o:lock v:ext="edit" aspectratio="f"/>
            <w10:wrap type="none"/>
            <w10:anchorlock/>
          </v:shape>
          <o:OLEObject Type="Embed" ProgID="Excel.Sheet.12" ShapeID="_x0000_i1036" DrawAspect="Content" ObjectID="_1468075732" r:id="rId24">
            <o:LockedField>false</o:LockedField>
          </o:OLEObject>
        </w:object>
      </w: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7" o:spt="75" type="#_x0000_t75" style="height:177.6pt;width:697.55pt;" o:ole="t" filled="f" o:preferrelative="t" stroked="f" coordsize="21600,21600">
            <v:path/>
            <v:fill on="f" focussize="0,0"/>
            <v:stroke on="f"/>
            <v:imagedata r:id="rId27" o:title=""/>
            <o:lock v:ext="edit" aspectratio="f"/>
            <w10:wrap type="none"/>
            <w10:anchorlock/>
          </v:shape>
          <o:OLEObject Type="Embed" ProgID="Excel.Sheet.12" ShapeID="_x0000_i1037" DrawAspect="Content" ObjectID="_1468075733" r:id="rId26">
            <o:LockedField>false</o:LockedField>
          </o:OLEObject>
        </w:object>
      </w: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8" o:spt="75" type="#_x0000_t75" style="height:177.6pt;width:697.55pt;" o:ole="t" filled="f" o:preferrelative="t" stroked="f" coordsize="21600,21600">
            <v:path/>
            <v:fill on="f" focussize="0,0"/>
            <v:stroke on="f"/>
            <v:imagedata r:id="rId29" o:title=""/>
            <o:lock v:ext="edit" aspectratio="f"/>
            <w10:wrap type="none"/>
            <w10:anchorlock/>
          </v:shape>
          <o:OLEObject Type="Embed" ProgID="Excel.Sheet.12" ShapeID="_x0000_i1038" DrawAspect="Content" ObjectID="_1468075734" r:id="rId28">
            <o:LockedField>false</o:LockedField>
          </o:OLEObject>
        </w:object>
      </w:r>
    </w:p>
    <w:p>
      <w:pPr>
        <w:pStyle w:val="2"/>
        <w:jc w:val="center"/>
      </w:pPr>
      <w:r>
        <w:object>
          <v:shape id="_x0000_i1040" o:spt="75" type="#_x0000_t75" style="height:171.45pt;width:697.45pt;" o:ole="t" filled="f" o:preferrelative="t" stroked="f" coordsize="21600,21600">
            <v:path/>
            <v:fill on="f" focussize="0,0"/>
            <v:stroke on="f"/>
            <v:imagedata r:id="rId31" o:title=""/>
            <o:lock v:ext="edit" aspectratio="f"/>
            <w10:wrap type="none"/>
            <w10:anchorlock/>
          </v:shape>
          <o:OLEObject Type="Embed" ProgID="Excel.Sheet.12" ShapeID="_x0000_i1040" DrawAspect="Content" ObjectID="_1468075735" r:id="rId30">
            <o:LockedField>false</o:LockedField>
          </o:OLEObject>
        </w:object>
      </w:r>
      <w:bookmarkStart w:id="0" w:name="_GoBack"/>
      <w:bookmarkEnd w:id="0"/>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070868"/>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577530B"/>
    <w:rsid w:val="3619346A"/>
    <w:rsid w:val="366152C5"/>
    <w:rsid w:val="371502F0"/>
    <w:rsid w:val="37DD34EA"/>
    <w:rsid w:val="3859649B"/>
    <w:rsid w:val="386D2696"/>
    <w:rsid w:val="38734701"/>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4766ED6"/>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1.bin"/>
  <Relationship Id="rId11" Type="http://schemas.openxmlformats.org/officeDocument/2006/relationships/image" Target="media/image1.emf"/>
  <Relationship Id="rId12" Type="http://schemas.openxmlformats.org/officeDocument/2006/relationships/oleObject" Target="embeddings/oleObject2.bin"/>
  <Relationship Id="rId13" Type="http://schemas.openxmlformats.org/officeDocument/2006/relationships/image" Target="media/image2.emf"/>
  <Relationship Id="rId14" Type="http://schemas.openxmlformats.org/officeDocument/2006/relationships/oleObject" Target="embeddings/oleObject3.bin"/>
  <Relationship Id="rId15" Type="http://schemas.openxmlformats.org/officeDocument/2006/relationships/image" Target="media/image3.emf"/>
  <Relationship Id="rId16" Type="http://schemas.openxmlformats.org/officeDocument/2006/relationships/oleObject" Target="embeddings/oleObject4.bin"/>
  <Relationship Id="rId17" Type="http://schemas.openxmlformats.org/officeDocument/2006/relationships/image" Target="media/image4.emf"/>
  <Relationship Id="rId18" Type="http://schemas.openxmlformats.org/officeDocument/2006/relationships/oleObject" Target="embeddings/oleObject5.bin"/>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6.emf"/>
  <Relationship Id="rId22" Type="http://schemas.openxmlformats.org/officeDocument/2006/relationships/oleObject" Target="embeddings/oleObject7.bin"/>
  <Relationship Id="rId23" Type="http://schemas.openxmlformats.org/officeDocument/2006/relationships/image" Target="media/image7.emf"/>
  <Relationship Id="rId24" Type="http://schemas.openxmlformats.org/officeDocument/2006/relationships/oleObject" Target="embeddings/oleObject8.bin"/>
  <Relationship Id="rId25" Type="http://schemas.openxmlformats.org/officeDocument/2006/relationships/image" Target="media/image8.emf"/>
  <Relationship Id="rId26" Type="http://schemas.openxmlformats.org/officeDocument/2006/relationships/oleObject" Target="embeddings/oleObject9.bin"/>
  <Relationship Id="rId27" Type="http://schemas.openxmlformats.org/officeDocument/2006/relationships/image" Target="media/image9.emf"/>
  <Relationship Id="rId28" Type="http://schemas.openxmlformats.org/officeDocument/2006/relationships/oleObject" Target="embeddings/oleObject10.bin"/>
  <Relationship Id="rId29" Type="http://schemas.openxmlformats.org/officeDocument/2006/relationships/image" Target="media/image10.emf"/>
  <Relationship Id="rId3" Type="http://schemas.openxmlformats.org/officeDocument/2006/relationships/header" Target="header1.xml"/>
  <Relationship Id="rId30" Type="http://schemas.openxmlformats.org/officeDocument/2006/relationships/oleObject" Target="embeddings/oleObject11.bin"/>
  <Relationship Id="rId31" Type="http://schemas.openxmlformats.org/officeDocument/2006/relationships/image" Target="media/image11.emf"/>
  <Relationship Id="rId32" Type="http://schemas.openxmlformats.org/officeDocument/2006/relationships/customXml" Target="../customXml/item1.xml"/>
  <Relationship Id="rId33" Type="http://schemas.openxmlformats.org/officeDocument/2006/relationships/numbering" Target="numbering.xml"/>
  <Relationship Id="rId34"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ScaleCrop>false</ScaleCrop>
  <LinksUpToDate>false</LinksUpToDate>
  <CharactersWithSpaces>10242</CharactersWithSpaces>
  <Application>WPS Office_10.8.0.6253_F1E327BC-269C-435d-A152-05C5408002CA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User</lastModifiedBy>
  <dcterms:modified xsi:type="dcterms:W3CDTF">2025-03-10T06:03:14Z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