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cs="黑体"/>
          <w:spacing w:val="15"/>
          <w:sz w:val="32"/>
          <w:szCs w:val="32"/>
        </w:rPr>
      </w:pPr>
    </w:p>
    <w:p>
      <w:pPr>
        <w:spacing w:line="560" w:lineRule="exact"/>
        <w:jc w:val="center"/>
        <w:rPr>
          <w:rFonts w:hint="eastAsia" w:ascii="方正小标宋简体" w:hAnsi="方正小标宋简体" w:eastAsia="方正小标宋简体" w:cs="方正小标宋简体"/>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区委社会工作部</w:t>
      </w:r>
      <w:r>
        <w:rPr>
          <w:rFonts w:hint="eastAsia" w:ascii="方正小标宋简体" w:hAnsi="方正小标宋简体" w:eastAsia="方正小标宋简体" w:cs="方正小标宋简体"/>
          <w:bCs/>
          <w:spacing w:val="15"/>
          <w:sz w:val="44"/>
          <w:szCs w:val="44"/>
        </w:rPr>
        <w:t>2025年部门预算</w:t>
      </w:r>
    </w:p>
    <w:p>
      <w:pPr>
        <w:spacing w:line="560" w:lineRule="exact"/>
        <w:ind w:firstLine="590" w:firstLineChars="196"/>
        <w:rPr>
          <w:rStyle w:val="12"/>
          <w:color w:val="000000"/>
          <w:sz w:val="30"/>
          <w:szCs w:val="30"/>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p>
    <w:p>
      <w:pPr>
        <w:spacing w:line="520" w:lineRule="exact"/>
        <w:rPr>
          <w:rStyle w:val="12"/>
          <w:rFonts w:ascii="黑体" w:eastAsia="黑体"/>
          <w:b w:val="0"/>
          <w:color w:val="000000"/>
          <w:sz w:val="32"/>
          <w:szCs w:val="32"/>
        </w:rPr>
      </w:pPr>
    </w:p>
    <w:p>
      <w:pPr>
        <w:spacing w:line="520" w:lineRule="exact"/>
        <w:ind w:firstLine="627" w:firstLineChars="196"/>
        <w:jc w:val="center"/>
        <w:rPr>
          <w:rStyle w:val="12"/>
          <w:rFonts w:ascii="黑体" w:eastAsia="黑体"/>
          <w:b w:val="0"/>
          <w:color w:val="000000"/>
          <w:sz w:val="32"/>
          <w:szCs w:val="32"/>
        </w:rPr>
      </w:pPr>
      <w:r>
        <w:rPr>
          <w:rStyle w:val="12"/>
          <w:rFonts w:hint="eastAsia" w:ascii="黑体" w:eastAsia="黑体"/>
          <w:b w:val="0"/>
          <w:color w:val="000000"/>
          <w:sz w:val="32"/>
          <w:szCs w:val="32"/>
        </w:rPr>
        <w:t>目录</w:t>
      </w:r>
    </w:p>
    <w:p>
      <w:pPr>
        <w:spacing w:line="520" w:lineRule="exact"/>
        <w:rPr>
          <w:rFonts w:eastAsia="黑体"/>
          <w:sz w:val="32"/>
        </w:rPr>
      </w:pPr>
      <w:r>
        <w:rPr>
          <w:rFonts w:hint="eastAsia" w:ascii="黑体" w:eastAsia="黑体"/>
          <w:color w:val="000000"/>
          <w:sz w:val="32"/>
          <w:highlight w:val="white"/>
        </w:rPr>
        <w:t>一、</w:t>
      </w:r>
      <w:r>
        <w:rPr>
          <w:rStyle w:val="12"/>
          <w:rFonts w:hint="eastAsia" w:ascii="黑体" w:eastAsia="黑体"/>
          <w:b w:val="0"/>
          <w:color w:val="000000"/>
          <w:sz w:val="32"/>
          <w:szCs w:val="32"/>
        </w:rPr>
        <w:t>部门概况</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（二）部门机构设置情况</w:t>
      </w:r>
    </w:p>
    <w:p>
      <w:pPr>
        <w:spacing w:line="520" w:lineRule="exact"/>
        <w:rPr>
          <w:rStyle w:val="12"/>
          <w:rFonts w:ascii="黑体" w:eastAsia="黑体"/>
          <w:b w:val="0"/>
          <w:color w:val="000000"/>
          <w:sz w:val="32"/>
          <w:szCs w:val="32"/>
        </w:rPr>
      </w:pPr>
      <w:r>
        <w:rPr>
          <w:rStyle w:val="12"/>
          <w:rFonts w:hint="eastAsia" w:ascii="黑体" w:eastAsia="黑体"/>
          <w:b w:val="0"/>
          <w:color w:val="000000"/>
          <w:sz w:val="32"/>
          <w:szCs w:val="32"/>
        </w:rPr>
        <w:t>二、2025年区委社会工作部部门预算安排情况说明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（一）关于区委社会工作部2025年收支预算情况的总体说明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（二）关于区委社会工作部2025年收入预算情况说明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（三）关于区委社会工作部2025年支出预算情况说明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（四）关于区委社会工作部2025年财政拨款收支预算情况的总体说明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（五）关于区委社会工作部2025年一般公共预算拨款情况说明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（六）关于区委社会工作部2025年一般公共预算基本支出情况说明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（七）关于区委社会工作部2025年政府性基金预算支出情况说明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（八）关于区委社会工作部2025年国有资本经营预算支出情况说明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（九）关于区委社会工作部2025年一般公共预算“三公”经费预算情况说明</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7"/>
        <w:spacing w:line="520" w:lineRule="exact"/>
        <w:rPr>
          <w:rStyle w:val="12"/>
          <w:rFonts w:ascii="黑体" w:hAnsi="Calibri" w:eastAsia="黑体"/>
          <w:b w:val="0"/>
          <w:color w:val="000000"/>
          <w:kern w:val="2"/>
          <w:sz w:val="32"/>
          <w:szCs w:val="32"/>
        </w:rPr>
      </w:pPr>
      <w:r>
        <w:rPr>
          <w:rStyle w:val="12"/>
          <w:rFonts w:hint="eastAsia" w:ascii="黑体" w:hAnsi="Calibri" w:eastAsia="黑体"/>
          <w:b w:val="0"/>
          <w:color w:val="000000"/>
          <w:kern w:val="2"/>
          <w:sz w:val="32"/>
          <w:szCs w:val="32"/>
        </w:rPr>
        <w:t>三、名词解释</w:t>
      </w:r>
    </w:p>
    <w:p>
      <w:pPr>
        <w:spacing w:line="520" w:lineRule="exact"/>
        <w:rPr>
          <w:rStyle w:val="12"/>
          <w:rFonts w:ascii="黑体" w:eastAsia="黑体"/>
          <w:b w:val="0"/>
          <w:color w:val="000000"/>
          <w:sz w:val="32"/>
          <w:szCs w:val="32"/>
        </w:rPr>
      </w:pPr>
      <w:r>
        <w:rPr>
          <w:rStyle w:val="12"/>
          <w:rFonts w:hint="eastAsia" w:ascii="黑体" w:eastAsia="黑体"/>
          <w:b w:val="0"/>
          <w:color w:val="000000"/>
          <w:sz w:val="32"/>
          <w:szCs w:val="32"/>
        </w:rPr>
        <w:t>四、2025年区委社会工作部部门预算表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（一）2025年部门收支预算总表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（二）2025年部门收入预算总表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（三）2025年部门支出预算总表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（四）2025年部门财政拨款收支预算总表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（五）2025年部门一般公共预算支出表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（六）2025年部门一般公共预算基本支出表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（七）2025年部门一般公共预算“三公”经费支出表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（八）2025年部门政府性基金预算支出表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（九）2025年部门国有资本经营预算支出表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（十）2025年部门项目支出预算表</w:t>
      </w:r>
    </w:p>
    <w:p>
      <w:pPr>
        <w:autoSpaceDE w:val="0"/>
        <w:autoSpaceDN w:val="0"/>
        <w:adjustRightInd w:val="0"/>
        <w:ind w:left="420" w:leftChars="200"/>
        <w:jc w:val="left"/>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（十一）2025年部门项目支出绩效表</w:t>
      </w:r>
    </w:p>
    <w:p>
      <w:pPr>
        <w:spacing w:line="520" w:lineRule="exact"/>
        <w:ind w:firstLine="627" w:firstLineChars="196"/>
        <w:rPr>
          <w:rStyle w:val="12"/>
          <w:rFonts w:ascii="黑体" w:eastAsia="黑体"/>
          <w:b w:val="0"/>
          <w:color w:val="000000"/>
          <w:sz w:val="32"/>
          <w:szCs w:val="32"/>
        </w:rPr>
      </w:pPr>
    </w:p>
    <w:p>
      <w:pPr>
        <w:pStyle w:val="2"/>
        <w:rPr>
          <w:rStyle w:val="12"/>
          <w:rFonts w:ascii="黑体" w:eastAsia="黑体"/>
          <w:b w:val="0"/>
          <w:sz w:val="32"/>
          <w:szCs w:val="32"/>
        </w:rPr>
      </w:pPr>
    </w:p>
    <w:p>
      <w:pPr>
        <w:pStyle w:val="2"/>
        <w:rPr>
          <w:rStyle w:val="12"/>
          <w:rFonts w:ascii="黑体" w:eastAsia="黑体"/>
          <w:b w:val="0"/>
          <w:sz w:val="32"/>
          <w:szCs w:val="32"/>
        </w:rPr>
      </w:pPr>
    </w:p>
    <w:p>
      <w:pPr>
        <w:pStyle w:val="2"/>
        <w:rPr>
          <w:rStyle w:val="12"/>
          <w:rFonts w:ascii="黑体" w:eastAsia="黑体"/>
          <w:b w:val="0"/>
          <w:sz w:val="32"/>
          <w:szCs w:val="32"/>
        </w:rPr>
      </w:pPr>
    </w:p>
    <w:p>
      <w:pPr>
        <w:pStyle w:val="2"/>
        <w:rPr>
          <w:rStyle w:val="12"/>
          <w:rFonts w:ascii="黑体" w:eastAsia="黑体"/>
          <w:b w:val="0"/>
          <w:sz w:val="32"/>
          <w:szCs w:val="32"/>
        </w:rPr>
      </w:pPr>
    </w:p>
    <w:p>
      <w:pPr>
        <w:pStyle w:val="2"/>
        <w:rPr>
          <w:rStyle w:val="12"/>
          <w:rFonts w:ascii="黑体" w:eastAsia="黑体"/>
          <w:b w:val="0"/>
          <w:sz w:val="32"/>
          <w:szCs w:val="32"/>
        </w:rPr>
      </w:pPr>
    </w:p>
    <w:p>
      <w:pPr>
        <w:pStyle w:val="2"/>
        <w:rPr>
          <w:rStyle w:val="12"/>
          <w:rFonts w:ascii="黑体" w:eastAsia="黑体"/>
          <w:b w:val="0"/>
          <w:sz w:val="32"/>
          <w:szCs w:val="32"/>
        </w:rPr>
      </w:pPr>
    </w:p>
    <w:p>
      <w:pPr>
        <w:pStyle w:val="2"/>
        <w:rPr>
          <w:rStyle w:val="12"/>
          <w:rFonts w:ascii="黑体" w:eastAsia="黑体"/>
          <w:b w:val="0"/>
          <w:sz w:val="32"/>
          <w:szCs w:val="32"/>
        </w:rPr>
      </w:pPr>
    </w:p>
    <w:p>
      <w:pPr>
        <w:pStyle w:val="2"/>
        <w:tabs>
          <w:tab w:val="left" w:pos="2608"/>
        </w:tabs>
        <w:rPr>
          <w:rStyle w:val="12"/>
          <w:rFonts w:ascii="黑体" w:eastAsia="黑体"/>
          <w:b w:val="0"/>
          <w:sz w:val="32"/>
          <w:szCs w:val="32"/>
        </w:rPr>
      </w:pPr>
      <w:r>
        <w:rPr>
          <w:rStyle w:val="12"/>
          <w:rFonts w:ascii="黑体" w:eastAsia="黑体"/>
          <w:b w:val="0"/>
          <w:sz w:val="32"/>
          <w:szCs w:val="32"/>
        </w:rPr>
        <w:tab/>
      </w:r>
    </w:p>
    <w:p>
      <w:pPr>
        <w:pStyle w:val="2"/>
        <w:tabs>
          <w:tab w:val="left" w:pos="2608"/>
        </w:tabs>
        <w:rPr>
          <w:rStyle w:val="12"/>
          <w:rFonts w:ascii="黑体" w:eastAsia="黑体"/>
          <w:b w:val="0"/>
          <w:sz w:val="32"/>
          <w:szCs w:val="32"/>
        </w:rPr>
      </w:pPr>
    </w:p>
    <w:p>
      <w:pPr>
        <w:spacing w:line="520" w:lineRule="exact"/>
        <w:ind w:firstLine="627" w:firstLineChars="196"/>
        <w:rPr>
          <w:rStyle w:val="12"/>
          <w:rFonts w:ascii="黑体" w:eastAsia="黑体"/>
          <w:b w:val="0"/>
          <w:color w:val="000000"/>
          <w:sz w:val="32"/>
          <w:szCs w:val="32"/>
        </w:rPr>
      </w:pPr>
      <w:r>
        <w:rPr>
          <w:rStyle w:val="12"/>
          <w:rFonts w:hint="eastAsia" w:ascii="黑体" w:eastAsia="黑体"/>
          <w:b w:val="0"/>
          <w:color w:val="000000"/>
          <w:sz w:val="32"/>
          <w:szCs w:val="32"/>
        </w:rPr>
        <w:t>一、部门概况</w:t>
      </w:r>
    </w:p>
    <w:p>
      <w:pPr>
        <w:spacing w:line="520" w:lineRule="exact"/>
        <w:ind w:firstLine="627" w:firstLineChars="196"/>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580" w:lineRule="exact"/>
        <w:ind w:firstLine="640"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rPr>
        <w:t>1.拟订全区社会工作相关政策、规范性文件，并组织实施。负责社会工作相关理论、政策和规划的调查研究，及时向区委报告工作情况并提出建议。指导乡镇（街道）开展社会工作。</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2.统筹指导群众利益协调、诉求表达、矛盾调处、权益保障等人民信访工作，协调解决人民群众急难愁盼的重大问题。指导人民建议征集工作。</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统筹推进全区党建引领基层治理和基层政权建设，健全和落实党建引领基层治理领导体制和工作机制，协调推进城乡社区治理体系和治理能力建设，统筹推进网格化管理服务和网格员队伍、社区工作者队伍建设，指导基层智治系统建设。推动基层民主政治建设，指导监督群众自治制度的有效实施，健全基层群众自治机制。</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指导混合所有制企业、非公有制企业和新经济组织、新社会组织、新就业群体（以下简称“两企三新”）党建工作，指导协调相关企业单位、社会组织、就业群体中党员的教育、管理、监督和服务工作，调查研究“两企三新”服务管理工作有关问题并提出政策建议，研究完善相关领域群体利益协调机制。指导全区性社会组织党建工作，统一领导全区性行业协会商会党的工作，协调推动行业协会商会深化改革和转型发展。</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负责全区志愿服务工作的统筹规划、协调指导、督促检查，拟定全区社会工作队伍发展规划、政策和职业规范，统筹推进社会工作人才队伍建设和志愿服务队伍建设，实施社会工作、志愿服务领域重点人才工程，协调开展相关领域人才服务保障的保障工作。</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6.完成区委交办的其他任务。</w:t>
      </w:r>
    </w:p>
    <w:p>
      <w:pPr>
        <w:spacing w:line="520" w:lineRule="exact"/>
        <w:ind w:firstLine="627" w:firstLineChars="196"/>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（二）部门机构设置情况</w:t>
      </w:r>
    </w:p>
    <w:p>
      <w:pPr>
        <w:widowControl/>
        <w:ind w:firstLine="640" w:firstLineChars="200"/>
        <w:jc w:val="left"/>
      </w:pPr>
      <w:r>
        <w:rPr>
          <w:rFonts w:hint="eastAsia" w:ascii="仿宋_GB2312" w:eastAsia="仿宋_GB2312"/>
          <w:bCs/>
          <w:sz w:val="32"/>
          <w:szCs w:val="32"/>
        </w:rPr>
        <w:t>从预算单位构成看，区委社会工作部预算包括：部本级预算、部属事业单位区社会工作服务中心、区社会治理中心预算。</w:t>
      </w:r>
    </w:p>
    <w:p>
      <w:pPr>
        <w:spacing w:line="520" w:lineRule="exact"/>
        <w:ind w:firstLine="640" w:firstLineChars="200"/>
        <w:rPr>
          <w:rFonts w:ascii="仿宋_GB2312" w:eastAsia="仿宋_GB2312"/>
          <w:b/>
          <w:bCs/>
          <w:color w:val="000000"/>
          <w:sz w:val="32"/>
          <w:szCs w:val="32"/>
        </w:rPr>
      </w:pPr>
      <w:r>
        <w:rPr>
          <w:rStyle w:val="12"/>
          <w:rFonts w:hint="eastAsia" w:ascii="黑体" w:eastAsia="黑体"/>
          <w:b w:val="0"/>
          <w:color w:val="000000"/>
          <w:sz w:val="32"/>
          <w:szCs w:val="32"/>
        </w:rPr>
        <w:t>二、2025年区委社会工作部部门预算安排情况说明</w:t>
      </w:r>
    </w:p>
    <w:p>
      <w:pPr>
        <w:spacing w:line="520" w:lineRule="exact"/>
        <w:ind w:firstLine="640" w:firstLineChars="200"/>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（一）关于区委社会工作部</w:t>
      </w:r>
      <w:r>
        <w:rPr>
          <w:rStyle w:val="12"/>
          <w:rFonts w:hint="eastAsia" w:ascii="楷体_GB2312" w:hAnsi="楷体_GB2312" w:eastAsia="楷体_GB2312" w:cs="楷体_GB2312"/>
          <w:b w:val="0"/>
          <w:bCs w:val="0"/>
          <w:color w:val="000000"/>
          <w:sz w:val="32"/>
          <w:szCs w:val="32"/>
        </w:rPr>
        <w:t>2025年收支预算情况的总体说明</w:t>
      </w:r>
    </w:p>
    <w:p>
      <w:pPr>
        <w:spacing w:line="520" w:lineRule="exact"/>
        <w:ind w:firstLine="480" w:firstLineChars="150"/>
        <w:rPr>
          <w:rFonts w:hint="eastAsia"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综合预算的原则，区委社会工作部</w:t>
      </w:r>
      <w:r>
        <w:rPr>
          <w:rFonts w:hint="eastAsia" w:ascii="仿宋_GB2312" w:eastAsia="仿宋_GB2312"/>
          <w:color w:val="000000"/>
          <w:sz w:val="32"/>
          <w:szCs w:val="32"/>
        </w:rPr>
        <w:t>所有收入和支出均纳入部门预算管理。收入包括：一般公共预算收入；支出包括：一般公共服务支出、社会保障和就业支出、卫生健康支出。区委社会工作部2025年收支总预算4417.33万元。</w:t>
      </w:r>
    </w:p>
    <w:p>
      <w:pPr>
        <w:spacing w:line="520" w:lineRule="exact"/>
        <w:ind w:firstLine="642"/>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（二）关于区委社会工作部2025年收入预算情况说明</w:t>
      </w:r>
    </w:p>
    <w:p>
      <w:pPr>
        <w:spacing w:line="520" w:lineRule="exact"/>
        <w:ind w:firstLine="642"/>
        <w:rPr>
          <w:rFonts w:ascii="仿宋_GB2312" w:eastAsia="仿宋_GB2312"/>
          <w:color w:val="000000"/>
          <w:sz w:val="32"/>
          <w:szCs w:val="32"/>
          <w:highlight w:val="yellow"/>
        </w:rPr>
      </w:pPr>
      <w:r>
        <w:rPr>
          <w:rFonts w:hint="eastAsia" w:ascii="仿宋_GB2312" w:hAnsi="仿宋_GB2312" w:eastAsia="仿宋_GB2312" w:cs="仿宋_GB2312"/>
          <w:color w:val="000000"/>
          <w:sz w:val="32"/>
          <w:szCs w:val="32"/>
        </w:rPr>
        <w:t>区委社会工作部2025年收入预算4417.33万元，比上年执行数增加3733.25万元，</w:t>
      </w:r>
      <w:r>
        <w:rPr>
          <w:rFonts w:hint="eastAsia" w:ascii="仿宋_GB2312" w:hAnsi="仿宋_GB2312" w:eastAsia="仿宋_GB2312" w:cs="仿宋_GB2312"/>
          <w:color w:val="000000"/>
          <w:sz w:val="32"/>
        </w:rPr>
        <w:t>增</w:t>
      </w:r>
      <w:r>
        <w:rPr>
          <w:rFonts w:hint="eastAsia" w:ascii="仿宋_GB2312" w:hAnsi="仿宋_GB2312" w:eastAsia="仿宋_GB2312" w:cs="仿宋_GB2312"/>
          <w:color w:val="000000"/>
          <w:sz w:val="32"/>
          <w:szCs w:val="32"/>
        </w:rPr>
        <w:t>长</w:t>
      </w:r>
      <w:r>
        <w:rPr>
          <w:rFonts w:hint="eastAsia" w:ascii="仿宋_GB2312" w:hAnsi="仿宋_GB2312" w:eastAsia="仿宋_GB2312" w:cs="仿宋_GB2312"/>
          <w:color w:val="000000"/>
          <w:sz w:val="32"/>
        </w:rPr>
        <w:t>546%，</w:t>
      </w:r>
      <w:r>
        <w:rPr>
          <w:rFonts w:hint="eastAsia" w:ascii="仿宋_GB2312" w:hAnsi="仿宋_GB2312" w:eastAsia="仿宋_GB2312" w:cs="仿宋_GB2312"/>
          <w:color w:val="000000"/>
          <w:sz w:val="32"/>
          <w:szCs w:val="32"/>
        </w:rPr>
        <w:t>主要是机构改革，中共湖州市吴兴区委社会工作部为2024年新成立。</w:t>
      </w:r>
    </w:p>
    <w:p>
      <w:pPr>
        <w:spacing w:line="520" w:lineRule="exact"/>
        <w:ind w:firstLine="642"/>
        <w:rPr>
          <w:rFonts w:ascii="楷体_GB2312" w:hAnsi="楷体_GB2312" w:eastAsia="楷体_GB2312" w:cs="楷体_GB2312"/>
          <w:bCs/>
          <w:color w:val="000000"/>
          <w:sz w:val="32"/>
          <w:szCs w:val="32"/>
        </w:rPr>
      </w:pPr>
      <w:r>
        <w:rPr>
          <w:rFonts w:hint="eastAsia" w:ascii="仿宋_GB2312" w:eastAsia="仿宋_GB2312"/>
          <w:color w:val="000000"/>
          <w:sz w:val="32"/>
          <w:szCs w:val="32"/>
        </w:rPr>
        <w:t>其中：一般公共预算拨款收入4417.33万元（上年结转0.00万元），占100.0%。</w:t>
      </w:r>
    </w:p>
    <w:p>
      <w:pPr>
        <w:spacing w:line="520" w:lineRule="exact"/>
        <w:ind w:firstLine="642"/>
        <w:rPr>
          <w:rFonts w:ascii="仿宋_GB2312" w:eastAsia="仿宋_GB2312"/>
          <w:color w:val="000000"/>
          <w:sz w:val="32"/>
          <w:szCs w:val="32"/>
        </w:rPr>
      </w:pPr>
      <w:r>
        <w:rPr>
          <w:rFonts w:hint="eastAsia" w:ascii="楷体_GB2312" w:hAnsi="楷体_GB2312" w:eastAsia="楷体_GB2312" w:cs="楷体_GB2312"/>
          <w:bCs/>
          <w:color w:val="000000"/>
          <w:sz w:val="32"/>
          <w:szCs w:val="32"/>
        </w:rPr>
        <w:t>（三）关于区委社会工作部2025年支出预算情况说明</w:t>
      </w:r>
    </w:p>
    <w:p>
      <w:pPr>
        <w:spacing w:line="520" w:lineRule="exact"/>
        <w:ind w:firstLine="642"/>
        <w:rPr>
          <w:rFonts w:ascii="仿宋_GB2312" w:eastAsia="仿宋_GB2312"/>
          <w:color w:val="000000"/>
          <w:sz w:val="32"/>
          <w:szCs w:val="32"/>
        </w:rPr>
      </w:pPr>
      <w:r>
        <w:rPr>
          <w:rFonts w:hint="eastAsia" w:ascii="仿宋_GB2312" w:hAnsi="仿宋_GB2312" w:eastAsia="仿宋_GB2312" w:cs="仿宋_GB2312"/>
          <w:color w:val="000000"/>
          <w:sz w:val="32"/>
          <w:szCs w:val="32"/>
        </w:rPr>
        <w:t>区委社会工作部2025年支出预算4417.33万元，比上年执行数增加3733.25万元，</w:t>
      </w:r>
      <w:r>
        <w:rPr>
          <w:rFonts w:hint="eastAsia" w:ascii="仿宋_GB2312" w:hAnsi="仿宋_GB2312" w:eastAsia="仿宋_GB2312" w:cs="仿宋_GB2312"/>
          <w:color w:val="000000"/>
          <w:sz w:val="32"/>
        </w:rPr>
        <w:t>增长546%，</w:t>
      </w:r>
      <w:r>
        <w:rPr>
          <w:rFonts w:hint="eastAsia" w:ascii="仿宋_GB2312" w:hAnsi="仿宋_GB2312" w:eastAsia="仿宋_GB2312" w:cs="仿宋_GB2312"/>
          <w:color w:val="000000"/>
          <w:sz w:val="32"/>
          <w:szCs w:val="32"/>
        </w:rPr>
        <w:t>主要是机构改革，中共湖州市吴兴区委社会工作部为2024年新成立。</w:t>
      </w:r>
    </w:p>
    <w:p>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1.按支出功能分类，包括一般公共服务支出4357.06万元、社会保障和就业支出37.44万元、卫生健康支出22.83万元。</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2.按支出用途分类，包括人员支出469.79万元，占10.6%；日常公用支出78.64万元，占1.8%；项目支出3868.90万元，占87.6%。</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年终结转结余0.00万元。</w:t>
      </w:r>
    </w:p>
    <w:p>
      <w:pPr>
        <w:spacing w:line="520" w:lineRule="exact"/>
        <w:ind w:firstLine="627" w:firstLineChars="196"/>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（四）关于区委社会工作部2025年财政拨款收支预算情况的总体说明</w:t>
      </w:r>
    </w:p>
    <w:p>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区委社会工作部2025年财政拨款收支总预算4417.33万元。收入包括：一般公共预算4417.33万元；支出包括：一般公共服务支出4357.06万元、社会保障和就业支出37.44万元、卫生健康支出22.83万元、</w:t>
      </w:r>
    </w:p>
    <w:p>
      <w:pPr>
        <w:numPr>
          <w:ilvl w:val="0"/>
          <w:numId w:val="1"/>
        </w:numPr>
        <w:spacing w:line="520" w:lineRule="exact"/>
        <w:ind w:firstLine="640"/>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关于区委社会工作部2025年一般公共预算拨款情况说明</w:t>
      </w:r>
    </w:p>
    <w:p>
      <w:pPr>
        <w:spacing w:line="520" w:lineRule="exact"/>
        <w:ind w:firstLine="642"/>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pPr>
        <w:spacing w:line="520" w:lineRule="exact"/>
        <w:ind w:firstLine="642"/>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区委社会工作部2025年一般公共预算拨款</w:t>
      </w:r>
      <w:r>
        <w:rPr>
          <w:rFonts w:hint="eastAsia" w:ascii="仿宋_GB2312" w:hAnsi="仿宋_GB2312" w:eastAsia="仿宋_GB2312" w:cs="仿宋_GB2312"/>
          <w:bCs/>
          <w:color w:val="000000"/>
          <w:sz w:val="32"/>
          <w:szCs w:val="32"/>
        </w:rPr>
        <w:t>4417.33</w:t>
      </w:r>
      <w:r>
        <w:rPr>
          <w:rFonts w:hint="eastAsia" w:ascii="仿宋_GB2312" w:hAnsi="仿宋_GB2312" w:eastAsia="仿宋_GB2312" w:cs="仿宋_GB2312"/>
          <w:color w:val="000000"/>
          <w:sz w:val="32"/>
          <w:szCs w:val="32"/>
        </w:rPr>
        <w:t>万元，比上年执行数增加3733.25万元，</w:t>
      </w:r>
      <w:r>
        <w:rPr>
          <w:rFonts w:hint="eastAsia" w:ascii="仿宋_GB2312" w:hAnsi="仿宋_GB2312" w:eastAsia="仿宋_GB2312" w:cs="仿宋_GB2312"/>
          <w:color w:val="000000"/>
          <w:sz w:val="32"/>
        </w:rPr>
        <w:t>增长546%，</w:t>
      </w:r>
      <w:r>
        <w:rPr>
          <w:rFonts w:hint="eastAsia" w:ascii="仿宋_GB2312" w:hAnsi="仿宋_GB2312" w:eastAsia="仿宋_GB2312" w:cs="仿宋_GB2312"/>
          <w:color w:val="000000"/>
          <w:sz w:val="32"/>
          <w:szCs w:val="32"/>
        </w:rPr>
        <w:t>主要是机构改革，中共湖州市吴兴区委社会工作部为2024年新成立。</w:t>
      </w:r>
    </w:p>
    <w:p>
      <w:pPr>
        <w:spacing w:line="520" w:lineRule="exact"/>
        <w:ind w:firstLine="642"/>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pPr>
        <w:spacing w:line="520" w:lineRule="exact"/>
        <w:ind w:firstLine="640" w:firstLineChars="200"/>
        <w:rPr>
          <w:rFonts w:hint="eastAsia"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一般公共服务支出4357.06万元，占98.6%；社会保障和就业支出37.44万元，占0.8%；卫生健康支出22.83万元，占0.5%。</w:t>
      </w:r>
    </w:p>
    <w:p>
      <w:pPr>
        <w:spacing w:line="520" w:lineRule="exact"/>
        <w:ind w:firstLine="642"/>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3.一般公共预算拨款具体使用情况。</w:t>
      </w:r>
    </w:p>
    <w:p>
      <w:pPr>
        <w:spacing w:line="52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（1）一般公共服务支出（类）社会工作事务（款）行政运行（项）3886.98万元，主要用于行政单位的基本支出。</w:t>
      </w:r>
    </w:p>
    <w:p>
      <w:pPr>
        <w:spacing w:line="52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（2）社会保障和就业支出（类）行政事业单位养老支出（款）机关事业单位基本养老保险缴费支出（项）24.96万元，主要用于机关事业单位实施养老保险制度由单位缴纳的基本养老保险费支出。</w:t>
      </w:r>
    </w:p>
    <w:p>
      <w:pPr>
        <w:spacing w:line="52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（3）社会保障和就业支出（类）行政事业单位养老支出（款）机关事业单位职业年金缴费支出（项）12.49万元，主要用于机关事业单位实施养老保险制度由单位实际缴纳的职业年金支出。</w:t>
      </w:r>
    </w:p>
    <w:p>
      <w:pPr>
        <w:spacing w:line="52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卫生健康支出（类）行政事业单位医疗（款）行政单位医疗（项）8.15万元，主要用于财政部门安排的行政单位基本医疗保险缴费经费，未参加医疗保险的行政单位的公费医疗经费，按国家规定享受离休人员、红军老战士待遇的医疗经费。</w:t>
      </w:r>
    </w:p>
    <w:p>
      <w:pPr>
        <w:spacing w:line="52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（5）一般公共服务支出（类）社会工作事务（款）事业运行（项）288.6万元，主要用于事业单位的基本支出。</w:t>
      </w:r>
    </w:p>
    <w:p>
      <w:pPr>
        <w:spacing w:line="52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（6）卫生健康支出（类）行政事业单位医疗（款）事业单位医疗（项）14.68万元，主要用于事业单位按照国家政策为干部职工缴纳的基本医疗保险费用方面的支出。</w:t>
      </w:r>
    </w:p>
    <w:p>
      <w:pPr>
        <w:spacing w:line="520" w:lineRule="exact"/>
        <w:ind w:firstLine="640"/>
      </w:pPr>
      <w:r>
        <w:rPr>
          <w:rFonts w:hint="eastAsia" w:ascii="仿宋_GB2312" w:hAnsi="仿宋_GB2312" w:eastAsia="仿宋_GB2312" w:cs="仿宋_GB2312"/>
          <w:color w:val="000000"/>
          <w:sz w:val="32"/>
          <w:szCs w:val="32"/>
        </w:rPr>
        <w:t>（7）一般公共服务支出（类）社会工作事务（款）其他社会工作事务支出（项）181.48万元，主要用于事业类项目方面的经费支出。</w:t>
      </w:r>
    </w:p>
    <w:p>
      <w:pPr>
        <w:spacing w:line="520" w:lineRule="exact"/>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（六）关于区委社会工作部2025年一般公共预算基本支出情况说明</w:t>
      </w:r>
    </w:p>
    <w:p>
      <w:pPr>
        <w:spacing w:line="520" w:lineRule="exact"/>
        <w:ind w:firstLine="642"/>
        <w:rPr>
          <w:rFonts w:ascii="仿宋_GB2312" w:eastAsia="仿宋_GB2312"/>
          <w:color w:val="000000"/>
          <w:sz w:val="32"/>
          <w:szCs w:val="32"/>
          <w:highlight w:val="none"/>
        </w:rPr>
      </w:pPr>
      <w:r>
        <w:rPr>
          <w:rFonts w:hint="eastAsia" w:ascii="仿宋_GB2312" w:eastAsia="仿宋_GB2312"/>
          <w:color w:val="000000"/>
          <w:sz w:val="32"/>
          <w:szCs w:val="32"/>
        </w:rPr>
        <w:t>区委社会工作部2025年一般公共预算基本支出548.43万元，其中：</w:t>
      </w:r>
      <w:r>
        <w:rPr>
          <w:rFonts w:hint="eastAsia" w:ascii="仿宋_GB2312" w:eastAsia="仿宋_GB2312"/>
          <w:color w:val="000000"/>
          <w:sz w:val="32"/>
          <w:szCs w:val="32"/>
          <w:highlight w:val="none"/>
        </w:rPr>
        <w:t>人员支出469.79万元，主要包括：基本工资、津贴补贴、奖金、</w:t>
      </w:r>
      <w:r>
        <w:rPr>
          <w:rFonts w:hint="eastAsia" w:ascii="仿宋_GB2312" w:eastAsia="仿宋_GB2312"/>
          <w:color w:val="000000"/>
          <w:sz w:val="32"/>
          <w:szCs w:val="32"/>
          <w:highlight w:val="none"/>
          <w:lang w:eastAsia="zh-CN"/>
        </w:rPr>
        <w:t>伙食补助费、</w:t>
      </w:r>
      <w:r>
        <w:rPr>
          <w:rFonts w:hint="eastAsia" w:ascii="仿宋_GB2312" w:eastAsia="仿宋_GB2312"/>
          <w:color w:val="000000"/>
          <w:sz w:val="32"/>
          <w:szCs w:val="32"/>
          <w:highlight w:val="none"/>
        </w:rPr>
        <w:t>绩效工资、机关事业单位基本养老保险缴费、职业年金缴费、职工基本医疗保险缴费、公务员医疗补助缴费、其他社会保障缴费、住房公积金、医疗费、其他工资福利支出、奖励金、其他对个人和家庭的补助；</w:t>
      </w:r>
    </w:p>
    <w:p>
      <w:pPr>
        <w:spacing w:line="520" w:lineRule="exact"/>
        <w:ind w:firstLine="642"/>
        <w:rPr>
          <w:rFonts w:ascii="仿宋_GB2312" w:eastAsia="仿宋_GB2312"/>
          <w:color w:val="000000"/>
          <w:sz w:val="32"/>
          <w:szCs w:val="32"/>
          <w:highlight w:val="none"/>
        </w:rPr>
      </w:pPr>
      <w:r>
        <w:rPr>
          <w:rFonts w:hint="eastAsia" w:ascii="仿宋_GB2312" w:eastAsia="仿宋_GB2312"/>
          <w:color w:val="000000"/>
          <w:sz w:val="32"/>
          <w:szCs w:val="32"/>
          <w:highlight w:val="none"/>
        </w:rPr>
        <w:t>日常公用支出78.64万元，主要包括：办公费、邮电费、租赁费、劳务费、工会经费、福利费、其他交通费用、其他商品和服务支出、办公设备购置。</w:t>
      </w:r>
    </w:p>
    <w:p>
      <w:pPr>
        <w:spacing w:line="520" w:lineRule="exact"/>
        <w:ind w:firstLine="642"/>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（七）关于区委社会工作部2025年政府性基金预算支出情况说明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2025年没有使用政府性基金预算拨款安排的支出，与上年持平。主要是机构改革，中共湖州市吴兴区委社会工作部为2024年新成立。</w:t>
      </w:r>
    </w:p>
    <w:p>
      <w:pPr>
        <w:spacing w:line="520" w:lineRule="exact"/>
        <w:ind w:firstLine="627" w:firstLineChars="196"/>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（八）关于</w:t>
      </w:r>
      <w:r>
        <w:rPr>
          <w:rFonts w:ascii="楷体_GB2312" w:hAnsi="楷体_GB2312" w:eastAsia="楷体_GB2312" w:cs="楷体_GB2312"/>
          <w:bCs/>
          <w:color w:val="000000"/>
          <w:sz w:val="32"/>
          <w:szCs w:val="32"/>
        </w:rPr>
        <w:t>区委社会工作部</w:t>
      </w:r>
      <w:r>
        <w:rPr>
          <w:rFonts w:hint="eastAsia" w:ascii="楷体_GB2312" w:hAnsi="楷体_GB2312" w:eastAsia="楷体_GB2312" w:cs="楷体_GB2312"/>
          <w:bCs/>
          <w:color w:val="000000"/>
          <w:sz w:val="32"/>
          <w:szCs w:val="32"/>
        </w:rPr>
        <w:t>2025年国有资本经营预算支出情况说明</w:t>
      </w:r>
    </w:p>
    <w:p>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2025年没有使用国有资本经营预算拨款安排的支出，与上年持平。主要是机构改革，中共湖州市吴兴区委社会工作部为2024年新成立。</w:t>
      </w:r>
    </w:p>
    <w:p>
      <w:pPr>
        <w:ind w:firstLine="420" w:firstLineChars="200"/>
      </w:pPr>
    </w:p>
    <w:p>
      <w:pPr>
        <w:spacing w:line="520" w:lineRule="exact"/>
        <w:ind w:firstLine="627" w:firstLineChars="196"/>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（九）关于区委社会工作部2025年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pPr>
        <w:spacing w:line="520" w:lineRule="exact"/>
        <w:ind w:firstLine="640" w:firstLineChars="200"/>
        <w:rPr>
          <w:rFonts w:hint="eastAsia" w:ascii="仿宋_GB2312" w:hAnsi="仿宋_GB2312" w:eastAsia="仿宋_GB2312"/>
          <w:sz w:val="32"/>
        </w:rPr>
      </w:pPr>
      <w:r>
        <w:rPr>
          <w:rFonts w:hint="eastAsia" w:ascii="仿宋_GB2312" w:hAnsi="仿宋_GB2312" w:eastAsia="仿宋_GB2312"/>
          <w:sz w:val="32"/>
        </w:rPr>
        <w:t>区委社会工作部2025年“三公”经费预算数为0.00万元，</w:t>
      </w:r>
      <w:r>
        <w:rPr>
          <w:rFonts w:hint="eastAsia" w:ascii="仿宋_GB2312" w:hAnsi="仿宋_GB2312" w:eastAsia="仿宋_GB2312"/>
          <w:sz w:val="32"/>
          <w:shd w:val="clear" w:color="auto" w:fill="FFFFFF"/>
        </w:rPr>
        <w:t>比上年预算数减少</w:t>
      </w:r>
      <w:r>
        <w:rPr>
          <w:rFonts w:hint="eastAsia" w:ascii="仿宋_GB2312" w:hAnsi="仿宋_GB2312" w:eastAsia="仿宋_GB2312"/>
          <w:sz w:val="32"/>
        </w:rPr>
        <w:t>0.88</w:t>
      </w:r>
      <w:r>
        <w:rPr>
          <w:rFonts w:hint="eastAsia" w:ascii="仿宋_GB2312" w:hAnsi="仿宋_GB2312" w:eastAsia="仿宋_GB2312"/>
          <w:sz w:val="32"/>
          <w:shd w:val="clear" w:color="auto" w:fill="FFFFFF"/>
        </w:rPr>
        <w:t>万元，下降100%</w:t>
      </w:r>
      <w:r>
        <w:rPr>
          <w:rFonts w:hint="eastAsia" w:ascii="仿宋_GB2312" w:hAnsi="仿宋_GB2312" w:eastAsia="仿宋_GB2312"/>
          <w:sz w:val="32"/>
        </w:rPr>
        <w:t>，具体如下：</w:t>
      </w:r>
    </w:p>
    <w:p>
      <w:pPr>
        <w:spacing w:line="52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根据因公出国计划和实际工作需要，2025年安排因公出国（境）费用预算0.0</w:t>
      </w:r>
      <w:bookmarkStart w:id="0" w:name="_GoBack"/>
      <w:bookmarkEnd w:id="0"/>
      <w:r>
        <w:rPr>
          <w:rFonts w:hint="eastAsia" w:ascii="仿宋_GB2312" w:hAnsi="仿宋_GB2312" w:eastAsia="仿宋_GB2312" w:cs="仿宋_GB2312"/>
          <w:sz w:val="32"/>
          <w:szCs w:val="32"/>
        </w:rPr>
        <w:t>0万元，比上年预算数</w:t>
      </w:r>
      <w:r>
        <w:rPr>
          <w:rFonts w:hint="eastAsia" w:ascii="仿宋_GB2312" w:hAnsi="仿宋_GB2312" w:eastAsia="仿宋_GB2312"/>
          <w:sz w:val="32"/>
          <w:shd w:val="clear" w:color="auto" w:fill="FFFFFF"/>
        </w:rPr>
        <w:t>增加</w:t>
      </w:r>
      <w:r>
        <w:rPr>
          <w:rFonts w:hint="eastAsia" w:ascii="仿宋_GB2312" w:hAnsi="仿宋_GB2312" w:eastAsia="仿宋_GB2312"/>
          <w:sz w:val="32"/>
        </w:rPr>
        <w:t>（</w:t>
      </w:r>
      <w:r>
        <w:rPr>
          <w:rFonts w:hint="eastAsia" w:ascii="仿宋_GB2312" w:hAnsi="仿宋_GB2312" w:eastAsia="仿宋_GB2312"/>
          <w:sz w:val="32"/>
          <w:shd w:val="clear" w:color="auto" w:fill="FFFFFF"/>
        </w:rPr>
        <w:t>减少</w:t>
      </w:r>
      <w:r>
        <w:rPr>
          <w:rFonts w:hint="eastAsia" w:ascii="仿宋_GB2312" w:hAnsi="仿宋_GB2312" w:eastAsia="仿宋_GB2312"/>
          <w:sz w:val="32"/>
        </w:rPr>
        <w:t>）</w:t>
      </w:r>
      <w:r>
        <w:rPr>
          <w:rFonts w:hint="eastAsia" w:ascii="仿宋_GB2312" w:hAnsi="仿宋_GB2312" w:eastAsia="仿宋_GB2312"/>
          <w:sz w:val="32"/>
          <w:shd w:val="clear" w:color="auto" w:fill="FFFFFF"/>
        </w:rPr>
        <w:t>0万元，</w:t>
      </w:r>
      <w:r>
        <w:rPr>
          <w:rFonts w:hint="eastAsia" w:ascii="仿宋_GB2312" w:hAnsi="仿宋_GB2312" w:eastAsia="仿宋_GB2312" w:cs="仿宋_GB2312"/>
          <w:sz w:val="32"/>
          <w:szCs w:val="32"/>
        </w:rPr>
        <w:t>增长（下降）</w:t>
      </w:r>
      <w:r>
        <w:rPr>
          <w:rFonts w:hint="eastAsia" w:ascii="仿宋_GB2312" w:eastAsia="仿宋_GB2312"/>
          <w:color w:val="000000"/>
          <w:sz w:val="32"/>
          <w:szCs w:val="32"/>
        </w:rPr>
        <w:t>0</w:t>
      </w:r>
      <w:r>
        <w:rPr>
          <w:rFonts w:hint="eastAsia" w:ascii="仿宋_GB2312" w:hAnsi="仿宋_GB2312" w:eastAsia="仿宋_GB2312" w:cs="仿宋_GB2312"/>
          <w:sz w:val="32"/>
          <w:szCs w:val="32"/>
        </w:rPr>
        <w:t>%。</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2.公务接待费：2025年安排公务接待费预算0.00万元，比上年预算数</w:t>
      </w:r>
      <w:r>
        <w:rPr>
          <w:rFonts w:hint="eastAsia" w:ascii="仿宋_GB2312" w:hAnsi="仿宋_GB2312" w:eastAsia="仿宋_GB2312"/>
          <w:sz w:val="32"/>
          <w:shd w:val="clear" w:color="auto" w:fill="FFFFFF"/>
        </w:rPr>
        <w:t>减少0.88万元，</w:t>
      </w:r>
      <w:r>
        <w:rPr>
          <w:rFonts w:hint="eastAsia" w:ascii="仿宋_GB2312" w:hAnsi="仿宋_GB2312" w:eastAsia="仿宋_GB2312" w:cs="仿宋_GB2312"/>
          <w:sz w:val="32"/>
          <w:szCs w:val="32"/>
        </w:rPr>
        <w:t>下降10</w:t>
      </w:r>
      <w:r>
        <w:rPr>
          <w:rFonts w:hint="eastAsia" w:ascii="仿宋_GB2312" w:eastAsia="仿宋_GB2312"/>
          <w:color w:val="000000"/>
          <w:sz w:val="32"/>
          <w:szCs w:val="32"/>
        </w:rPr>
        <w:t>0</w:t>
      </w:r>
      <w:r>
        <w:rPr>
          <w:rFonts w:hint="eastAsia" w:ascii="仿宋_GB2312" w:hAnsi="仿宋_GB2312" w:eastAsia="仿宋_GB2312" w:cs="仿宋_GB2312"/>
          <w:sz w:val="32"/>
          <w:szCs w:val="32"/>
        </w:rPr>
        <w:t>%。</w:t>
      </w:r>
    </w:p>
    <w:p>
      <w:pPr>
        <w:pStyle w:val="17"/>
        <w:spacing w:line="520" w:lineRule="exact"/>
        <w:ind w:firstLine="640" w:firstLineChars="200"/>
        <w:rPr>
          <w:rFonts w:ascii="仿宋_GB2312" w:eastAsia="仿宋_GB2312"/>
          <w:b/>
          <w:bCs/>
          <w:sz w:val="32"/>
          <w:szCs w:val="32"/>
        </w:rPr>
      </w:pPr>
      <w:r>
        <w:rPr>
          <w:rFonts w:hint="eastAsia" w:ascii="仿宋_GB2312" w:eastAsia="仿宋_GB2312"/>
          <w:sz w:val="32"/>
          <w:szCs w:val="32"/>
        </w:rPr>
        <w:t>3.公务用车购置及运行维护费：2025年安排公务用车购置及运行维护费预算0.00万元，比上年预算数</w:t>
      </w:r>
      <w:r>
        <w:rPr>
          <w:rFonts w:hint="eastAsia" w:ascii="仿宋_GB2312" w:hAnsi="仿宋_GB2312" w:eastAsia="仿宋_GB2312"/>
          <w:sz w:val="32"/>
          <w:shd w:val="clear" w:color="auto" w:fill="FFFFFF"/>
        </w:rPr>
        <w:t>增加</w:t>
      </w:r>
      <w:r>
        <w:rPr>
          <w:rFonts w:hint="eastAsia" w:ascii="仿宋_GB2312" w:hAnsi="仿宋_GB2312" w:eastAsia="仿宋_GB2312"/>
          <w:sz w:val="32"/>
        </w:rPr>
        <w:t>（</w:t>
      </w:r>
      <w:r>
        <w:rPr>
          <w:rFonts w:hint="eastAsia" w:ascii="仿宋_GB2312" w:hAnsi="仿宋_GB2312" w:eastAsia="仿宋_GB2312"/>
          <w:sz w:val="32"/>
          <w:shd w:val="clear" w:color="auto" w:fill="FFFFFF"/>
        </w:rPr>
        <w:t>减少</w:t>
      </w:r>
      <w:r>
        <w:rPr>
          <w:rFonts w:hint="eastAsia" w:ascii="仿宋_GB2312" w:hAnsi="仿宋_GB2312" w:eastAsia="仿宋_GB2312"/>
          <w:sz w:val="32"/>
        </w:rPr>
        <w:t>）</w:t>
      </w:r>
      <w:r>
        <w:rPr>
          <w:rFonts w:hint="eastAsia" w:ascii="仿宋_GB2312" w:hAnsi="仿宋_GB2312" w:eastAsia="仿宋_GB2312"/>
          <w:sz w:val="32"/>
          <w:shd w:val="clear" w:color="auto" w:fill="FFFFFF"/>
        </w:rPr>
        <w:t>0万元，</w:t>
      </w:r>
      <w:r>
        <w:rPr>
          <w:rFonts w:hint="eastAsia" w:ascii="仿宋_GB2312" w:eastAsia="仿宋_GB2312"/>
          <w:sz w:val="32"/>
          <w:szCs w:val="32"/>
        </w:rPr>
        <w:t>增长（下降）</w:t>
      </w:r>
      <w:r>
        <w:rPr>
          <w:rFonts w:hint="eastAsia" w:ascii="仿宋_GB2312" w:eastAsia="仿宋_GB2312"/>
          <w:color w:val="000000"/>
          <w:sz w:val="32"/>
          <w:szCs w:val="32"/>
        </w:rPr>
        <w:t>0</w:t>
      </w:r>
      <w:r>
        <w:rPr>
          <w:rFonts w:hint="eastAsia" w:ascii="仿宋_GB2312" w:eastAsia="仿宋_GB2312"/>
          <w:sz w:val="32"/>
          <w:szCs w:val="32"/>
        </w:rPr>
        <w:t>%。其中，公务用车购置支出0.00万元（含购置税等附加费用），主要用于经批准购置的</w:t>
      </w:r>
      <w:r>
        <w:rPr>
          <w:rFonts w:hint="eastAsia" w:ascii="仿宋_GB2312" w:eastAsia="仿宋_GB2312"/>
          <w:color w:val="000000"/>
          <w:sz w:val="32"/>
          <w:szCs w:val="32"/>
        </w:rPr>
        <w:t>0</w:t>
      </w:r>
      <w:r>
        <w:rPr>
          <w:rFonts w:hint="eastAsia" w:ascii="仿宋_GB2312" w:eastAsia="仿宋_GB2312"/>
          <w:sz w:val="32"/>
          <w:szCs w:val="32"/>
        </w:rPr>
        <w:t>辆公务用车，比上年预算数增加（减少）0万元，增长（下降）0%；公务用车运行维护费支出0.00万元，主要用于公务用车燃料费、新能源汽车充电费、维修费、过桥过路费、保险费、安全奖励费用等支出。比上年预算数增加（减少）0万元，增长（减少）0%。</w:t>
      </w:r>
    </w:p>
    <w:p>
      <w:pPr>
        <w:spacing w:line="520" w:lineRule="exact"/>
        <w:ind w:firstLine="627" w:firstLineChars="196"/>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spacing w:line="520" w:lineRule="exact"/>
        <w:ind w:firstLine="642"/>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1.机关运行经费。</w:t>
      </w:r>
    </w:p>
    <w:p>
      <w:pPr>
        <w:spacing w:line="520" w:lineRule="exact"/>
        <w:ind w:firstLine="642"/>
        <w:rPr>
          <w:rFonts w:ascii="仿宋_GB2312" w:eastAsia="仿宋_GB2312"/>
          <w:sz w:val="32"/>
          <w:szCs w:val="32"/>
        </w:rPr>
      </w:pPr>
      <w:r>
        <w:rPr>
          <w:rFonts w:hint="eastAsia" w:ascii="仿宋_GB2312" w:eastAsia="仿宋_GB2312"/>
          <w:sz w:val="32"/>
          <w:szCs w:val="32"/>
        </w:rPr>
        <w:t>2025年区委社会工作部</w:t>
      </w:r>
      <w:r>
        <w:rPr>
          <w:rFonts w:hint="eastAsia" w:ascii="仿宋_GB2312" w:eastAsia="仿宋_GB2312"/>
          <w:color w:val="000000"/>
          <w:sz w:val="32"/>
          <w:szCs w:val="32"/>
        </w:rPr>
        <w:t>本级1家行政单位的机关运行经费财政拨款预算61.06万元，比上年预算增加54.16万元，比上年预算增加49.23</w:t>
      </w:r>
      <w:r>
        <w:rPr>
          <w:rFonts w:hint="eastAsia" w:ascii="仿宋_GB2312" w:eastAsia="仿宋_GB2312"/>
          <w:sz w:val="32"/>
          <w:szCs w:val="32"/>
        </w:rPr>
        <w:t>万元</w:t>
      </w:r>
      <w:r>
        <w:rPr>
          <w:rFonts w:hint="eastAsia" w:ascii="仿宋_GB2312" w:hAnsi="仿宋_GB2312" w:eastAsia="仿宋_GB2312"/>
          <w:sz w:val="32"/>
        </w:rPr>
        <w:t>，增长999%，主要是</w:t>
      </w:r>
      <w:r>
        <w:rPr>
          <w:rFonts w:hint="eastAsia" w:ascii="仿宋_GB2312" w:eastAsia="仿宋_GB2312"/>
          <w:color w:val="000000"/>
          <w:sz w:val="32"/>
          <w:szCs w:val="32"/>
        </w:rPr>
        <w:t>机构改革，中共湖州市吴兴区委社会工作部为2024年新成立。</w:t>
      </w:r>
    </w:p>
    <w:p>
      <w:pPr>
        <w:pStyle w:val="17"/>
        <w:numPr>
          <w:ilvl w:val="0"/>
          <w:numId w:val="2"/>
        </w:numPr>
        <w:spacing w:line="520" w:lineRule="exact"/>
        <w:ind w:firstLine="600"/>
        <w:rPr>
          <w:rFonts w:ascii="仿宋_GB2312" w:eastAsia="仿宋_GB2312"/>
          <w:b/>
          <w:bCs/>
          <w:sz w:val="32"/>
          <w:szCs w:val="32"/>
        </w:rPr>
      </w:pPr>
      <w:r>
        <w:rPr>
          <w:rFonts w:hint="eastAsia" w:ascii="仿宋_GB2312" w:eastAsia="仿宋_GB2312"/>
          <w:b/>
          <w:bCs/>
          <w:sz w:val="32"/>
          <w:szCs w:val="32"/>
        </w:rPr>
        <w:t>政府采购情况。</w:t>
      </w:r>
    </w:p>
    <w:p>
      <w:pPr>
        <w:pStyle w:val="17"/>
        <w:spacing w:line="520" w:lineRule="exact"/>
        <w:ind w:firstLine="640" w:firstLineChars="200"/>
        <w:rPr>
          <w:rFonts w:ascii="仿宋_GB2312" w:eastAsia="仿宋_GB2312"/>
          <w:sz w:val="32"/>
          <w:szCs w:val="32"/>
        </w:rPr>
      </w:pPr>
      <w:r>
        <w:rPr>
          <w:rFonts w:hint="eastAsia" w:ascii="仿宋_GB2312" w:eastAsia="仿宋_GB2312"/>
          <w:sz w:val="32"/>
          <w:szCs w:val="32"/>
        </w:rPr>
        <w:t>2025年区委社会工作部</w:t>
      </w:r>
      <w:r>
        <w:rPr>
          <w:rFonts w:hint="eastAsia" w:ascii="仿宋_GB2312" w:eastAsia="仿宋_GB2312"/>
          <w:color w:val="000000"/>
          <w:sz w:val="32"/>
          <w:szCs w:val="32"/>
        </w:rPr>
        <w:t>各单位政府采购预算总额</w:t>
      </w:r>
      <w:r>
        <w:rPr>
          <w:rFonts w:ascii="仿宋_GB2312" w:eastAsia="仿宋_GB2312"/>
          <w:color w:val="000000"/>
          <w:sz w:val="32"/>
          <w:szCs w:val="32"/>
        </w:rPr>
        <w:t>145.00</w:t>
      </w:r>
      <w:r>
        <w:rPr>
          <w:rFonts w:hint="eastAsia" w:ascii="仿宋_GB2312" w:eastAsia="仿宋_GB2312"/>
          <w:color w:val="000000"/>
          <w:sz w:val="32"/>
          <w:szCs w:val="32"/>
        </w:rPr>
        <w:t>万元，其中：政府采购货物预算100.00万元、政府采购工程预算0.00万元、政府采购服务预算</w:t>
      </w:r>
      <w:r>
        <w:rPr>
          <w:rFonts w:ascii="仿宋_GB2312" w:eastAsia="仿宋_GB2312"/>
          <w:color w:val="000000"/>
          <w:sz w:val="32"/>
          <w:szCs w:val="32"/>
        </w:rPr>
        <w:t>45.00</w:t>
      </w:r>
      <w:r>
        <w:rPr>
          <w:rFonts w:hint="eastAsia" w:ascii="仿宋_GB2312" w:eastAsia="仿宋_GB2312"/>
          <w:color w:val="000000"/>
          <w:sz w:val="32"/>
          <w:szCs w:val="32"/>
        </w:rPr>
        <w:t>万元。</w:t>
      </w:r>
    </w:p>
    <w:p>
      <w:pPr>
        <w:pStyle w:val="17"/>
        <w:spacing w:line="520" w:lineRule="exact"/>
        <w:ind w:firstLine="642"/>
        <w:rPr>
          <w:rFonts w:ascii="仿宋_GB2312" w:eastAsia="仿宋_GB2312"/>
          <w:sz w:val="32"/>
          <w:szCs w:val="32"/>
        </w:rPr>
      </w:pPr>
      <w:r>
        <w:rPr>
          <w:rFonts w:hint="eastAsia" w:ascii="仿宋_GB2312" w:eastAsia="仿宋_GB2312"/>
          <w:b/>
          <w:bCs/>
          <w:sz w:val="32"/>
          <w:szCs w:val="32"/>
        </w:rPr>
        <w:t>3.国有资产占有使用情况。</w:t>
      </w:r>
    </w:p>
    <w:p>
      <w:pPr>
        <w:spacing w:line="52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截至2024年12月31日，区委社会工作部所属各预算单位共有车辆0</w:t>
      </w:r>
      <w:r>
        <w:rPr>
          <w:rFonts w:hint="eastAsia" w:ascii="仿宋_GB2312" w:hAnsi="仿宋_GB2312" w:eastAsia="仿宋_GB2312" w:cs="仿宋_GB2312"/>
          <w:sz w:val="32"/>
          <w:szCs w:val="32"/>
        </w:rPr>
        <w:t xml:space="preserve">辆，其中，应急保障用车0辆、老干部服务用车0辆、执法执勤用车0辆、特种专业技术用车0辆、行政执法专用车0辆、其他用车0辆。单位价值100万元以上设备0台（套）。 </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w:t>
      </w:r>
      <w:r>
        <w:rPr>
          <w:rFonts w:ascii="仿宋_GB2312" w:hAnsi="仿宋_GB2312" w:eastAsia="仿宋_GB2312" w:cs="仿宋_GB2312"/>
          <w:sz w:val="32"/>
          <w:szCs w:val="32"/>
        </w:rPr>
        <w:t>部门预算安排购置车辆</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辆，其中，应急保障用车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辆、执法执勤用车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辆、老干部服务用车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辆、行政执法专用车</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辆</w:t>
      </w:r>
      <w:r>
        <w:rPr>
          <w:rFonts w:hint="eastAsia" w:ascii="仿宋_GB2312" w:hAnsi="仿宋_GB2312" w:eastAsia="仿宋_GB2312" w:cs="仿宋_GB2312"/>
          <w:sz w:val="32"/>
          <w:szCs w:val="32"/>
        </w:rPr>
        <w:t>、其他用车0辆</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2025年</w:t>
      </w:r>
      <w:r>
        <w:rPr>
          <w:rFonts w:ascii="仿宋_GB2312" w:hAnsi="仿宋_GB2312" w:eastAsia="仿宋_GB2312" w:cs="仿宋_GB2312"/>
          <w:sz w:val="32"/>
          <w:szCs w:val="32"/>
        </w:rPr>
        <w:t>部门预算安排购置单位价值100万元以上设备</w:t>
      </w:r>
      <w:r>
        <w:rPr>
          <w:rFonts w:hint="eastAsia" w:ascii="仿宋_GB2312" w:hAnsi="仿宋_GB2312" w:eastAsia="仿宋_GB2312" w:cs="仿宋_GB2312"/>
          <w:sz w:val="32"/>
          <w:szCs w:val="32"/>
        </w:rPr>
        <w:t>0</w:t>
      </w:r>
      <w:r>
        <w:rPr>
          <w:rFonts w:ascii="仿宋_GB2312" w:hAnsi="仿宋_GB2312" w:eastAsia="仿宋_GB2312" w:cs="仿宋_GB2312"/>
          <w:sz w:val="32"/>
          <w:szCs w:val="32"/>
        </w:rPr>
        <w:t>台（套）。</w:t>
      </w:r>
    </w:p>
    <w:p>
      <w:pPr>
        <w:pStyle w:val="17"/>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ind w:firstLine="640" w:firstLineChars="200"/>
      </w:pPr>
      <w:r>
        <w:rPr>
          <w:rFonts w:hint="eastAsia" w:ascii="仿宋_GB2312" w:hAnsi="仿宋_GB2312" w:eastAsia="仿宋_GB2312" w:cs="仿宋_GB2312"/>
          <w:sz w:val="32"/>
          <w:szCs w:val="32"/>
        </w:rPr>
        <w:t>2025年</w:t>
      </w:r>
      <w:r>
        <w:rPr>
          <w:rFonts w:ascii="仿宋_GB2312" w:hAnsi="仿宋_GB2312" w:eastAsia="仿宋_GB2312" w:cs="仿宋_GB2312"/>
          <w:sz w:val="32"/>
          <w:szCs w:val="32"/>
        </w:rPr>
        <w:t>区委社会工作部其他运转类项目和特定目标类项目均实行绩效目标管理，共计4个一级项目，涉及当年资金3868.90万元。同时，将按照相关制度规定开展绩效自评。一级项目绩效目标表，详见“部门项目支出绩效表”</w:t>
      </w:r>
      <w:r>
        <w:rPr>
          <w:rFonts w:hint="eastAsia" w:ascii="仿宋_GB2312" w:hAnsi="仿宋_GB2312" w:eastAsia="仿宋_GB2312" w:cs="仿宋_GB2312"/>
          <w:sz w:val="32"/>
          <w:szCs w:val="32"/>
        </w:rPr>
        <w:t>。</w:t>
      </w:r>
    </w:p>
    <w:p>
      <w:pPr>
        <w:pStyle w:val="17"/>
        <w:spacing w:line="520" w:lineRule="exact"/>
        <w:ind w:firstLine="640" w:firstLineChars="200"/>
        <w:rPr>
          <w:rFonts w:hint="eastAsia"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6.上年结转结余：包括财政拨款结转结余、财政专户管理结转结余和单位资金结转结余。</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三公”经费：纳入财政预决算管理的“三公”经费，是指部门用一般公共预算财政拨款安排的因公出国（境）费用、公务用车购置及运行费和公务接待费。其中，因公出国（境）费用反映单位公务出国（境）的国际旅费、国外城市间交通费、住宿费、伙食费、培训费、公杂费等支出，不含教学科研人员学术交流出国（境）费用；公务用车购置及运行费反映单位公务用车车辆购置支出（含车辆购置税）及燃料费、新能源汽车充电费、维修费、过桥过路费、保险费、安全奖励费用等支出；公务接待费反映单位按规定开支的各类公务接待（含外宾接待）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机关运行经费：指为保障行政单位（含参照公务员法管理的事业单位）运行用于购买货物和服务的各项资金，包括办公费、印刷费、邮电费、差旅费、会议费、福利费、日常维修费、专用材料费及办公设备购置费、办公用房水电费、办公用房取暖费、办公用房物业管理费、公务用车运行维护费以及其他费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11.一般公共服务支出（类）社会工作事务（款）行政运行（项）：反映行政单位的基本支出。 </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12.一般公共服务支出（类）社会工作事务（款）其他社会工作事务支出（项）：反映机关事业单位用于其他社会工作事务的支出。</w:t>
      </w:r>
    </w:p>
    <w:p>
      <w:pPr>
        <w:spacing w:line="560" w:lineRule="exact"/>
        <w:ind w:firstLine="640" w:firstLineChars="200"/>
      </w:pPr>
      <w:r>
        <w:rPr>
          <w:rFonts w:hint="eastAsia" w:ascii="仿宋_GB2312" w:hAnsi="仿宋_GB2312" w:eastAsia="仿宋_GB2312" w:cs="仿宋_GB2312"/>
          <w:sz w:val="32"/>
          <w:szCs w:val="32"/>
        </w:rPr>
        <w:t xml:space="preserve">13.一般公共服务支出（类）社会工作事务（款）事业运行（项）：反映事业单位的基本支出。 </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14.社会保障和就业支出（类）行政事业单位养老支出（款）机关事业单位基本养老保险缴费支出（项）：反映机关事业单位实施养老保险制度由单位缴纳的基本养老保险费缴费支出。                                                    </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15.社会保障和就业支出（类）行政事业单位养老支出（款）机关事业单位职业年金缴费支出（项）：反映机关事业单位实施养老保险制度由单位缴纳的职业年金支出。                                                 </w:t>
      </w:r>
    </w:p>
    <w:p>
      <w:pPr>
        <w:spacing w:line="52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16.卫生健康支出(类)行政事业单位医疗(款)行政单位医疗（项）：</w:t>
      </w:r>
      <w:r>
        <w:rPr>
          <w:rFonts w:hint="eastAsia" w:ascii="仿宋_GB2312" w:hAnsi="仿宋_GB2312" w:eastAsia="仿宋_GB2312" w:cs="仿宋_GB2312"/>
          <w:color w:val="000000"/>
          <w:sz w:val="32"/>
          <w:szCs w:val="32"/>
        </w:rPr>
        <w:t>财政部门安排的行政单位基本医疗保险缴费经费，未参加医疗保险的行政单位的公费医疗经费，按国家规定享受离休人员、红军老战士待遇的医疗经费。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17.卫生健康支出(类)行政事业单位医疗(款)事业单位医疗（项）：反映财政部门集中安排的事业单位基本医疗保险缴费经费。</w:t>
      </w:r>
    </w:p>
    <w:p>
      <w:pPr>
        <w:pStyle w:val="2"/>
      </w:pPr>
    </w:p>
    <w:p>
      <w:pPr>
        <w:pStyle w:val="2"/>
      </w:pPr>
    </w:p>
    <w:p/>
    <w:sectPr>
      <w:footerReference r:id="rId3" w:type="default"/>
      <w:pgSz w:w="11906" w:h="16838"/>
      <w:pgMar w:top="1440" w:right="1800" w:bottom="1440" w:left="180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ourier New">
    <w:altName w:val="DejaVu Sans"/>
    <w:panose1 w:val="02070309020205020404"/>
    <w:charset w:val="00"/>
    <w:family w:val="modern"/>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3F62F"/>
    <w:multiLevelType w:val="singleLevel"/>
    <w:tmpl w:val="5893F62F"/>
    <w:lvl w:ilvl="0" w:tentative="0">
      <w:start w:val="2"/>
      <w:numFmt w:val="decimal"/>
      <w:suff w:val="nothing"/>
      <w:lvlText w:val="%1."/>
      <w:lvlJc w:val="left"/>
    </w:lvl>
  </w:abstractNum>
  <w:abstractNum w:abstractNumId="1">
    <w:nsid w:val="5895A99C"/>
    <w:multiLevelType w:val="singleLevel"/>
    <w:tmpl w:val="5895A99C"/>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8453C"/>
    <w:rsid w:val="0002642F"/>
    <w:rsid w:val="00037FBA"/>
    <w:rsid w:val="00084C3B"/>
    <w:rsid w:val="000F6704"/>
    <w:rsid w:val="0014553D"/>
    <w:rsid w:val="00151805"/>
    <w:rsid w:val="0018453C"/>
    <w:rsid w:val="00225BBF"/>
    <w:rsid w:val="00233C98"/>
    <w:rsid w:val="0025199F"/>
    <w:rsid w:val="00262069"/>
    <w:rsid w:val="00262BFB"/>
    <w:rsid w:val="0029677C"/>
    <w:rsid w:val="002D46DD"/>
    <w:rsid w:val="002E190E"/>
    <w:rsid w:val="00312421"/>
    <w:rsid w:val="0034320B"/>
    <w:rsid w:val="0035041B"/>
    <w:rsid w:val="003533AA"/>
    <w:rsid w:val="00372A55"/>
    <w:rsid w:val="0039638D"/>
    <w:rsid w:val="003A54FF"/>
    <w:rsid w:val="003C7BA3"/>
    <w:rsid w:val="004B141E"/>
    <w:rsid w:val="004B1C55"/>
    <w:rsid w:val="004C1A7E"/>
    <w:rsid w:val="004F65D0"/>
    <w:rsid w:val="004F6D96"/>
    <w:rsid w:val="0054517F"/>
    <w:rsid w:val="0055355B"/>
    <w:rsid w:val="00576237"/>
    <w:rsid w:val="005C2E6B"/>
    <w:rsid w:val="005E47B3"/>
    <w:rsid w:val="005E7D52"/>
    <w:rsid w:val="00655F61"/>
    <w:rsid w:val="00667EBC"/>
    <w:rsid w:val="006C39E2"/>
    <w:rsid w:val="006D5442"/>
    <w:rsid w:val="006D7FE3"/>
    <w:rsid w:val="006E0740"/>
    <w:rsid w:val="006E085B"/>
    <w:rsid w:val="006F455E"/>
    <w:rsid w:val="007072D9"/>
    <w:rsid w:val="0073245A"/>
    <w:rsid w:val="007715EF"/>
    <w:rsid w:val="00782FB0"/>
    <w:rsid w:val="007A0C65"/>
    <w:rsid w:val="007B431F"/>
    <w:rsid w:val="007E4CC3"/>
    <w:rsid w:val="007E5EFB"/>
    <w:rsid w:val="00801E01"/>
    <w:rsid w:val="00834DDF"/>
    <w:rsid w:val="00850DC9"/>
    <w:rsid w:val="00882C0A"/>
    <w:rsid w:val="0089440C"/>
    <w:rsid w:val="00916ABC"/>
    <w:rsid w:val="009415A1"/>
    <w:rsid w:val="009427F2"/>
    <w:rsid w:val="00943339"/>
    <w:rsid w:val="009444AA"/>
    <w:rsid w:val="009A7459"/>
    <w:rsid w:val="009B71E7"/>
    <w:rsid w:val="009C4B77"/>
    <w:rsid w:val="00A76362"/>
    <w:rsid w:val="00A86842"/>
    <w:rsid w:val="00AB2741"/>
    <w:rsid w:val="00AC7742"/>
    <w:rsid w:val="00B109C2"/>
    <w:rsid w:val="00B11C03"/>
    <w:rsid w:val="00B16EAB"/>
    <w:rsid w:val="00B311F8"/>
    <w:rsid w:val="00B7532A"/>
    <w:rsid w:val="00BA6311"/>
    <w:rsid w:val="00C35F38"/>
    <w:rsid w:val="00C47BB8"/>
    <w:rsid w:val="00C52D1F"/>
    <w:rsid w:val="00C75827"/>
    <w:rsid w:val="00C823A9"/>
    <w:rsid w:val="00CA4684"/>
    <w:rsid w:val="00CE3F52"/>
    <w:rsid w:val="00D81B35"/>
    <w:rsid w:val="00DA6F5B"/>
    <w:rsid w:val="00DA7F84"/>
    <w:rsid w:val="00E16E78"/>
    <w:rsid w:val="00E20FB4"/>
    <w:rsid w:val="00E37BE0"/>
    <w:rsid w:val="00E40834"/>
    <w:rsid w:val="00E429D8"/>
    <w:rsid w:val="00E44C58"/>
    <w:rsid w:val="00E72378"/>
    <w:rsid w:val="00E925CD"/>
    <w:rsid w:val="00F23B56"/>
    <w:rsid w:val="00F56A05"/>
    <w:rsid w:val="00F6374C"/>
    <w:rsid w:val="00F7116F"/>
    <w:rsid w:val="00F73C07"/>
    <w:rsid w:val="00F82550"/>
    <w:rsid w:val="00FB1AD5"/>
    <w:rsid w:val="01405C62"/>
    <w:rsid w:val="015C0D77"/>
    <w:rsid w:val="01F263DB"/>
    <w:rsid w:val="024C6702"/>
    <w:rsid w:val="02632622"/>
    <w:rsid w:val="026505B4"/>
    <w:rsid w:val="028630A1"/>
    <w:rsid w:val="03497EAB"/>
    <w:rsid w:val="03AA3E3B"/>
    <w:rsid w:val="03EA5C50"/>
    <w:rsid w:val="05054F3D"/>
    <w:rsid w:val="05227854"/>
    <w:rsid w:val="0538011A"/>
    <w:rsid w:val="054D0FA3"/>
    <w:rsid w:val="05F46152"/>
    <w:rsid w:val="05F835B0"/>
    <w:rsid w:val="063B27DE"/>
    <w:rsid w:val="065E25EC"/>
    <w:rsid w:val="06835E42"/>
    <w:rsid w:val="06FC7ED4"/>
    <w:rsid w:val="07623DA7"/>
    <w:rsid w:val="077B34F3"/>
    <w:rsid w:val="07907D66"/>
    <w:rsid w:val="081119C7"/>
    <w:rsid w:val="081A0728"/>
    <w:rsid w:val="08DE4DFD"/>
    <w:rsid w:val="08FE14ED"/>
    <w:rsid w:val="09002112"/>
    <w:rsid w:val="09C31824"/>
    <w:rsid w:val="0A1D1E06"/>
    <w:rsid w:val="0A4C7CCD"/>
    <w:rsid w:val="0B486D9D"/>
    <w:rsid w:val="0BD448F3"/>
    <w:rsid w:val="0C7B7749"/>
    <w:rsid w:val="0CE2397A"/>
    <w:rsid w:val="0CEE5818"/>
    <w:rsid w:val="0DDF3EA9"/>
    <w:rsid w:val="0F0A0BC6"/>
    <w:rsid w:val="0F3E23E2"/>
    <w:rsid w:val="0F5C4EB1"/>
    <w:rsid w:val="0F760C96"/>
    <w:rsid w:val="0F851054"/>
    <w:rsid w:val="0FFC24E5"/>
    <w:rsid w:val="1085571C"/>
    <w:rsid w:val="11387C8E"/>
    <w:rsid w:val="119C1C51"/>
    <w:rsid w:val="11F64BCE"/>
    <w:rsid w:val="124E1058"/>
    <w:rsid w:val="12970A77"/>
    <w:rsid w:val="12B72665"/>
    <w:rsid w:val="12D300E7"/>
    <w:rsid w:val="13725DAD"/>
    <w:rsid w:val="13811EEE"/>
    <w:rsid w:val="14EF3497"/>
    <w:rsid w:val="150D68D8"/>
    <w:rsid w:val="153B4AAC"/>
    <w:rsid w:val="153C45B3"/>
    <w:rsid w:val="15420797"/>
    <w:rsid w:val="157947AC"/>
    <w:rsid w:val="15DB09EF"/>
    <w:rsid w:val="15E27884"/>
    <w:rsid w:val="1650535C"/>
    <w:rsid w:val="165642D9"/>
    <w:rsid w:val="16F374C9"/>
    <w:rsid w:val="17EC7FC1"/>
    <w:rsid w:val="17F81734"/>
    <w:rsid w:val="180D7344"/>
    <w:rsid w:val="18D04290"/>
    <w:rsid w:val="18EF3804"/>
    <w:rsid w:val="195C3A7E"/>
    <w:rsid w:val="1A14325B"/>
    <w:rsid w:val="1A2375F0"/>
    <w:rsid w:val="1A9C6906"/>
    <w:rsid w:val="1AC0275A"/>
    <w:rsid w:val="1B1D1342"/>
    <w:rsid w:val="1B2A6629"/>
    <w:rsid w:val="1B6E51E0"/>
    <w:rsid w:val="1BEFDAEA"/>
    <w:rsid w:val="1C103D2D"/>
    <w:rsid w:val="1C1965EC"/>
    <w:rsid w:val="1C652CAB"/>
    <w:rsid w:val="1C7701B9"/>
    <w:rsid w:val="1D99665F"/>
    <w:rsid w:val="1E2850F6"/>
    <w:rsid w:val="1E5122F2"/>
    <w:rsid w:val="1E621D9B"/>
    <w:rsid w:val="1E6238F6"/>
    <w:rsid w:val="1E945AB3"/>
    <w:rsid w:val="1EBB0876"/>
    <w:rsid w:val="1EFB5835"/>
    <w:rsid w:val="1FBBB295"/>
    <w:rsid w:val="2008260C"/>
    <w:rsid w:val="205247F6"/>
    <w:rsid w:val="20C21B5F"/>
    <w:rsid w:val="20D018DC"/>
    <w:rsid w:val="20D8491F"/>
    <w:rsid w:val="217D79B3"/>
    <w:rsid w:val="217F2C1F"/>
    <w:rsid w:val="219B3B12"/>
    <w:rsid w:val="21F8300E"/>
    <w:rsid w:val="22632C64"/>
    <w:rsid w:val="22A22428"/>
    <w:rsid w:val="22D4227E"/>
    <w:rsid w:val="22FA27EC"/>
    <w:rsid w:val="230477A4"/>
    <w:rsid w:val="234550B7"/>
    <w:rsid w:val="23565231"/>
    <w:rsid w:val="2384696C"/>
    <w:rsid w:val="23B968AE"/>
    <w:rsid w:val="240772FF"/>
    <w:rsid w:val="24183DF0"/>
    <w:rsid w:val="247778DD"/>
    <w:rsid w:val="247A77A8"/>
    <w:rsid w:val="2492204D"/>
    <w:rsid w:val="24D6630F"/>
    <w:rsid w:val="24F84929"/>
    <w:rsid w:val="257B506C"/>
    <w:rsid w:val="25DE1005"/>
    <w:rsid w:val="25E7758C"/>
    <w:rsid w:val="25F31947"/>
    <w:rsid w:val="260A1E20"/>
    <w:rsid w:val="26816946"/>
    <w:rsid w:val="26DB7398"/>
    <w:rsid w:val="2705728B"/>
    <w:rsid w:val="27417BF8"/>
    <w:rsid w:val="27693B45"/>
    <w:rsid w:val="27E22CAD"/>
    <w:rsid w:val="283A129B"/>
    <w:rsid w:val="28C67844"/>
    <w:rsid w:val="294F0255"/>
    <w:rsid w:val="29DF16A7"/>
    <w:rsid w:val="29F74F67"/>
    <w:rsid w:val="2A484907"/>
    <w:rsid w:val="2B755902"/>
    <w:rsid w:val="2BA81833"/>
    <w:rsid w:val="2BAC3F70"/>
    <w:rsid w:val="2BB62055"/>
    <w:rsid w:val="2BDB7C6F"/>
    <w:rsid w:val="2C56166B"/>
    <w:rsid w:val="2C772798"/>
    <w:rsid w:val="2CC5167C"/>
    <w:rsid w:val="2CDD3333"/>
    <w:rsid w:val="2CE33635"/>
    <w:rsid w:val="2D391980"/>
    <w:rsid w:val="2DE95528"/>
    <w:rsid w:val="2EAF564A"/>
    <w:rsid w:val="2EBDA9BD"/>
    <w:rsid w:val="2ED263DE"/>
    <w:rsid w:val="2EDC147D"/>
    <w:rsid w:val="2EEB4AB9"/>
    <w:rsid w:val="2F312BD6"/>
    <w:rsid w:val="2F4F315F"/>
    <w:rsid w:val="2F5260FE"/>
    <w:rsid w:val="2FD3FF93"/>
    <w:rsid w:val="30780EC9"/>
    <w:rsid w:val="309E79BA"/>
    <w:rsid w:val="31C46552"/>
    <w:rsid w:val="31EC7268"/>
    <w:rsid w:val="32691E0F"/>
    <w:rsid w:val="335D7FDB"/>
    <w:rsid w:val="33722AF4"/>
    <w:rsid w:val="337D43E4"/>
    <w:rsid w:val="339F5B7F"/>
    <w:rsid w:val="345A4B8C"/>
    <w:rsid w:val="348C692F"/>
    <w:rsid w:val="34A77A31"/>
    <w:rsid w:val="34F20284"/>
    <w:rsid w:val="354F6355"/>
    <w:rsid w:val="3570347C"/>
    <w:rsid w:val="35AF46C7"/>
    <w:rsid w:val="35FC37F1"/>
    <w:rsid w:val="3619346A"/>
    <w:rsid w:val="369D13B4"/>
    <w:rsid w:val="37DD34EA"/>
    <w:rsid w:val="3859649B"/>
    <w:rsid w:val="386D2696"/>
    <w:rsid w:val="39103ACE"/>
    <w:rsid w:val="39227B1B"/>
    <w:rsid w:val="39406911"/>
    <w:rsid w:val="39850296"/>
    <w:rsid w:val="39C26750"/>
    <w:rsid w:val="3A1727BC"/>
    <w:rsid w:val="3A7F1D43"/>
    <w:rsid w:val="3A8D223E"/>
    <w:rsid w:val="3B291386"/>
    <w:rsid w:val="3B563038"/>
    <w:rsid w:val="3B80307E"/>
    <w:rsid w:val="3BCA7BD7"/>
    <w:rsid w:val="3C590387"/>
    <w:rsid w:val="3C6C37E2"/>
    <w:rsid w:val="3C7D1C3F"/>
    <w:rsid w:val="3C8D7B5B"/>
    <w:rsid w:val="3CDB3BBF"/>
    <w:rsid w:val="3CFD6A0C"/>
    <w:rsid w:val="3CFE1467"/>
    <w:rsid w:val="3D97035E"/>
    <w:rsid w:val="3DDF6AAF"/>
    <w:rsid w:val="3E431765"/>
    <w:rsid w:val="3EEF53B3"/>
    <w:rsid w:val="3F4DE920"/>
    <w:rsid w:val="3F8BED59"/>
    <w:rsid w:val="3FC38ABD"/>
    <w:rsid w:val="3FFB6181"/>
    <w:rsid w:val="400943B7"/>
    <w:rsid w:val="40143523"/>
    <w:rsid w:val="406B2735"/>
    <w:rsid w:val="4171469C"/>
    <w:rsid w:val="42C454C8"/>
    <w:rsid w:val="431A2687"/>
    <w:rsid w:val="43482ADF"/>
    <w:rsid w:val="43497E11"/>
    <w:rsid w:val="438C52D1"/>
    <w:rsid w:val="43AF1DC7"/>
    <w:rsid w:val="442360D8"/>
    <w:rsid w:val="450B3104"/>
    <w:rsid w:val="45374F70"/>
    <w:rsid w:val="45E922E2"/>
    <w:rsid w:val="46181B9F"/>
    <w:rsid w:val="46B73DB3"/>
    <w:rsid w:val="46B85A12"/>
    <w:rsid w:val="46C20ABF"/>
    <w:rsid w:val="471C5409"/>
    <w:rsid w:val="475E76EE"/>
    <w:rsid w:val="47645604"/>
    <w:rsid w:val="47AC0459"/>
    <w:rsid w:val="47B54AE2"/>
    <w:rsid w:val="484652C3"/>
    <w:rsid w:val="489E735B"/>
    <w:rsid w:val="48AA0CAC"/>
    <w:rsid w:val="48C71E58"/>
    <w:rsid w:val="48EF215B"/>
    <w:rsid w:val="49547ADE"/>
    <w:rsid w:val="499358EA"/>
    <w:rsid w:val="4AB935E6"/>
    <w:rsid w:val="4B1F601E"/>
    <w:rsid w:val="4B39EA97"/>
    <w:rsid w:val="4B65339C"/>
    <w:rsid w:val="4BE2220E"/>
    <w:rsid w:val="4CF98A47"/>
    <w:rsid w:val="4D097364"/>
    <w:rsid w:val="4D7808AB"/>
    <w:rsid w:val="4D9FE35A"/>
    <w:rsid w:val="4DA5DF86"/>
    <w:rsid w:val="4DC87963"/>
    <w:rsid w:val="4DEB1983"/>
    <w:rsid w:val="4E7F0CE4"/>
    <w:rsid w:val="4EBD760D"/>
    <w:rsid w:val="4EED2017"/>
    <w:rsid w:val="4EFDECCD"/>
    <w:rsid w:val="4F0B2DEE"/>
    <w:rsid w:val="4F2B6097"/>
    <w:rsid w:val="4F2E2211"/>
    <w:rsid w:val="4F4E78CD"/>
    <w:rsid w:val="4F5F9BB1"/>
    <w:rsid w:val="4FA62E1E"/>
    <w:rsid w:val="4FE85961"/>
    <w:rsid w:val="50341189"/>
    <w:rsid w:val="50837233"/>
    <w:rsid w:val="514C5668"/>
    <w:rsid w:val="51513799"/>
    <w:rsid w:val="518C29B6"/>
    <w:rsid w:val="51C74469"/>
    <w:rsid w:val="52170DB7"/>
    <w:rsid w:val="5219561D"/>
    <w:rsid w:val="52AA23A8"/>
    <w:rsid w:val="52B7187A"/>
    <w:rsid w:val="53A5465B"/>
    <w:rsid w:val="53B6028C"/>
    <w:rsid w:val="53DB4D25"/>
    <w:rsid w:val="54223F19"/>
    <w:rsid w:val="54392B16"/>
    <w:rsid w:val="54442E65"/>
    <w:rsid w:val="545B2AA1"/>
    <w:rsid w:val="549B5701"/>
    <w:rsid w:val="54A9277D"/>
    <w:rsid w:val="54B06B0D"/>
    <w:rsid w:val="553F16B7"/>
    <w:rsid w:val="558856A9"/>
    <w:rsid w:val="55CA2A9E"/>
    <w:rsid w:val="55E50F1B"/>
    <w:rsid w:val="565F6886"/>
    <w:rsid w:val="567813BA"/>
    <w:rsid w:val="56BC237C"/>
    <w:rsid w:val="56C00077"/>
    <w:rsid w:val="56CD4B4D"/>
    <w:rsid w:val="56E65062"/>
    <w:rsid w:val="56FA2C04"/>
    <w:rsid w:val="575867DA"/>
    <w:rsid w:val="5798381B"/>
    <w:rsid w:val="57FDCB58"/>
    <w:rsid w:val="585447AE"/>
    <w:rsid w:val="58EC4DE1"/>
    <w:rsid w:val="59EC6E24"/>
    <w:rsid w:val="59F74BFC"/>
    <w:rsid w:val="5A0B2520"/>
    <w:rsid w:val="5A186813"/>
    <w:rsid w:val="5A3B2376"/>
    <w:rsid w:val="5A40591F"/>
    <w:rsid w:val="5A6F0692"/>
    <w:rsid w:val="5ABF2E42"/>
    <w:rsid w:val="5AE588B3"/>
    <w:rsid w:val="5B586398"/>
    <w:rsid w:val="5B916903"/>
    <w:rsid w:val="5BDFE349"/>
    <w:rsid w:val="5BEF472E"/>
    <w:rsid w:val="5C82220F"/>
    <w:rsid w:val="5C932202"/>
    <w:rsid w:val="5CC5085F"/>
    <w:rsid w:val="5CC87E6F"/>
    <w:rsid w:val="5CD918EA"/>
    <w:rsid w:val="5CEFC870"/>
    <w:rsid w:val="5D247D3D"/>
    <w:rsid w:val="5DA32509"/>
    <w:rsid w:val="5DAE1AC9"/>
    <w:rsid w:val="5E153AF5"/>
    <w:rsid w:val="5E293727"/>
    <w:rsid w:val="5E6FF8A3"/>
    <w:rsid w:val="5E7A2525"/>
    <w:rsid w:val="5EF6A4F8"/>
    <w:rsid w:val="5EFE9F11"/>
    <w:rsid w:val="5F0E1E7F"/>
    <w:rsid w:val="5F112305"/>
    <w:rsid w:val="5F1476E7"/>
    <w:rsid w:val="5F213803"/>
    <w:rsid w:val="5F2767B3"/>
    <w:rsid w:val="5F72437A"/>
    <w:rsid w:val="5FBFDE02"/>
    <w:rsid w:val="5FE31F70"/>
    <w:rsid w:val="5FF68158"/>
    <w:rsid w:val="5FF72095"/>
    <w:rsid w:val="5FF7C5ED"/>
    <w:rsid w:val="60045498"/>
    <w:rsid w:val="614C1844"/>
    <w:rsid w:val="614F46D3"/>
    <w:rsid w:val="617A6C2D"/>
    <w:rsid w:val="618968F0"/>
    <w:rsid w:val="619E6355"/>
    <w:rsid w:val="61BD64DA"/>
    <w:rsid w:val="61FE2966"/>
    <w:rsid w:val="6215384D"/>
    <w:rsid w:val="62AC06BC"/>
    <w:rsid w:val="633B4987"/>
    <w:rsid w:val="63525D55"/>
    <w:rsid w:val="64C20A08"/>
    <w:rsid w:val="64E24AB9"/>
    <w:rsid w:val="64F06443"/>
    <w:rsid w:val="65737FB9"/>
    <w:rsid w:val="657D23C7"/>
    <w:rsid w:val="65DF5ECF"/>
    <w:rsid w:val="66A662C4"/>
    <w:rsid w:val="67222B8A"/>
    <w:rsid w:val="673F63D9"/>
    <w:rsid w:val="679D182D"/>
    <w:rsid w:val="67BB6396"/>
    <w:rsid w:val="67FF0BFB"/>
    <w:rsid w:val="68197E1D"/>
    <w:rsid w:val="685045A6"/>
    <w:rsid w:val="688621C1"/>
    <w:rsid w:val="68C15BDE"/>
    <w:rsid w:val="690130CE"/>
    <w:rsid w:val="699562A3"/>
    <w:rsid w:val="69E95327"/>
    <w:rsid w:val="6AD23ACD"/>
    <w:rsid w:val="6B315A81"/>
    <w:rsid w:val="6BB831F7"/>
    <w:rsid w:val="6C3F4637"/>
    <w:rsid w:val="6C9D07C7"/>
    <w:rsid w:val="6CB426A8"/>
    <w:rsid w:val="6D3835CD"/>
    <w:rsid w:val="6D7F449D"/>
    <w:rsid w:val="6DBF87F1"/>
    <w:rsid w:val="6DDF18A8"/>
    <w:rsid w:val="6DFF85F2"/>
    <w:rsid w:val="6E7742D5"/>
    <w:rsid w:val="6E947A29"/>
    <w:rsid w:val="6EFB6945"/>
    <w:rsid w:val="6F6F0842"/>
    <w:rsid w:val="6F940B51"/>
    <w:rsid w:val="6FFF80AC"/>
    <w:rsid w:val="701E0D35"/>
    <w:rsid w:val="70C735D1"/>
    <w:rsid w:val="717A54B6"/>
    <w:rsid w:val="71FF8018"/>
    <w:rsid w:val="724B6D53"/>
    <w:rsid w:val="72A9536C"/>
    <w:rsid w:val="72AF23A1"/>
    <w:rsid w:val="72BF52A3"/>
    <w:rsid w:val="72EF40CF"/>
    <w:rsid w:val="73520170"/>
    <w:rsid w:val="73B32D5B"/>
    <w:rsid w:val="74EA0661"/>
    <w:rsid w:val="75127B2A"/>
    <w:rsid w:val="751C09CF"/>
    <w:rsid w:val="75272590"/>
    <w:rsid w:val="756B70AB"/>
    <w:rsid w:val="757B0203"/>
    <w:rsid w:val="759D7389"/>
    <w:rsid w:val="75BBFCE8"/>
    <w:rsid w:val="75FFEBBC"/>
    <w:rsid w:val="7617390F"/>
    <w:rsid w:val="761B73DB"/>
    <w:rsid w:val="762D45E7"/>
    <w:rsid w:val="76346231"/>
    <w:rsid w:val="76432C97"/>
    <w:rsid w:val="76472E5B"/>
    <w:rsid w:val="76EF1B81"/>
    <w:rsid w:val="773F1B2E"/>
    <w:rsid w:val="776141C0"/>
    <w:rsid w:val="776FD29E"/>
    <w:rsid w:val="777F47C0"/>
    <w:rsid w:val="77BFEBA0"/>
    <w:rsid w:val="77E71EE7"/>
    <w:rsid w:val="77E91CAD"/>
    <w:rsid w:val="77FAAD60"/>
    <w:rsid w:val="77FB2D9B"/>
    <w:rsid w:val="77FD07B9"/>
    <w:rsid w:val="78403651"/>
    <w:rsid w:val="784051C1"/>
    <w:rsid w:val="789E16E5"/>
    <w:rsid w:val="78BAD3B0"/>
    <w:rsid w:val="78DB40C6"/>
    <w:rsid w:val="7954401D"/>
    <w:rsid w:val="79547EF1"/>
    <w:rsid w:val="797A5BD1"/>
    <w:rsid w:val="797E7C3B"/>
    <w:rsid w:val="79A24C96"/>
    <w:rsid w:val="79AFE565"/>
    <w:rsid w:val="79BA4EEC"/>
    <w:rsid w:val="7AE80A7B"/>
    <w:rsid w:val="7B17C783"/>
    <w:rsid w:val="7B5E14E4"/>
    <w:rsid w:val="7B741965"/>
    <w:rsid w:val="7B7F9D8D"/>
    <w:rsid w:val="7BBF78B4"/>
    <w:rsid w:val="7BC6DDDB"/>
    <w:rsid w:val="7BFE30BC"/>
    <w:rsid w:val="7CD24C07"/>
    <w:rsid w:val="7CDD0037"/>
    <w:rsid w:val="7D574CFE"/>
    <w:rsid w:val="7D6C2012"/>
    <w:rsid w:val="7D73AEC2"/>
    <w:rsid w:val="7D779450"/>
    <w:rsid w:val="7D8E6DCC"/>
    <w:rsid w:val="7D8F4D87"/>
    <w:rsid w:val="7DAFF19E"/>
    <w:rsid w:val="7DBB66FE"/>
    <w:rsid w:val="7DBE27C1"/>
    <w:rsid w:val="7DCA5F0F"/>
    <w:rsid w:val="7DD27BA7"/>
    <w:rsid w:val="7DDF150E"/>
    <w:rsid w:val="7DF6029C"/>
    <w:rsid w:val="7DFD0CCA"/>
    <w:rsid w:val="7E1F736F"/>
    <w:rsid w:val="7E366AB8"/>
    <w:rsid w:val="7E53316F"/>
    <w:rsid w:val="7E6077B8"/>
    <w:rsid w:val="7E918197"/>
    <w:rsid w:val="7EDB40D2"/>
    <w:rsid w:val="7EEF255F"/>
    <w:rsid w:val="7EF60637"/>
    <w:rsid w:val="7EFFC034"/>
    <w:rsid w:val="7F6E8462"/>
    <w:rsid w:val="7F7F44C2"/>
    <w:rsid w:val="7F7FABF2"/>
    <w:rsid w:val="7F7FF29E"/>
    <w:rsid w:val="7F9B365A"/>
    <w:rsid w:val="7FA57776"/>
    <w:rsid w:val="7FADCD6B"/>
    <w:rsid w:val="7FBAB4A7"/>
    <w:rsid w:val="7FBFA41A"/>
    <w:rsid w:val="7FBFB404"/>
    <w:rsid w:val="7FC2506D"/>
    <w:rsid w:val="7FD58083"/>
    <w:rsid w:val="7FEF6CBF"/>
    <w:rsid w:val="7FF70A65"/>
    <w:rsid w:val="7FFFDBA4"/>
    <w:rsid w:val="82FF3CFB"/>
    <w:rsid w:val="8BFFD4B2"/>
    <w:rsid w:val="9E57B828"/>
    <w:rsid w:val="9EBF09EF"/>
    <w:rsid w:val="9FFF9C3B"/>
    <w:rsid w:val="AF9A097A"/>
    <w:rsid w:val="AFEB4EDF"/>
    <w:rsid w:val="B5770D92"/>
    <w:rsid w:val="B6EB9F6F"/>
    <w:rsid w:val="BAFB060A"/>
    <w:rsid w:val="BD7FC74C"/>
    <w:rsid w:val="BDDDC5E8"/>
    <w:rsid w:val="BEDBEA22"/>
    <w:rsid w:val="BF355C05"/>
    <w:rsid w:val="BFBD641E"/>
    <w:rsid w:val="BFFF59DA"/>
    <w:rsid w:val="CD3F8D63"/>
    <w:rsid w:val="CDEFC277"/>
    <w:rsid w:val="CEBFF458"/>
    <w:rsid w:val="D59F5B91"/>
    <w:rsid w:val="D5CF18B5"/>
    <w:rsid w:val="D6DBC0E2"/>
    <w:rsid w:val="D75A11C8"/>
    <w:rsid w:val="D7EB91ED"/>
    <w:rsid w:val="D9DFFBB8"/>
    <w:rsid w:val="DBC92C4E"/>
    <w:rsid w:val="DDFE384C"/>
    <w:rsid w:val="DDFEFDCF"/>
    <w:rsid w:val="DEDC487C"/>
    <w:rsid w:val="DF7F1348"/>
    <w:rsid w:val="DF7F242A"/>
    <w:rsid w:val="DFDD6D64"/>
    <w:rsid w:val="DFDF5B69"/>
    <w:rsid w:val="DFE6D56D"/>
    <w:rsid w:val="DFEDE31F"/>
    <w:rsid w:val="DFFB90E2"/>
    <w:rsid w:val="DFFF4A03"/>
    <w:rsid w:val="E3EEBF5F"/>
    <w:rsid w:val="E65F1F46"/>
    <w:rsid w:val="E7FF8910"/>
    <w:rsid w:val="EBB7CEBC"/>
    <w:rsid w:val="EDC91FA9"/>
    <w:rsid w:val="EFB706DD"/>
    <w:rsid w:val="EFBF2374"/>
    <w:rsid w:val="EFEA243C"/>
    <w:rsid w:val="EFFF6B51"/>
    <w:rsid w:val="F13F9E59"/>
    <w:rsid w:val="F4DE5190"/>
    <w:rsid w:val="F4FF59A1"/>
    <w:rsid w:val="F57BA956"/>
    <w:rsid w:val="F5EDB62D"/>
    <w:rsid w:val="F6BDB732"/>
    <w:rsid w:val="F6DF522D"/>
    <w:rsid w:val="F73FD40D"/>
    <w:rsid w:val="F773EEAA"/>
    <w:rsid w:val="F7ED30AA"/>
    <w:rsid w:val="F7FB9E22"/>
    <w:rsid w:val="F7FE1034"/>
    <w:rsid w:val="F7FEA0D6"/>
    <w:rsid w:val="F8E9FC1A"/>
    <w:rsid w:val="F9FB4539"/>
    <w:rsid w:val="FA5FC80B"/>
    <w:rsid w:val="FABA5C75"/>
    <w:rsid w:val="FAFB98CF"/>
    <w:rsid w:val="FBA323C4"/>
    <w:rsid w:val="FBBB8C0A"/>
    <w:rsid w:val="FBBD54A6"/>
    <w:rsid w:val="FBE862F2"/>
    <w:rsid w:val="FBEF1FFF"/>
    <w:rsid w:val="FBF71696"/>
    <w:rsid w:val="FC8F836F"/>
    <w:rsid w:val="FCEB3396"/>
    <w:rsid w:val="FE3E7EFB"/>
    <w:rsid w:val="FEAD6C85"/>
    <w:rsid w:val="FEB7C164"/>
    <w:rsid w:val="FEDB5967"/>
    <w:rsid w:val="FEE78F8A"/>
    <w:rsid w:val="FEEEB0EB"/>
    <w:rsid w:val="FEFFB17E"/>
    <w:rsid w:val="FF1C5247"/>
    <w:rsid w:val="FF5F7493"/>
    <w:rsid w:val="FF7BE644"/>
    <w:rsid w:val="FF7FD448"/>
    <w:rsid w:val="FF9B6B5C"/>
    <w:rsid w:val="FFBFDAE5"/>
    <w:rsid w:val="FFD68DF9"/>
    <w:rsid w:val="FFDBAA05"/>
    <w:rsid w:val="FFE86100"/>
    <w:rsid w:val="FFF2C57E"/>
    <w:rsid w:val="FFF3153E"/>
    <w:rsid w:val="FFF78CE0"/>
    <w:rsid w:val="FFF98EAF"/>
    <w:rsid w:val="FFFA0DD8"/>
    <w:rsid w:val="FFFE384A"/>
    <w:rsid w:val="FFFEFA56"/>
    <w:rsid w:val="FFFF8C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Normal Indent"/>
    <w:basedOn w:val="1"/>
    <w:qFormat/>
    <w:uiPriority w:val="0"/>
    <w:pPr>
      <w:ind w:firstLine="420" w:firstLineChars="200"/>
    </w:pPr>
    <w:rPr>
      <w:rFonts w:ascii="Calibri" w:hAnsi="Calibri" w:eastAsia="仿宋"/>
      <w:sz w:val="32"/>
    </w:rPr>
  </w:style>
  <w:style w:type="paragraph" w:styleId="4">
    <w:name w:val="Document Map"/>
    <w:basedOn w:val="1"/>
    <w:semiHidden/>
    <w:qFormat/>
    <w:uiPriority w:val="0"/>
    <w:pPr>
      <w:shd w:val="clear" w:color="auto" w:fill="000080"/>
    </w:pPr>
  </w:style>
  <w:style w:type="paragraph" w:styleId="5">
    <w:name w:val="Body Text Indent"/>
    <w:basedOn w:val="1"/>
    <w:next w:val="3"/>
    <w:qFormat/>
    <w:uiPriority w:val="99"/>
    <w:pPr>
      <w:spacing w:line="550" w:lineRule="exact"/>
      <w:ind w:firstLine="600" w:firstLineChars="200"/>
    </w:pPr>
    <w:rPr>
      <w:rFonts w:eastAsia="仿宋_GB2312"/>
      <w:sz w:val="30"/>
      <w:szCs w:val="30"/>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5"/>
    <w:qFormat/>
    <w:uiPriority w:val="0"/>
    <w:pPr>
      <w:ind w:firstLine="42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bCs/>
    </w:rPr>
  </w:style>
  <w:style w:type="paragraph" w:customStyle="1" w:styleId="13">
    <w:name w:val="Char"/>
    <w:basedOn w:val="1"/>
    <w:qFormat/>
    <w:uiPriority w:val="0"/>
    <w:rPr>
      <w:rFonts w:ascii="宋体" w:hAnsi="宋体" w:cs="Courier New"/>
      <w:sz w:val="32"/>
      <w:szCs w:val="32"/>
    </w:rPr>
  </w:style>
  <w:style w:type="character" w:customStyle="1" w:styleId="14">
    <w:name w:val="页眉 字符"/>
    <w:link w:val="7"/>
    <w:qFormat/>
    <w:uiPriority w:val="0"/>
    <w:rPr>
      <w:kern w:val="2"/>
      <w:sz w:val="18"/>
      <w:szCs w:val="18"/>
    </w:rPr>
  </w:style>
  <w:style w:type="character" w:customStyle="1" w:styleId="15">
    <w:name w:val="页脚 字符"/>
    <w:link w:val="6"/>
    <w:qFormat/>
    <w:uiPriority w:val="0"/>
    <w:rPr>
      <w:kern w:val="2"/>
      <w:sz w:val="18"/>
      <w:szCs w:val="18"/>
    </w:rPr>
  </w:style>
  <w:style w:type="paragraph" w:customStyle="1" w:styleId="16">
    <w:name w:val="[Normal]"/>
    <w:qFormat/>
    <w:uiPriority w:val="0"/>
    <w:rPr>
      <w:rFonts w:ascii="宋体" w:hAnsi="宋体" w:eastAsia="宋体" w:cs="Times New Roman"/>
      <w:sz w:val="24"/>
      <w:lang w:val="zh-CN" w:eastAsia="zh-CN" w:bidi="ar-SA"/>
    </w:rPr>
  </w:style>
  <w:style w:type="paragraph" w:customStyle="1" w:styleId="1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xc</Company>
  <Pages>12</Pages>
  <Words>857</Words>
  <Characters>4888</Characters>
  <Lines>40</Lines>
  <Paragraphs>11</Paragraphs>
  <TotalTime>22</TotalTime>
  <ScaleCrop>false</ScaleCrop>
  <LinksUpToDate>false</LinksUpToDate>
  <CharactersWithSpaces>5734</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2020-01-08T16:45:00Z</dcterms:created>
  <dc:creator>dsx</dc:creator>
  <cp:lastModifiedBy>Christal</cp:lastModifiedBy>
  <dcterms:modified xsi:type="dcterms:W3CDTF">2025-03-19T16:38:03Z</dcterms:modified>
  <dc:title>关于2019年部门预算的批复</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EDOID">
    <vt:r8>5838458</vt:r8>
  </property>
  <property fmtid="{D5CDD505-2E9C-101B-9397-08002B2CF9AE}" pid="4" name="ICV">
    <vt:lpwstr>8002411045EC4C1F82BED1CC3F2CBA04_13</vt:lpwstr>
  </property>
  <property fmtid="{D5CDD505-2E9C-101B-9397-08002B2CF9AE}" pid="5" name="KSOTemplateDocerSaveRecord">
    <vt:lpwstr>eyJoZGlkIjoiMDkyMzBhOWU1ZmQyNTE3YzlkZWViNjFmMzM0OWUyNGQifQ==</vt:lpwstr>
  </property>
</Properties>
</file>