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9C6F9">
      <w:pPr>
        <w:spacing w:line="560" w:lineRule="exact"/>
        <w:rPr>
          <w:rFonts w:ascii="黑体" w:hAnsi="黑体" w:eastAsia="黑体" w:cs="黑体"/>
          <w:spacing w:val="15"/>
          <w:sz w:val="32"/>
          <w:szCs w:val="32"/>
        </w:rPr>
      </w:pPr>
    </w:p>
    <w:p w14:paraId="438357E4">
      <w:pPr>
        <w:spacing w:line="560" w:lineRule="exact"/>
        <w:jc w:val="center"/>
        <w:rPr>
          <w:rFonts w:ascii="方正小标宋简体" w:hAnsi="方正小标宋简体" w:eastAsia="方正小标宋简体" w:cs="方正小标宋简体"/>
          <w:spacing w:val="15"/>
          <w:sz w:val="44"/>
          <w:szCs w:val="44"/>
        </w:rPr>
      </w:pPr>
    </w:p>
    <w:p w14:paraId="2219407D">
      <w:pPr>
        <w:spacing w:line="560" w:lineRule="exact"/>
        <w:jc w:val="center"/>
        <w:rPr>
          <w:rFonts w:ascii="方正小标宋简体" w:hAnsi="方正小标宋简体" w:eastAsia="方正小标宋简体" w:cs="方正小标宋简体"/>
          <w:bCs/>
          <w:spacing w:val="15"/>
          <w:sz w:val="44"/>
          <w:szCs w:val="44"/>
        </w:rPr>
      </w:pPr>
    </w:p>
    <w:p w14:paraId="70940EBB">
      <w:pPr>
        <w:spacing w:line="560" w:lineRule="exact"/>
        <w:jc w:val="center"/>
        <w:rPr>
          <w:rFonts w:ascii="方正小标宋简体" w:hAnsi="方正小标宋简体" w:eastAsia="方正小标宋简体" w:cs="方正小标宋简体"/>
          <w:bCs/>
          <w:spacing w:val="15"/>
          <w:sz w:val="44"/>
          <w:szCs w:val="44"/>
        </w:rPr>
      </w:pPr>
    </w:p>
    <w:p w14:paraId="4FE77A96">
      <w:pPr>
        <w:spacing w:line="560" w:lineRule="exact"/>
        <w:jc w:val="center"/>
        <w:rPr>
          <w:rFonts w:ascii="方正小标宋简体" w:hAnsi="方正小标宋简体" w:eastAsia="方正小标宋简体" w:cs="方正小标宋简体"/>
          <w:bCs/>
          <w:spacing w:val="15"/>
          <w:sz w:val="44"/>
          <w:szCs w:val="44"/>
        </w:rPr>
      </w:pPr>
    </w:p>
    <w:p w14:paraId="7BDCBAFB">
      <w:pPr>
        <w:spacing w:line="560" w:lineRule="exact"/>
        <w:jc w:val="center"/>
        <w:rPr>
          <w:rFonts w:ascii="方正小标宋简体" w:hAnsi="方正小标宋简体" w:eastAsia="方正小标宋简体" w:cs="方正小标宋简体"/>
          <w:bCs/>
          <w:spacing w:val="15"/>
          <w:sz w:val="44"/>
          <w:szCs w:val="44"/>
        </w:rPr>
      </w:pPr>
    </w:p>
    <w:p w14:paraId="13F36508">
      <w:pPr>
        <w:spacing w:line="560" w:lineRule="exact"/>
        <w:jc w:val="center"/>
        <w:rPr>
          <w:rFonts w:ascii="方正小标宋简体" w:hAnsi="方正小标宋简体" w:eastAsia="方正小标宋简体" w:cs="方正小标宋简体"/>
          <w:bCs/>
          <w:spacing w:val="15"/>
          <w:sz w:val="44"/>
          <w:szCs w:val="44"/>
        </w:rPr>
      </w:pPr>
    </w:p>
    <w:p w14:paraId="0C8050DD">
      <w:pPr>
        <w:spacing w:line="560" w:lineRule="exact"/>
        <w:jc w:val="center"/>
        <w:rPr>
          <w:rFonts w:ascii="方正小标宋简体" w:hAnsi="方正小标宋简体" w:eastAsia="方正小标宋简体" w:cs="方正小标宋简体"/>
          <w:bCs/>
          <w:spacing w:val="15"/>
          <w:sz w:val="44"/>
          <w:szCs w:val="44"/>
        </w:rPr>
      </w:pPr>
    </w:p>
    <w:p w14:paraId="41E3FB48">
      <w:pPr>
        <w:spacing w:line="560" w:lineRule="exact"/>
        <w:jc w:val="center"/>
        <w:rPr>
          <w:rFonts w:ascii="方正小标宋简体" w:hAnsi="方正小标宋简体" w:eastAsia="方正小标宋简体" w:cs="方正小标宋简体"/>
          <w:bCs/>
          <w:spacing w:val="15"/>
          <w:sz w:val="44"/>
          <w:szCs w:val="44"/>
        </w:rPr>
      </w:pPr>
    </w:p>
    <w:p w14:paraId="3396E07E">
      <w:pPr>
        <w:spacing w:line="560" w:lineRule="exact"/>
        <w:jc w:val="center"/>
        <w:rPr>
          <w:rFonts w:ascii="方正小标宋简体" w:hAnsi="方正小标宋简体" w:eastAsia="方正小标宋简体" w:cs="方正小标宋简体"/>
          <w:bCs/>
          <w:spacing w:val="15"/>
          <w:sz w:val="44"/>
          <w:szCs w:val="44"/>
        </w:rPr>
      </w:pPr>
      <w:r>
        <w:rPr>
          <w:rFonts w:ascii="方正小标宋简体" w:hAnsi="方正小标宋简体" w:eastAsia="方正小标宋简体" w:cs="方正小标宋简体"/>
          <w:bCs/>
          <w:spacing w:val="15"/>
          <w:sz w:val="44"/>
          <w:szCs w:val="44"/>
        </w:rPr>
        <w:t>湖州市吴兴区社会治理中心</w:t>
      </w:r>
      <w:r>
        <w:rPr>
          <w:rFonts w:hint="eastAsia" w:ascii="方正小标宋简体" w:hAnsi="方正小标宋简体" w:eastAsia="方正小标宋简体" w:cs="方正小标宋简体"/>
          <w:bCs/>
          <w:spacing w:val="15"/>
          <w:sz w:val="44"/>
          <w:szCs w:val="44"/>
          <w:lang w:eastAsia="zh-CN"/>
        </w:rPr>
        <w:t>2025年</w:t>
      </w:r>
      <w:r>
        <w:rPr>
          <w:rFonts w:hint="eastAsia" w:ascii="方正小标宋简体" w:hAnsi="方正小标宋简体" w:eastAsia="方正小标宋简体" w:cs="方正小标宋简体"/>
          <w:bCs/>
          <w:spacing w:val="15"/>
          <w:sz w:val="44"/>
          <w:szCs w:val="44"/>
        </w:rPr>
        <w:t>单位预算</w:t>
      </w:r>
    </w:p>
    <w:p w14:paraId="6804CE2F">
      <w:pPr>
        <w:spacing w:line="560" w:lineRule="exact"/>
        <w:ind w:firstLine="590" w:firstLineChars="196"/>
        <w:rPr>
          <w:rStyle w:val="9"/>
          <w:color w:val="000000"/>
          <w:sz w:val="30"/>
          <w:szCs w:val="30"/>
        </w:rPr>
      </w:pPr>
    </w:p>
    <w:p w14:paraId="00DC2933">
      <w:pPr>
        <w:spacing w:line="520" w:lineRule="exact"/>
        <w:ind w:firstLine="627" w:firstLineChars="196"/>
        <w:jc w:val="center"/>
        <w:rPr>
          <w:rStyle w:val="9"/>
          <w:rFonts w:ascii="黑体" w:eastAsia="黑体"/>
          <w:b w:val="0"/>
          <w:color w:val="000000"/>
          <w:sz w:val="32"/>
          <w:szCs w:val="32"/>
        </w:rPr>
      </w:pPr>
    </w:p>
    <w:p w14:paraId="69C8174E">
      <w:pPr>
        <w:spacing w:line="520" w:lineRule="exact"/>
        <w:ind w:firstLine="627" w:firstLineChars="196"/>
        <w:jc w:val="center"/>
        <w:rPr>
          <w:rStyle w:val="9"/>
          <w:rFonts w:ascii="黑体" w:eastAsia="黑体"/>
          <w:b w:val="0"/>
          <w:color w:val="000000"/>
          <w:sz w:val="32"/>
          <w:szCs w:val="32"/>
        </w:rPr>
      </w:pPr>
    </w:p>
    <w:p w14:paraId="2728D810">
      <w:pPr>
        <w:spacing w:line="520" w:lineRule="exact"/>
        <w:ind w:firstLine="627" w:firstLineChars="196"/>
        <w:jc w:val="center"/>
        <w:rPr>
          <w:rStyle w:val="9"/>
          <w:rFonts w:ascii="黑体" w:eastAsia="黑体"/>
          <w:b w:val="0"/>
          <w:color w:val="000000"/>
          <w:sz w:val="32"/>
          <w:szCs w:val="32"/>
        </w:rPr>
      </w:pPr>
    </w:p>
    <w:p w14:paraId="18F6950D">
      <w:pPr>
        <w:spacing w:line="520" w:lineRule="exact"/>
        <w:ind w:firstLine="627" w:firstLineChars="196"/>
        <w:jc w:val="center"/>
        <w:rPr>
          <w:rStyle w:val="9"/>
          <w:rFonts w:ascii="黑体" w:eastAsia="黑体"/>
          <w:b w:val="0"/>
          <w:color w:val="000000"/>
          <w:sz w:val="32"/>
          <w:szCs w:val="32"/>
        </w:rPr>
      </w:pPr>
    </w:p>
    <w:p w14:paraId="4C51B62B">
      <w:pPr>
        <w:spacing w:line="520" w:lineRule="exact"/>
        <w:ind w:firstLine="627" w:firstLineChars="196"/>
        <w:jc w:val="center"/>
        <w:rPr>
          <w:rStyle w:val="9"/>
          <w:rFonts w:ascii="黑体" w:eastAsia="黑体"/>
          <w:b w:val="0"/>
          <w:color w:val="000000"/>
          <w:sz w:val="32"/>
          <w:szCs w:val="32"/>
        </w:rPr>
      </w:pPr>
    </w:p>
    <w:p w14:paraId="5D73DC18">
      <w:pPr>
        <w:spacing w:line="520" w:lineRule="exact"/>
        <w:ind w:firstLine="627" w:firstLineChars="196"/>
        <w:jc w:val="center"/>
        <w:rPr>
          <w:rStyle w:val="9"/>
          <w:rFonts w:ascii="黑体" w:eastAsia="黑体"/>
          <w:b w:val="0"/>
          <w:color w:val="000000"/>
          <w:sz w:val="32"/>
          <w:szCs w:val="32"/>
        </w:rPr>
      </w:pPr>
    </w:p>
    <w:p w14:paraId="415DB9B6">
      <w:pPr>
        <w:spacing w:line="520" w:lineRule="exact"/>
        <w:ind w:firstLine="627" w:firstLineChars="196"/>
        <w:jc w:val="center"/>
        <w:rPr>
          <w:rStyle w:val="9"/>
          <w:rFonts w:ascii="黑体" w:eastAsia="黑体"/>
          <w:b w:val="0"/>
          <w:color w:val="000000"/>
          <w:sz w:val="32"/>
          <w:szCs w:val="32"/>
        </w:rPr>
      </w:pPr>
    </w:p>
    <w:p w14:paraId="645DC413">
      <w:pPr>
        <w:spacing w:line="520" w:lineRule="exact"/>
        <w:ind w:firstLine="627" w:firstLineChars="196"/>
        <w:jc w:val="center"/>
        <w:rPr>
          <w:rStyle w:val="9"/>
          <w:rFonts w:ascii="黑体" w:eastAsia="黑体"/>
          <w:b w:val="0"/>
          <w:color w:val="000000"/>
          <w:sz w:val="32"/>
          <w:szCs w:val="32"/>
        </w:rPr>
      </w:pPr>
    </w:p>
    <w:p w14:paraId="7B6A6EC9">
      <w:pPr>
        <w:spacing w:line="520" w:lineRule="exact"/>
        <w:ind w:firstLine="627" w:firstLineChars="196"/>
        <w:jc w:val="center"/>
        <w:rPr>
          <w:rStyle w:val="9"/>
          <w:rFonts w:ascii="黑体" w:eastAsia="黑体"/>
          <w:b w:val="0"/>
          <w:color w:val="000000"/>
          <w:sz w:val="32"/>
          <w:szCs w:val="32"/>
        </w:rPr>
      </w:pPr>
    </w:p>
    <w:p w14:paraId="1EB7BF76">
      <w:pPr>
        <w:spacing w:line="520" w:lineRule="exact"/>
        <w:ind w:firstLine="627" w:firstLineChars="196"/>
        <w:jc w:val="center"/>
        <w:rPr>
          <w:rStyle w:val="9"/>
          <w:rFonts w:ascii="黑体" w:eastAsia="黑体"/>
          <w:b w:val="0"/>
          <w:color w:val="000000"/>
          <w:sz w:val="32"/>
          <w:szCs w:val="32"/>
        </w:rPr>
      </w:pPr>
    </w:p>
    <w:p w14:paraId="00BF508C">
      <w:pPr>
        <w:spacing w:line="520" w:lineRule="exact"/>
        <w:ind w:firstLine="627" w:firstLineChars="196"/>
        <w:jc w:val="center"/>
        <w:rPr>
          <w:rStyle w:val="9"/>
          <w:rFonts w:ascii="黑体" w:eastAsia="黑体"/>
          <w:b w:val="0"/>
          <w:color w:val="000000"/>
          <w:sz w:val="32"/>
          <w:szCs w:val="32"/>
        </w:rPr>
      </w:pPr>
    </w:p>
    <w:p w14:paraId="2F4C5290">
      <w:pPr>
        <w:spacing w:line="520" w:lineRule="exact"/>
        <w:ind w:firstLine="627" w:firstLineChars="196"/>
        <w:jc w:val="center"/>
        <w:rPr>
          <w:rStyle w:val="9"/>
          <w:rFonts w:ascii="黑体" w:eastAsia="黑体"/>
          <w:b w:val="0"/>
          <w:color w:val="000000"/>
          <w:sz w:val="32"/>
          <w:szCs w:val="32"/>
        </w:rPr>
      </w:pPr>
    </w:p>
    <w:p w14:paraId="3860FA7A">
      <w:pPr>
        <w:spacing w:line="520" w:lineRule="exact"/>
        <w:ind w:firstLine="627" w:firstLineChars="196"/>
        <w:jc w:val="center"/>
        <w:rPr>
          <w:rStyle w:val="9"/>
          <w:rFonts w:ascii="黑体" w:eastAsia="黑体"/>
          <w:b w:val="0"/>
          <w:color w:val="000000"/>
          <w:sz w:val="32"/>
          <w:szCs w:val="32"/>
        </w:rPr>
      </w:pPr>
    </w:p>
    <w:p w14:paraId="4C1F82CA">
      <w:pPr>
        <w:spacing w:line="520" w:lineRule="exact"/>
        <w:rPr>
          <w:rStyle w:val="9"/>
          <w:rFonts w:ascii="黑体" w:eastAsia="黑体"/>
          <w:b w:val="0"/>
          <w:color w:val="000000"/>
          <w:sz w:val="32"/>
          <w:szCs w:val="32"/>
        </w:rPr>
      </w:pPr>
    </w:p>
    <w:p w14:paraId="17E16195">
      <w:pPr>
        <w:spacing w:line="520" w:lineRule="exact"/>
        <w:ind w:firstLine="627" w:firstLineChars="196"/>
        <w:jc w:val="center"/>
        <w:rPr>
          <w:rStyle w:val="9"/>
          <w:rFonts w:ascii="黑体" w:eastAsia="黑体"/>
          <w:b w:val="0"/>
          <w:color w:val="000000"/>
          <w:sz w:val="32"/>
          <w:szCs w:val="32"/>
        </w:rPr>
      </w:pPr>
      <w:r>
        <w:rPr>
          <w:rStyle w:val="9"/>
          <w:rFonts w:hint="eastAsia" w:ascii="黑体" w:eastAsia="黑体"/>
          <w:b w:val="0"/>
          <w:color w:val="000000"/>
          <w:sz w:val="32"/>
          <w:szCs w:val="32"/>
        </w:rPr>
        <w:t>目录</w:t>
      </w:r>
    </w:p>
    <w:p w14:paraId="7B3C51B7">
      <w:pPr>
        <w:spacing w:line="520" w:lineRule="exact"/>
        <w:rPr>
          <w:rFonts w:eastAsia="黑体"/>
          <w:sz w:val="32"/>
        </w:rPr>
      </w:pPr>
      <w:r>
        <w:rPr>
          <w:rFonts w:hint="eastAsia" w:ascii="黑体" w:eastAsia="黑体"/>
          <w:color w:val="000000"/>
          <w:sz w:val="32"/>
          <w:highlight w:val="white"/>
        </w:rPr>
        <w:t>一、单位</w:t>
      </w:r>
      <w:r>
        <w:rPr>
          <w:rStyle w:val="9"/>
          <w:rFonts w:hint="eastAsia" w:ascii="黑体" w:eastAsia="黑体"/>
          <w:b w:val="0"/>
          <w:color w:val="000000"/>
          <w:sz w:val="32"/>
          <w:szCs w:val="32"/>
        </w:rPr>
        <w:t>概况</w:t>
      </w:r>
    </w:p>
    <w:p w14:paraId="486D332D">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14:paraId="7E4CFEA6">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14:paraId="19882AF1">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二、</w:t>
      </w:r>
      <w:r>
        <w:rPr>
          <w:rStyle w:val="9"/>
          <w:rFonts w:hint="eastAsia" w:ascii="黑体" w:eastAsia="黑体"/>
          <w:b w:val="0"/>
          <w:color w:val="000000"/>
          <w:sz w:val="32"/>
          <w:szCs w:val="32"/>
          <w:lang w:eastAsia="zh-CN"/>
        </w:rPr>
        <w:t>2025年</w:t>
      </w:r>
      <w:r>
        <w:rPr>
          <w:rStyle w:val="9"/>
          <w:rFonts w:hint="eastAsia" w:ascii="黑体" w:eastAsia="黑体"/>
          <w:b w:val="0"/>
          <w:color w:val="000000"/>
          <w:sz w:val="32"/>
          <w:szCs w:val="32"/>
        </w:rPr>
        <w:t>湖州市吴兴区社会治理中心单位预算安排情况说明</w:t>
      </w:r>
    </w:p>
    <w:p w14:paraId="51A350E2">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（一）关于湖州市吴兴区社会治理中心</w:t>
      </w:r>
      <w:r>
        <w:rPr>
          <w:rFonts w:hint="eastAsia" w:ascii="楷体_GB2312" w:hAnsi="楷体_GB2312" w:eastAsia="楷体_GB2312" w:cs="楷体_GB2312"/>
          <w:bCs/>
          <w:sz w:val="32"/>
          <w:szCs w:val="32"/>
          <w:lang w:eastAsia="zh-CN"/>
        </w:rPr>
        <w:t>2025年</w:t>
      </w:r>
      <w:r>
        <w:rPr>
          <w:rFonts w:hint="eastAsia" w:ascii="楷体_GB2312" w:hAnsi="楷体_GB2312" w:eastAsia="楷体_GB2312" w:cs="楷体_GB2312"/>
          <w:bCs/>
          <w:sz w:val="32"/>
          <w:szCs w:val="32"/>
        </w:rPr>
        <w:t>收支预算情况的总体说明</w:t>
      </w:r>
    </w:p>
    <w:p w14:paraId="016A7B30">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（二）关于湖州市吴兴区社会治理中心</w:t>
      </w:r>
      <w:r>
        <w:rPr>
          <w:rFonts w:hint="eastAsia" w:ascii="楷体_GB2312" w:hAnsi="楷体_GB2312" w:eastAsia="楷体_GB2312" w:cs="楷体_GB2312"/>
          <w:bCs/>
          <w:sz w:val="32"/>
          <w:szCs w:val="32"/>
          <w:lang w:eastAsia="zh-CN"/>
        </w:rPr>
        <w:t>2025年</w:t>
      </w:r>
      <w:r>
        <w:rPr>
          <w:rFonts w:hint="eastAsia" w:ascii="楷体_GB2312" w:hAnsi="楷体_GB2312" w:eastAsia="楷体_GB2312" w:cs="楷体_GB2312"/>
          <w:bCs/>
          <w:sz w:val="32"/>
          <w:szCs w:val="32"/>
        </w:rPr>
        <w:t>收入预算情况说明</w:t>
      </w:r>
    </w:p>
    <w:p w14:paraId="2302C9DC">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（三）关于湖州市吴兴区社会治理中心</w:t>
      </w:r>
      <w:r>
        <w:rPr>
          <w:rFonts w:hint="eastAsia" w:ascii="楷体_GB2312" w:hAnsi="楷体_GB2312" w:eastAsia="楷体_GB2312" w:cs="楷体_GB2312"/>
          <w:bCs/>
          <w:sz w:val="32"/>
          <w:szCs w:val="32"/>
          <w:lang w:eastAsia="zh-CN"/>
        </w:rPr>
        <w:t>2025年</w:t>
      </w:r>
      <w:r>
        <w:rPr>
          <w:rFonts w:hint="eastAsia" w:ascii="楷体_GB2312" w:hAnsi="楷体_GB2312" w:eastAsia="楷体_GB2312" w:cs="楷体_GB2312"/>
          <w:bCs/>
          <w:sz w:val="32"/>
          <w:szCs w:val="32"/>
        </w:rPr>
        <w:t>支出预算情况说明</w:t>
      </w:r>
      <w:r>
        <w:rPr>
          <w:rFonts w:hint="eastAsia" w:ascii="楷体_GB2312" w:hAnsi="楷体_GB2312" w:eastAsia="楷体_GB2312" w:cs="楷体_GB2312"/>
          <w:bCs/>
          <w:sz w:val="32"/>
          <w:szCs w:val="32"/>
        </w:rPr>
        <w:br w:type="textWrapping"/>
      </w:r>
      <w:r>
        <w:rPr>
          <w:rFonts w:hint="eastAsia" w:ascii="楷体_GB2312" w:hAnsi="楷体_GB2312" w:eastAsia="楷体_GB2312" w:cs="楷体_GB2312"/>
          <w:bCs/>
          <w:sz w:val="32"/>
          <w:szCs w:val="32"/>
        </w:rPr>
        <w:t>（四）关于湖州市吴兴区社会治理中心</w:t>
      </w:r>
      <w:r>
        <w:rPr>
          <w:rFonts w:hint="eastAsia" w:ascii="楷体_GB2312" w:hAnsi="楷体_GB2312" w:eastAsia="楷体_GB2312" w:cs="楷体_GB2312"/>
          <w:bCs/>
          <w:sz w:val="32"/>
          <w:szCs w:val="32"/>
          <w:lang w:eastAsia="zh-CN"/>
        </w:rPr>
        <w:t>2025年</w:t>
      </w:r>
      <w:r>
        <w:rPr>
          <w:rFonts w:hint="eastAsia" w:ascii="楷体_GB2312" w:hAnsi="楷体_GB2312" w:eastAsia="楷体_GB2312" w:cs="楷体_GB2312"/>
          <w:bCs/>
          <w:sz w:val="32"/>
          <w:szCs w:val="32"/>
        </w:rPr>
        <w:t>财政拨款收支预算情况的总体说明</w:t>
      </w:r>
    </w:p>
    <w:p w14:paraId="10DCBD2A">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（五）关于湖州市吴兴区社会治理中心</w:t>
      </w:r>
      <w:r>
        <w:rPr>
          <w:rFonts w:hint="eastAsia" w:ascii="楷体_GB2312" w:hAnsi="楷体_GB2312" w:eastAsia="楷体_GB2312" w:cs="楷体_GB2312"/>
          <w:bCs/>
          <w:sz w:val="32"/>
          <w:szCs w:val="32"/>
          <w:lang w:eastAsia="zh-CN"/>
        </w:rPr>
        <w:t>2025年</w:t>
      </w:r>
      <w:r>
        <w:rPr>
          <w:rFonts w:hint="eastAsia" w:ascii="楷体_GB2312" w:hAnsi="楷体_GB2312" w:eastAsia="楷体_GB2312" w:cs="楷体_GB2312"/>
          <w:bCs/>
          <w:sz w:val="32"/>
          <w:szCs w:val="32"/>
        </w:rPr>
        <w:t>一般公共预算拨款情况说明</w:t>
      </w:r>
    </w:p>
    <w:p w14:paraId="62A35E18">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（六）关于湖州市吴兴区社会治理中心</w:t>
      </w:r>
      <w:r>
        <w:rPr>
          <w:rFonts w:hint="eastAsia" w:ascii="楷体_GB2312" w:hAnsi="楷体_GB2312" w:eastAsia="楷体_GB2312" w:cs="楷体_GB2312"/>
          <w:bCs/>
          <w:sz w:val="32"/>
          <w:szCs w:val="32"/>
          <w:lang w:eastAsia="zh-CN"/>
        </w:rPr>
        <w:t>2025年</w:t>
      </w:r>
      <w:r>
        <w:rPr>
          <w:rFonts w:hint="eastAsia" w:ascii="楷体_GB2312" w:hAnsi="楷体_GB2312" w:eastAsia="楷体_GB2312" w:cs="楷体_GB2312"/>
          <w:bCs/>
          <w:sz w:val="32"/>
          <w:szCs w:val="32"/>
        </w:rPr>
        <w:t>一般公共预算基本支出情况说明</w:t>
      </w:r>
    </w:p>
    <w:p w14:paraId="05637FBC">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（七）关于湖州市吴兴区社会治理中心</w:t>
      </w:r>
      <w:r>
        <w:rPr>
          <w:rFonts w:hint="eastAsia" w:ascii="楷体_GB2312" w:hAnsi="楷体_GB2312" w:eastAsia="楷体_GB2312" w:cs="楷体_GB2312"/>
          <w:bCs/>
          <w:sz w:val="32"/>
          <w:szCs w:val="32"/>
          <w:lang w:eastAsia="zh-CN"/>
        </w:rPr>
        <w:t>2025年</w:t>
      </w:r>
      <w:r>
        <w:rPr>
          <w:rFonts w:hint="eastAsia" w:ascii="楷体_GB2312" w:hAnsi="楷体_GB2312" w:eastAsia="楷体_GB2312" w:cs="楷体_GB2312"/>
          <w:bCs/>
          <w:sz w:val="32"/>
          <w:szCs w:val="32"/>
        </w:rPr>
        <w:t>政府性基金预算支出情况说明</w:t>
      </w:r>
    </w:p>
    <w:p w14:paraId="75C91ED6">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（八）关于湖州市吴兴区社会治理中心</w:t>
      </w:r>
      <w:r>
        <w:rPr>
          <w:rFonts w:hint="eastAsia" w:ascii="楷体_GB2312" w:hAnsi="楷体_GB2312" w:eastAsia="楷体_GB2312" w:cs="楷体_GB2312"/>
          <w:bCs/>
          <w:sz w:val="32"/>
          <w:szCs w:val="32"/>
          <w:lang w:eastAsia="zh-CN"/>
        </w:rPr>
        <w:t>2025年</w:t>
      </w:r>
      <w:r>
        <w:rPr>
          <w:rFonts w:hint="eastAsia" w:ascii="楷体_GB2312" w:hAnsi="楷体_GB2312" w:eastAsia="楷体_GB2312" w:cs="楷体_GB2312"/>
          <w:bCs/>
          <w:sz w:val="32"/>
          <w:szCs w:val="32"/>
        </w:rPr>
        <w:t>国有资本经营预算支出情况说明</w:t>
      </w:r>
    </w:p>
    <w:p w14:paraId="53B33D84">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（九）关于湖州市吴兴区社会治理中心</w:t>
      </w:r>
      <w:r>
        <w:rPr>
          <w:rFonts w:hint="eastAsia" w:ascii="楷体_GB2312" w:hAnsi="楷体_GB2312" w:eastAsia="楷体_GB2312" w:cs="楷体_GB2312"/>
          <w:bCs/>
          <w:sz w:val="32"/>
          <w:szCs w:val="32"/>
          <w:lang w:eastAsia="zh-CN"/>
        </w:rPr>
        <w:t>2025年</w:t>
      </w:r>
      <w:r>
        <w:rPr>
          <w:rFonts w:hint="eastAsia" w:ascii="楷体_GB2312" w:hAnsi="楷体_GB2312" w:eastAsia="楷体_GB2312" w:cs="楷体_GB2312"/>
          <w:bCs/>
          <w:sz w:val="32"/>
          <w:szCs w:val="32"/>
        </w:rPr>
        <w:t>一般公共预算“三公”经费预算情况说明</w:t>
      </w:r>
    </w:p>
    <w:p w14:paraId="7F06F6EF">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（十）其他重要事项的情况说明</w:t>
      </w:r>
    </w:p>
    <w:p w14:paraId="3613D3CD">
      <w:pPr>
        <w:pStyle w:val="14"/>
        <w:spacing w:line="520" w:lineRule="exact"/>
        <w:rPr>
          <w:rStyle w:val="9"/>
          <w:rFonts w:ascii="黑体" w:hAnsi="Calibri" w:eastAsia="黑体"/>
          <w:b w:val="0"/>
          <w:color w:val="000000"/>
          <w:kern w:val="2"/>
          <w:sz w:val="32"/>
          <w:szCs w:val="32"/>
        </w:rPr>
      </w:pPr>
      <w:r>
        <w:rPr>
          <w:rStyle w:val="9"/>
          <w:rFonts w:hint="eastAsia" w:ascii="黑体" w:hAnsi="Calibri" w:eastAsia="黑体"/>
          <w:b w:val="0"/>
          <w:color w:val="000000"/>
          <w:kern w:val="2"/>
          <w:sz w:val="32"/>
          <w:szCs w:val="32"/>
        </w:rPr>
        <w:t>三、名词解释</w:t>
      </w:r>
    </w:p>
    <w:p w14:paraId="6E0C6A2E">
      <w:pPr>
        <w:spacing w:line="520" w:lineRule="exact"/>
        <w:rPr>
          <w:rStyle w:val="9"/>
          <w:rFonts w:ascii="黑体" w:eastAsia="黑体"/>
          <w:b w:val="0"/>
          <w:color w:val="000000"/>
          <w:sz w:val="32"/>
          <w:szCs w:val="32"/>
        </w:rPr>
      </w:pPr>
      <w:r>
        <w:rPr>
          <w:rStyle w:val="9"/>
          <w:rFonts w:hint="eastAsia" w:ascii="黑体" w:eastAsia="黑体"/>
          <w:b w:val="0"/>
          <w:color w:val="000000"/>
          <w:sz w:val="32"/>
          <w:szCs w:val="32"/>
        </w:rPr>
        <w:t>四、</w:t>
      </w:r>
      <w:r>
        <w:rPr>
          <w:rStyle w:val="9"/>
          <w:rFonts w:hint="eastAsia" w:ascii="黑体" w:eastAsia="黑体"/>
          <w:b w:val="0"/>
          <w:color w:val="000000"/>
          <w:sz w:val="32"/>
          <w:szCs w:val="32"/>
          <w:lang w:eastAsia="zh-CN"/>
        </w:rPr>
        <w:t>2025年</w:t>
      </w:r>
      <w:r>
        <w:rPr>
          <w:rStyle w:val="9"/>
          <w:rFonts w:hint="eastAsia" w:ascii="黑体" w:eastAsia="黑体"/>
          <w:b w:val="0"/>
          <w:color w:val="000000"/>
          <w:sz w:val="32"/>
          <w:szCs w:val="32"/>
        </w:rPr>
        <w:t>湖州市吴兴区社会治理中心单位预算表</w:t>
      </w:r>
    </w:p>
    <w:p w14:paraId="2B3CE803">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w:t>
      </w:r>
      <w:r>
        <w:rPr>
          <w:rFonts w:hint="eastAsia" w:ascii="楷体_GB2312" w:hAnsi="楷体_GB2312" w:eastAsia="楷体_GB2312" w:cs="楷体_GB2312"/>
          <w:bCs/>
          <w:sz w:val="32"/>
          <w:szCs w:val="32"/>
          <w:lang w:eastAsia="zh-CN"/>
        </w:rPr>
        <w:t>2025年</w:t>
      </w:r>
      <w:r>
        <w:rPr>
          <w:rFonts w:hint="eastAsia" w:ascii="楷体_GB2312" w:hAnsi="楷体_GB2312" w:eastAsia="楷体_GB2312" w:cs="楷体_GB2312"/>
          <w:bCs/>
          <w:sz w:val="32"/>
          <w:szCs w:val="32"/>
        </w:rPr>
        <w:t>单位收支预算总表</w:t>
      </w:r>
    </w:p>
    <w:p w14:paraId="41C3CBA0">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w:t>
      </w:r>
      <w:r>
        <w:rPr>
          <w:rFonts w:hint="eastAsia" w:ascii="楷体_GB2312" w:hAnsi="楷体_GB2312" w:eastAsia="楷体_GB2312" w:cs="楷体_GB2312"/>
          <w:bCs/>
          <w:sz w:val="32"/>
          <w:szCs w:val="32"/>
          <w:lang w:eastAsia="zh-CN"/>
        </w:rPr>
        <w:t>2025年</w:t>
      </w:r>
      <w:r>
        <w:rPr>
          <w:rFonts w:hint="eastAsia" w:ascii="楷体_GB2312" w:hAnsi="楷体_GB2312" w:eastAsia="楷体_GB2312" w:cs="楷体_GB2312"/>
          <w:bCs/>
          <w:sz w:val="32"/>
          <w:szCs w:val="32"/>
        </w:rPr>
        <w:t>单位收入预算总表</w:t>
      </w:r>
    </w:p>
    <w:p w14:paraId="2876C440">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（三）</w:t>
      </w:r>
      <w:r>
        <w:rPr>
          <w:rFonts w:hint="eastAsia" w:ascii="楷体_GB2312" w:hAnsi="楷体_GB2312" w:eastAsia="楷体_GB2312" w:cs="楷体_GB2312"/>
          <w:bCs/>
          <w:sz w:val="32"/>
          <w:szCs w:val="32"/>
          <w:lang w:eastAsia="zh-CN"/>
        </w:rPr>
        <w:t>2025年</w:t>
      </w:r>
      <w:r>
        <w:rPr>
          <w:rFonts w:hint="eastAsia" w:ascii="楷体_GB2312" w:hAnsi="楷体_GB2312" w:eastAsia="楷体_GB2312" w:cs="楷体_GB2312"/>
          <w:bCs/>
          <w:sz w:val="32"/>
          <w:szCs w:val="32"/>
        </w:rPr>
        <w:t>单位支出预算总表</w:t>
      </w:r>
    </w:p>
    <w:p w14:paraId="0D96619C">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（四）</w:t>
      </w:r>
      <w:r>
        <w:rPr>
          <w:rFonts w:hint="eastAsia" w:ascii="楷体_GB2312" w:hAnsi="楷体_GB2312" w:eastAsia="楷体_GB2312" w:cs="楷体_GB2312"/>
          <w:bCs/>
          <w:sz w:val="32"/>
          <w:szCs w:val="32"/>
          <w:lang w:eastAsia="zh-CN"/>
        </w:rPr>
        <w:t>2025年</w:t>
      </w:r>
      <w:r>
        <w:rPr>
          <w:rFonts w:hint="eastAsia" w:ascii="楷体_GB2312" w:hAnsi="楷体_GB2312" w:eastAsia="楷体_GB2312" w:cs="楷体_GB2312"/>
          <w:bCs/>
          <w:sz w:val="32"/>
          <w:szCs w:val="32"/>
        </w:rPr>
        <w:t>单位财政拨款收支预算总表</w:t>
      </w:r>
    </w:p>
    <w:p w14:paraId="4CBC36BB">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（五）</w:t>
      </w:r>
      <w:r>
        <w:rPr>
          <w:rFonts w:hint="eastAsia" w:ascii="楷体_GB2312" w:hAnsi="楷体_GB2312" w:eastAsia="楷体_GB2312" w:cs="楷体_GB2312"/>
          <w:bCs/>
          <w:sz w:val="32"/>
          <w:szCs w:val="32"/>
          <w:lang w:eastAsia="zh-CN"/>
        </w:rPr>
        <w:t>2025年</w:t>
      </w:r>
      <w:r>
        <w:rPr>
          <w:rFonts w:hint="eastAsia" w:ascii="楷体_GB2312" w:hAnsi="楷体_GB2312" w:eastAsia="楷体_GB2312" w:cs="楷体_GB2312"/>
          <w:bCs/>
          <w:sz w:val="32"/>
          <w:szCs w:val="32"/>
        </w:rPr>
        <w:t>单位一般公共预算支出表</w:t>
      </w:r>
    </w:p>
    <w:p w14:paraId="3EEB610A">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（六）</w:t>
      </w:r>
      <w:r>
        <w:rPr>
          <w:rFonts w:hint="eastAsia" w:ascii="楷体_GB2312" w:hAnsi="楷体_GB2312" w:eastAsia="楷体_GB2312" w:cs="楷体_GB2312"/>
          <w:bCs/>
          <w:sz w:val="32"/>
          <w:szCs w:val="32"/>
          <w:lang w:eastAsia="zh-CN"/>
        </w:rPr>
        <w:t>2025年</w:t>
      </w:r>
      <w:r>
        <w:rPr>
          <w:rFonts w:hint="eastAsia" w:ascii="楷体_GB2312" w:hAnsi="楷体_GB2312" w:eastAsia="楷体_GB2312" w:cs="楷体_GB2312"/>
          <w:bCs/>
          <w:sz w:val="32"/>
          <w:szCs w:val="32"/>
        </w:rPr>
        <w:t>单位一般公共预算基本支出表</w:t>
      </w:r>
    </w:p>
    <w:p w14:paraId="5E8B4C33">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（七）</w:t>
      </w:r>
      <w:r>
        <w:rPr>
          <w:rFonts w:hint="eastAsia" w:ascii="楷体_GB2312" w:hAnsi="楷体_GB2312" w:eastAsia="楷体_GB2312" w:cs="楷体_GB2312"/>
          <w:bCs/>
          <w:sz w:val="32"/>
          <w:szCs w:val="32"/>
          <w:lang w:eastAsia="zh-CN"/>
        </w:rPr>
        <w:t>2025年</w:t>
      </w:r>
      <w:r>
        <w:rPr>
          <w:rFonts w:hint="eastAsia" w:ascii="楷体_GB2312" w:hAnsi="楷体_GB2312" w:eastAsia="楷体_GB2312" w:cs="楷体_GB2312"/>
          <w:bCs/>
          <w:sz w:val="32"/>
          <w:szCs w:val="32"/>
        </w:rPr>
        <w:t>单位一般公共预算“三公”经费支出表</w:t>
      </w:r>
    </w:p>
    <w:p w14:paraId="7406AAB9">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（八）</w:t>
      </w:r>
      <w:r>
        <w:rPr>
          <w:rFonts w:hint="eastAsia" w:ascii="楷体_GB2312" w:hAnsi="楷体_GB2312" w:eastAsia="楷体_GB2312" w:cs="楷体_GB2312"/>
          <w:bCs/>
          <w:sz w:val="32"/>
          <w:szCs w:val="32"/>
          <w:lang w:eastAsia="zh-CN"/>
        </w:rPr>
        <w:t>2025年</w:t>
      </w:r>
      <w:r>
        <w:rPr>
          <w:rFonts w:hint="eastAsia" w:ascii="楷体_GB2312" w:hAnsi="楷体_GB2312" w:eastAsia="楷体_GB2312" w:cs="楷体_GB2312"/>
          <w:bCs/>
          <w:sz w:val="32"/>
          <w:szCs w:val="32"/>
        </w:rPr>
        <w:t>单位政府性基金预算支出表</w:t>
      </w:r>
    </w:p>
    <w:p w14:paraId="0CC0E404">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（九）</w:t>
      </w:r>
      <w:r>
        <w:rPr>
          <w:rFonts w:hint="eastAsia" w:ascii="楷体_GB2312" w:hAnsi="楷体_GB2312" w:eastAsia="楷体_GB2312" w:cs="楷体_GB2312"/>
          <w:bCs/>
          <w:sz w:val="32"/>
          <w:szCs w:val="32"/>
          <w:lang w:eastAsia="zh-CN"/>
        </w:rPr>
        <w:t>2025年</w:t>
      </w:r>
      <w:r>
        <w:rPr>
          <w:rFonts w:hint="eastAsia" w:ascii="楷体_GB2312" w:hAnsi="楷体_GB2312" w:eastAsia="楷体_GB2312" w:cs="楷体_GB2312"/>
          <w:bCs/>
          <w:sz w:val="32"/>
          <w:szCs w:val="32"/>
        </w:rPr>
        <w:t>单位国有资本经营预算支出表</w:t>
      </w:r>
    </w:p>
    <w:p w14:paraId="3185C066">
      <w:pPr>
        <w:autoSpaceDE w:val="0"/>
        <w:autoSpaceDN w:val="0"/>
        <w:adjustRightInd w:val="0"/>
        <w:ind w:left="420" w:leftChars="200"/>
        <w:jc w:val="left"/>
        <w:rPr>
          <w:rFonts w:ascii="楷体_GB2312" w:hAnsi="楷体_GB2312" w:eastAsia="楷体_GB2312" w:cs="楷体_GB2312"/>
          <w:bCs/>
          <w:sz w:val="32"/>
          <w:szCs w:val="32"/>
        </w:rPr>
      </w:pPr>
      <w:r>
        <w:rPr>
          <w:rFonts w:hint="eastAsia" w:ascii="楷体_GB2312" w:hAnsi="楷体_GB2312" w:eastAsia="楷体_GB2312" w:cs="楷体_GB2312"/>
          <w:bCs/>
          <w:sz w:val="32"/>
          <w:szCs w:val="32"/>
        </w:rPr>
        <w:t>（十）</w:t>
      </w:r>
      <w:r>
        <w:rPr>
          <w:rFonts w:hint="eastAsia" w:ascii="楷体_GB2312" w:hAnsi="楷体_GB2312" w:eastAsia="楷体_GB2312" w:cs="楷体_GB2312"/>
          <w:bCs/>
          <w:sz w:val="32"/>
          <w:szCs w:val="32"/>
          <w:lang w:eastAsia="zh-CN"/>
        </w:rPr>
        <w:t>2025年</w:t>
      </w:r>
      <w:r>
        <w:rPr>
          <w:rFonts w:hint="eastAsia" w:ascii="楷体_GB2312" w:hAnsi="楷体_GB2312" w:eastAsia="楷体_GB2312" w:cs="楷体_GB2312"/>
          <w:bCs/>
          <w:sz w:val="32"/>
          <w:szCs w:val="32"/>
        </w:rPr>
        <w:t>单位项目支出预算表</w:t>
      </w:r>
    </w:p>
    <w:p w14:paraId="35D8B894">
      <w:pPr>
        <w:autoSpaceDE w:val="0"/>
        <w:autoSpaceDN w:val="0"/>
        <w:adjustRightInd w:val="0"/>
        <w:ind w:left="420" w:leftChars="200"/>
        <w:jc w:val="left"/>
        <w:rPr>
          <w:rStyle w:val="9"/>
          <w:rFonts w:ascii="楷体_GB2312" w:hAnsi="楷体_GB2312" w:eastAsia="楷体_GB2312" w:cs="楷体_GB2312"/>
          <w:b w:val="0"/>
          <w:sz w:val="32"/>
          <w:szCs w:val="32"/>
        </w:rPr>
      </w:pPr>
      <w:r>
        <w:rPr>
          <w:rFonts w:hint="eastAsia" w:ascii="楷体_GB2312" w:hAnsi="楷体_GB2312" w:eastAsia="楷体_GB2312" w:cs="楷体_GB2312"/>
          <w:bCs/>
          <w:sz w:val="32"/>
          <w:szCs w:val="32"/>
        </w:rPr>
        <w:t>（十一）</w:t>
      </w:r>
      <w:r>
        <w:rPr>
          <w:rFonts w:hint="eastAsia" w:ascii="楷体_GB2312" w:hAnsi="楷体_GB2312" w:eastAsia="楷体_GB2312" w:cs="楷体_GB2312"/>
          <w:bCs/>
          <w:sz w:val="32"/>
          <w:szCs w:val="32"/>
          <w:lang w:eastAsia="zh-CN"/>
        </w:rPr>
        <w:t>2025年</w:t>
      </w:r>
      <w:r>
        <w:rPr>
          <w:rFonts w:hint="eastAsia" w:ascii="楷体_GB2312" w:hAnsi="楷体_GB2312" w:eastAsia="楷体_GB2312" w:cs="楷体_GB2312"/>
          <w:bCs/>
          <w:sz w:val="32"/>
          <w:szCs w:val="32"/>
        </w:rPr>
        <w:t>单位项目支出绩效表</w:t>
      </w:r>
    </w:p>
    <w:p w14:paraId="64C600D1">
      <w:pPr>
        <w:pStyle w:val="2"/>
        <w:rPr>
          <w:rStyle w:val="9"/>
          <w:rFonts w:hint="default" w:ascii="黑体" w:eastAsia="黑体"/>
          <w:b w:val="0"/>
          <w:sz w:val="32"/>
          <w:szCs w:val="32"/>
        </w:rPr>
      </w:pPr>
    </w:p>
    <w:p w14:paraId="4E58A9E8">
      <w:pPr>
        <w:pStyle w:val="2"/>
        <w:rPr>
          <w:rStyle w:val="9"/>
          <w:rFonts w:hint="default" w:ascii="黑体" w:eastAsia="黑体"/>
          <w:b w:val="0"/>
          <w:sz w:val="32"/>
          <w:szCs w:val="32"/>
        </w:rPr>
      </w:pPr>
    </w:p>
    <w:p w14:paraId="32F3A7A9">
      <w:pPr>
        <w:pStyle w:val="2"/>
        <w:rPr>
          <w:rStyle w:val="9"/>
          <w:rFonts w:hint="default" w:ascii="黑体" w:eastAsia="黑体"/>
          <w:b w:val="0"/>
          <w:sz w:val="32"/>
          <w:szCs w:val="32"/>
        </w:rPr>
      </w:pPr>
    </w:p>
    <w:p w14:paraId="4CAFF240">
      <w:pPr>
        <w:pStyle w:val="2"/>
        <w:rPr>
          <w:rStyle w:val="9"/>
          <w:rFonts w:hint="default" w:ascii="黑体" w:eastAsia="黑体"/>
          <w:b w:val="0"/>
          <w:sz w:val="32"/>
          <w:szCs w:val="32"/>
        </w:rPr>
      </w:pPr>
    </w:p>
    <w:p w14:paraId="1FC69136">
      <w:pPr>
        <w:pStyle w:val="2"/>
        <w:rPr>
          <w:rStyle w:val="9"/>
          <w:rFonts w:hint="default" w:ascii="黑体" w:eastAsia="黑体"/>
          <w:b w:val="0"/>
          <w:sz w:val="32"/>
          <w:szCs w:val="32"/>
        </w:rPr>
      </w:pPr>
    </w:p>
    <w:p w14:paraId="13C1EE2A">
      <w:pPr>
        <w:pStyle w:val="2"/>
        <w:tabs>
          <w:tab w:val="left" w:pos="2608"/>
        </w:tabs>
        <w:rPr>
          <w:rStyle w:val="9"/>
          <w:rFonts w:hint="default" w:ascii="黑体" w:eastAsia="黑体"/>
          <w:b w:val="0"/>
          <w:sz w:val="32"/>
          <w:szCs w:val="32"/>
        </w:rPr>
      </w:pPr>
      <w:r>
        <w:rPr>
          <w:rStyle w:val="9"/>
          <w:rFonts w:ascii="黑体" w:eastAsia="黑体"/>
          <w:b w:val="0"/>
          <w:sz w:val="32"/>
          <w:szCs w:val="32"/>
        </w:rPr>
        <w:tab/>
      </w:r>
    </w:p>
    <w:p w14:paraId="0DF79586">
      <w:pPr>
        <w:pStyle w:val="14"/>
        <w:spacing w:line="520" w:lineRule="exact"/>
        <w:ind w:firstLine="640" w:firstLineChars="200"/>
        <w:rPr>
          <w:rFonts w:hint="eastAsia" w:ascii="黑体" w:hAnsi="黑体" w:eastAsia="黑体" w:cs="黑体"/>
          <w:bCs/>
          <w:kern w:val="2"/>
          <w:sz w:val="32"/>
          <w:szCs w:val="32"/>
        </w:rPr>
      </w:pPr>
      <w:r>
        <w:rPr>
          <w:rFonts w:hint="eastAsia" w:ascii="黑体" w:hAnsi="黑体" w:eastAsia="黑体" w:cs="黑体"/>
          <w:bCs/>
          <w:kern w:val="2"/>
          <w:sz w:val="32"/>
          <w:szCs w:val="32"/>
        </w:rPr>
        <w:t>一、单位概况</w:t>
      </w:r>
    </w:p>
    <w:p w14:paraId="1F471EE6">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（一）主要职能</w:t>
      </w:r>
    </w:p>
    <w:p w14:paraId="702B884C">
      <w:pPr>
        <w:spacing w:line="520" w:lineRule="exact"/>
        <w:ind w:firstLine="627" w:firstLineChars="196"/>
        <w:rPr>
          <w:rFonts w:hint="eastAsia" w:ascii="仿宋_GB2312" w:hAnsi="Times New Roman" w:eastAsia="仿宋_GB2312" w:cs="Times New Roman"/>
          <w:bCs/>
          <w:sz w:val="32"/>
          <w:szCs w:val="32"/>
        </w:rPr>
      </w:pPr>
      <w:r>
        <w:rPr>
          <w:rFonts w:hint="eastAsia" w:ascii="仿宋_GB2312" w:hAnsi="Times New Roman" w:eastAsia="仿宋_GB2312" w:cs="Times New Roman"/>
          <w:bCs/>
          <w:sz w:val="32"/>
          <w:szCs w:val="32"/>
          <w:lang w:val="en-US" w:eastAsia="zh-CN"/>
        </w:rPr>
        <w:t>1.</w:t>
      </w:r>
      <w:r>
        <w:rPr>
          <w:rFonts w:hint="eastAsia" w:ascii="仿宋_GB2312" w:hAnsi="Times New Roman" w:eastAsia="仿宋_GB2312" w:cs="Times New Roman"/>
          <w:bCs/>
          <w:sz w:val="32"/>
          <w:szCs w:val="32"/>
        </w:rPr>
        <w:t>负责搭建矛盾调处一站式服务平台，组织、协调社会矛盾纠纷事件的一窗式受理、一揽子调处、全链条化解工作， 建立健全跨层级、跨地域、跨部门的社会矛盾纠纷调处化解机制。指导、协调乡镇(街道)、相关部门和各行业专业调委会</w:t>
      </w:r>
      <w:r>
        <w:rPr>
          <w:rFonts w:hint="eastAsia" w:ascii="仿宋_GB2312" w:hAnsi="Times New Roman" w:eastAsia="仿宋_GB2312" w:cs="Times New Roman"/>
          <w:bCs/>
          <w:sz w:val="32"/>
          <w:szCs w:val="32"/>
          <w:lang w:val="en-US" w:eastAsia="zh-CN"/>
        </w:rPr>
        <w:t>矛</w:t>
      </w:r>
      <w:r>
        <w:rPr>
          <w:rFonts w:hint="eastAsia" w:ascii="仿宋_GB2312" w:hAnsi="Times New Roman" w:eastAsia="仿宋_GB2312" w:cs="Times New Roman"/>
          <w:bCs/>
          <w:sz w:val="32"/>
          <w:szCs w:val="32"/>
        </w:rPr>
        <w:t>盾纠纷调解工作。</w:t>
      </w:r>
    </w:p>
    <w:p w14:paraId="27BB5725">
      <w:pPr>
        <w:spacing w:line="520" w:lineRule="exact"/>
        <w:ind w:firstLine="627" w:firstLineChars="196"/>
        <w:rPr>
          <w:rFonts w:hint="eastAsia" w:ascii="仿宋_GB2312" w:hAnsi="Times New Roman" w:eastAsia="仿宋_GB2312" w:cs="Times New Roman"/>
          <w:bCs/>
          <w:sz w:val="32"/>
          <w:szCs w:val="32"/>
          <w:lang w:val="en-US" w:eastAsia="zh-CN"/>
        </w:rPr>
      </w:pPr>
      <w:r>
        <w:rPr>
          <w:rFonts w:hint="eastAsia" w:ascii="仿宋_GB2312" w:hAnsi="Times New Roman" w:eastAsia="仿宋_GB2312" w:cs="Times New Roman"/>
          <w:bCs/>
          <w:sz w:val="32"/>
          <w:szCs w:val="32"/>
          <w:lang w:val="en-US" w:eastAsia="zh-CN"/>
        </w:rPr>
        <w:t>2.负责协助推进重点应用和事项贯通的牵头部门，对 基层智治系统重要指标、核心指数运行态势及重大应用运行情况等开展实时监测、预测预警，督促平台事件的分类处置，统筹协调部门间业务协同联办处置。</w:t>
      </w:r>
    </w:p>
    <w:p w14:paraId="7C2E1E71">
      <w:pPr>
        <w:spacing w:line="520" w:lineRule="exact"/>
        <w:ind w:firstLine="627" w:firstLineChars="196"/>
        <w:rPr>
          <w:rFonts w:hint="default" w:ascii="仿宋_GB2312" w:hAnsi="Times New Roman" w:eastAsia="仿宋_GB2312" w:cs="Times New Roman"/>
          <w:bCs/>
          <w:sz w:val="32"/>
          <w:szCs w:val="32"/>
          <w:lang w:val="en-US" w:eastAsia="zh-CN"/>
        </w:rPr>
      </w:pPr>
      <w:r>
        <w:rPr>
          <w:rFonts w:hint="eastAsia" w:ascii="仿宋_GB2312" w:hAnsi="Times New Roman" w:eastAsia="仿宋_GB2312" w:cs="Times New Roman"/>
          <w:bCs/>
          <w:sz w:val="32"/>
          <w:szCs w:val="32"/>
          <w:lang w:val="en-US" w:eastAsia="zh-CN"/>
        </w:rPr>
        <w:t>3.负责常态化开展分析研判，发现规律性、趋势性、苗头性问题,及时向部门和乡镇（街道）发出精准预警建议，为党委政府科学决策提供参考依据。</w:t>
      </w:r>
    </w:p>
    <w:p w14:paraId="496C651F">
      <w:pPr>
        <w:spacing w:line="520" w:lineRule="exact"/>
        <w:ind w:firstLine="627" w:firstLineChars="196"/>
        <w:rPr>
          <w:rFonts w:hint="eastAsia" w:ascii="仿宋_GB2312" w:hAnsi="Times New Roman" w:eastAsia="仿宋_GB2312" w:cs="Times New Roman"/>
          <w:bCs/>
          <w:sz w:val="32"/>
          <w:szCs w:val="32"/>
          <w:lang w:val="en-US" w:eastAsia="zh-CN"/>
        </w:rPr>
      </w:pPr>
      <w:r>
        <w:rPr>
          <w:rFonts w:hint="eastAsia" w:ascii="仿宋_GB2312" w:hAnsi="Times New Roman" w:eastAsia="仿宋_GB2312" w:cs="Times New Roman"/>
          <w:bCs/>
          <w:sz w:val="32"/>
          <w:szCs w:val="32"/>
          <w:lang w:val="en-US" w:eastAsia="zh-CN"/>
        </w:rPr>
        <w:t>4.负责集成基层治理“四平台”、群众信访、应急管理 等各类社会矛盾纠纷调处化解信息系统资源，承担常态、专题、重点社会矛盾纠纷调处化解信息的综合研判会商和风险预测预警工作。</w:t>
      </w:r>
    </w:p>
    <w:p w14:paraId="33B03B2F">
      <w:pPr>
        <w:spacing w:line="520" w:lineRule="exact"/>
        <w:ind w:firstLine="627" w:firstLineChars="196"/>
        <w:rPr>
          <w:rFonts w:hint="eastAsia" w:ascii="仿宋_GB2312" w:hAnsi="Times New Roman" w:eastAsia="仿宋_GB2312" w:cs="Times New Roman"/>
          <w:bCs/>
          <w:sz w:val="32"/>
          <w:szCs w:val="32"/>
          <w:lang w:val="en-US" w:eastAsia="zh-CN"/>
        </w:rPr>
      </w:pPr>
      <w:r>
        <w:rPr>
          <w:rFonts w:hint="eastAsia" w:ascii="仿宋_GB2312" w:hAnsi="Times New Roman" w:eastAsia="仿宋_GB2312" w:cs="Times New Roman"/>
          <w:bCs/>
          <w:sz w:val="32"/>
          <w:szCs w:val="32"/>
          <w:lang w:val="en-US" w:eastAsia="zh-CN"/>
        </w:rPr>
        <w:t>5.负责流转交办各类事项的跟办督办、督查考核，牵头对部门派驻机构、中心入驻人员工作成效、贯通应用牵头单 位履职等情况开展考评。</w:t>
      </w:r>
    </w:p>
    <w:p w14:paraId="1D271C73">
      <w:pPr>
        <w:spacing w:line="520" w:lineRule="exact"/>
        <w:ind w:firstLine="627" w:firstLineChars="196"/>
        <w:rPr>
          <w:rFonts w:hint="eastAsia" w:ascii="仿宋_GB2312" w:hAnsi="Times New Roman" w:eastAsia="仿宋_GB2312" w:cs="Times New Roman"/>
          <w:bCs/>
          <w:sz w:val="32"/>
          <w:szCs w:val="32"/>
          <w:lang w:val="en-US" w:eastAsia="zh-CN"/>
        </w:rPr>
      </w:pPr>
      <w:r>
        <w:rPr>
          <w:rFonts w:hint="eastAsia" w:ascii="仿宋_GB2312" w:hAnsi="Times New Roman" w:eastAsia="仿宋_GB2312" w:cs="Times New Roman"/>
          <w:bCs/>
          <w:sz w:val="32"/>
          <w:szCs w:val="32"/>
          <w:lang w:val="en-US" w:eastAsia="zh-CN"/>
        </w:rPr>
        <w:t>6.负责建立健全功能集成、综合研判、统一指挥、扁平高效的综合指挥体系，协助开展维稳安保类、应急突发类、 疑难复杂类事件的联动指挥和协调处置。发生重大突发性事件 或启动II级及以上级别响应时，为相关应急处置领导小组、牵头部门进驻中心开展指挥调度提供支撑保障。</w:t>
      </w:r>
    </w:p>
    <w:p w14:paraId="5EE74FEA">
      <w:pPr>
        <w:spacing w:line="520" w:lineRule="exact"/>
        <w:ind w:firstLine="627" w:firstLineChars="196"/>
        <w:rPr>
          <w:rFonts w:hint="eastAsia" w:ascii="仿宋_GB2312" w:hAnsi="Times New Roman" w:eastAsia="仿宋_GB2312" w:cs="Times New Roman"/>
          <w:bCs/>
          <w:sz w:val="32"/>
          <w:szCs w:val="32"/>
          <w:lang w:val="en-US" w:eastAsia="zh-CN"/>
        </w:rPr>
      </w:pPr>
      <w:r>
        <w:rPr>
          <w:rFonts w:hint="eastAsia" w:ascii="仿宋_GB2312" w:hAnsi="Times New Roman" w:eastAsia="仿宋_GB2312" w:cs="Times New Roman"/>
          <w:bCs/>
          <w:sz w:val="32"/>
          <w:szCs w:val="32"/>
          <w:lang w:val="en-US" w:eastAsia="zh-CN"/>
        </w:rPr>
        <w:t>7.完成区委、区政府、区委社</w:t>
      </w:r>
      <w:bookmarkStart w:id="0" w:name="_GoBack"/>
      <w:bookmarkEnd w:id="0"/>
      <w:r>
        <w:rPr>
          <w:rFonts w:hint="eastAsia" w:ascii="仿宋_GB2312" w:hAnsi="Times New Roman" w:eastAsia="仿宋_GB2312" w:cs="Times New Roman"/>
          <w:bCs/>
          <w:sz w:val="32"/>
          <w:szCs w:val="32"/>
          <w:lang w:val="en-US" w:eastAsia="zh-CN"/>
        </w:rPr>
        <w:t>会工作部和区委政法委交办的其他任务。</w:t>
      </w:r>
    </w:p>
    <w:p w14:paraId="12580285">
      <w:pPr>
        <w:spacing w:line="520" w:lineRule="exact"/>
        <w:ind w:firstLine="627" w:firstLineChars="196"/>
        <w:rPr>
          <w:rFonts w:ascii="楷体_GB2312" w:hAnsi="楷体_GB2312" w:eastAsia="楷体_GB2312" w:cs="楷体_GB2312"/>
          <w:bCs/>
          <w:sz w:val="32"/>
          <w:szCs w:val="32"/>
        </w:rPr>
      </w:pPr>
      <w:r>
        <w:rPr>
          <w:rFonts w:hint="eastAsia" w:ascii="楷体_GB2312" w:hAnsi="楷体_GB2312" w:eastAsia="楷体_GB2312" w:cs="楷体_GB2312"/>
          <w:bCs/>
          <w:sz w:val="32"/>
          <w:szCs w:val="32"/>
        </w:rPr>
        <w:t>（二）单位机构设置情况</w:t>
      </w:r>
    </w:p>
    <w:p w14:paraId="5A5075F0">
      <w:pPr>
        <w:keepNext w:val="0"/>
        <w:keepLines w:val="0"/>
        <w:pageBreakBefore w:val="0"/>
        <w:kinsoku/>
        <w:wordWrap/>
        <w:overflowPunct/>
        <w:topLinePunct w:val="0"/>
        <w:autoSpaceDE/>
        <w:autoSpaceDN/>
        <w:bidi w:val="0"/>
        <w:adjustRightInd/>
        <w:snapToGrid/>
        <w:spacing w:beforeLines="0" w:afterLines="0" w:line="520" w:lineRule="exact"/>
        <w:ind w:right="0" w:rightChars="0" w:firstLine="627" w:firstLineChars="196"/>
        <w:textAlignment w:val="auto"/>
        <w:outlineLvl w:val="9"/>
      </w:pPr>
      <w:r>
        <w:rPr>
          <w:rFonts w:hint="eastAsia" w:ascii="仿宋_GB2312" w:eastAsia="仿宋_GB2312"/>
          <w:bCs/>
          <w:sz w:val="32"/>
          <w:szCs w:val="32"/>
        </w:rPr>
        <w:t>从预算单位构成看，湖州市吴兴区社会治理中心预算包括：</w:t>
      </w:r>
      <w:r>
        <w:rPr>
          <w:rFonts w:hint="eastAsia" w:ascii="仿宋_GB2312" w:hAnsi="Times New Roman" w:eastAsia="仿宋_GB2312" w:cs="Times New Roman"/>
          <w:bCs/>
          <w:sz w:val="32"/>
          <w:szCs w:val="32"/>
        </w:rPr>
        <w:fldChar w:fldCharType="begin"/>
      </w:r>
      <w:r>
        <w:rPr>
          <w:rFonts w:hint="eastAsia" w:ascii="仿宋_GB2312" w:hAnsi="Times New Roman" w:eastAsia="仿宋_GB2312" w:cs="Times New Roman"/>
          <w:bCs/>
          <w:sz w:val="32"/>
          <w:szCs w:val="32"/>
        </w:rPr>
        <w:instrText xml:space="preserve">MERGEFIELD ${page855778723.ds388518707_V_RPT_BAS_AGENCY_INFO_NAME}</w:instrText>
      </w:r>
      <w:r>
        <w:rPr>
          <w:rFonts w:hint="eastAsia" w:ascii="仿宋_GB2312" w:hAnsi="Times New Roman" w:eastAsia="仿宋_GB2312" w:cs="Times New Roman"/>
          <w:bCs/>
          <w:sz w:val="32"/>
          <w:szCs w:val="32"/>
        </w:rPr>
        <w:fldChar w:fldCharType="separate"/>
      </w:r>
      <w:r>
        <w:rPr>
          <w:rFonts w:hint="eastAsia" w:ascii="仿宋_GB2312" w:hAnsi="Times New Roman" w:eastAsia="仿宋_GB2312" w:cs="Times New Roman"/>
          <w:bCs/>
          <w:sz w:val="32"/>
          <w:szCs w:val="32"/>
        </w:rPr>
        <w:t>湖州市吴兴区社会治理中心</w:t>
      </w:r>
      <w:r>
        <w:rPr>
          <w:rFonts w:hint="eastAsia" w:ascii="仿宋_GB2312" w:hAnsi="Times New Roman" w:eastAsia="仿宋_GB2312" w:cs="Times New Roman"/>
          <w:bCs/>
          <w:sz w:val="32"/>
          <w:szCs w:val="32"/>
        </w:rPr>
        <w:fldChar w:fldCharType="end"/>
      </w:r>
      <w:r>
        <w:rPr>
          <w:rFonts w:hint="eastAsia" w:ascii="仿宋_GB2312" w:hAnsi="Times New Roman" w:eastAsia="仿宋_GB2312" w:cs="Times New Roman"/>
          <w:bCs/>
          <w:sz w:val="32"/>
          <w:szCs w:val="32"/>
          <w:lang w:val="en-US" w:eastAsia="zh-CN"/>
        </w:rPr>
        <w:t>本级一家单位。</w:t>
      </w:r>
    </w:p>
    <w:p w14:paraId="0617D6A1">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ascii="楷体_GB2312" w:hAnsi="楷体_GB2312" w:eastAsia="楷体_GB2312" w:cs="楷体_GB2312"/>
          <w:color w:val="000000"/>
          <w:sz w:val="32"/>
          <w:szCs w:val="32"/>
        </w:rPr>
      </w:pPr>
      <w:r>
        <w:rPr>
          <w:rFonts w:hint="eastAsia" w:ascii="黑体" w:hAnsi="黑体" w:eastAsia="黑体" w:cs="黑体"/>
          <w:bCs/>
          <w:kern w:val="2"/>
          <w:sz w:val="32"/>
          <w:szCs w:val="32"/>
          <w:lang w:val="en-US" w:eastAsia="zh-CN" w:bidi="ar-SA"/>
        </w:rPr>
        <w:t>二、2025年湖州市吴兴区社会治理中心单位预算安排情况说明</w:t>
      </w:r>
      <w:r>
        <w:rPr>
          <w:rFonts w:hint="eastAsia"/>
          <w:color w:val="000000"/>
          <w:sz w:val="32"/>
          <w:szCs w:val="32"/>
        </w:rPr>
        <w:br w:type="textWrapping"/>
      </w:r>
      <w:r>
        <w:rPr>
          <w:rFonts w:hint="eastAsia" w:ascii="仿宋_GB2312" w:eastAsia="仿宋_GB2312"/>
          <w:b/>
          <w:bCs/>
          <w:color w:val="000000"/>
          <w:sz w:val="32"/>
          <w:szCs w:val="32"/>
        </w:rPr>
        <w:t>　　</w:t>
      </w:r>
      <w:r>
        <w:rPr>
          <w:rFonts w:hint="eastAsia" w:ascii="楷体_GB2312" w:hAnsi="楷体_GB2312" w:eastAsia="楷体_GB2312" w:cs="楷体_GB2312"/>
          <w:color w:val="000000"/>
          <w:sz w:val="32"/>
          <w:szCs w:val="32"/>
        </w:rPr>
        <w:t>（一）关于湖州市吴兴区社会治理中心</w:t>
      </w:r>
      <w:r>
        <w:rPr>
          <w:rStyle w:val="9"/>
          <w:rFonts w:hint="eastAsia" w:ascii="楷体_GB2312" w:hAnsi="楷体_GB2312" w:eastAsia="楷体_GB2312" w:cs="楷体_GB2312"/>
          <w:b w:val="0"/>
          <w:bCs w:val="0"/>
          <w:color w:val="000000"/>
          <w:sz w:val="32"/>
          <w:szCs w:val="32"/>
          <w:lang w:eastAsia="zh-CN"/>
        </w:rPr>
        <w:t>2025年</w:t>
      </w:r>
      <w:r>
        <w:rPr>
          <w:rStyle w:val="9"/>
          <w:rFonts w:hint="eastAsia" w:ascii="楷体_GB2312" w:hAnsi="楷体_GB2312" w:eastAsia="楷体_GB2312" w:cs="楷体_GB2312"/>
          <w:b w:val="0"/>
          <w:bCs w:val="0"/>
          <w:color w:val="000000"/>
          <w:sz w:val="32"/>
          <w:szCs w:val="32"/>
        </w:rPr>
        <w:t>收支预算情况的总体说明</w:t>
      </w:r>
    </w:p>
    <w:p w14:paraId="3347E050">
      <w:pPr>
        <w:spacing w:line="520" w:lineRule="exact"/>
        <w:rPr>
          <w:rFonts w:ascii="楷体_GB2312" w:hAnsi="楷体_GB2312" w:eastAsia="楷体_GB2312" w:cs="楷体_GB2312"/>
          <w:b/>
          <w:color w:val="000000"/>
          <w:sz w:val="32"/>
          <w:szCs w:val="32"/>
        </w:rPr>
      </w:pPr>
      <w:r>
        <w:rPr>
          <w:rFonts w:hint="eastAsia" w:ascii="仿宋_GB2312" w:eastAsia="仿宋_GB2312"/>
          <w:bCs/>
          <w:color w:val="000000"/>
          <w:sz w:val="32"/>
          <w:szCs w:val="32"/>
        </w:rPr>
        <w:t xml:space="preserve">    按照</w:t>
      </w:r>
      <w:r>
        <w:rPr>
          <w:rFonts w:hint="eastAsia" w:ascii="仿宋_GB2312" w:eastAsia="仿宋_GB2312"/>
          <w:bCs/>
          <w:sz w:val="32"/>
          <w:szCs w:val="32"/>
        </w:rPr>
        <w:t>综合预算的原则，湖州市吴兴区社会治理中心</w:t>
      </w:r>
      <w:r>
        <w:rPr>
          <w:rFonts w:hint="eastAsia" w:ascii="仿宋_GB2312" w:eastAsia="仿宋_GB2312"/>
          <w:color w:val="000000"/>
          <w:sz w:val="32"/>
          <w:szCs w:val="32"/>
        </w:rPr>
        <w:t>所有收入和支出均纳入部门预算管理。收入包括：一般公共预算拨款收入；支出包括：一般公共服务支出、社会保障和就业支出、卫生健康支出。湖州市吴兴区社会治理中心</w:t>
      </w:r>
      <w:r>
        <w:rPr>
          <w:rFonts w:hint="eastAsia" w:ascii="仿宋_GB2312" w:eastAsia="仿宋_GB2312"/>
          <w:color w:val="000000"/>
          <w:sz w:val="32"/>
          <w:szCs w:val="32"/>
          <w:lang w:eastAsia="zh-CN"/>
        </w:rPr>
        <w:t>2025年</w:t>
      </w:r>
      <w:r>
        <w:rPr>
          <w:rFonts w:hint="eastAsia" w:ascii="仿宋_GB2312" w:eastAsia="仿宋_GB2312"/>
          <w:color w:val="000000"/>
          <w:sz w:val="32"/>
          <w:szCs w:val="32"/>
        </w:rPr>
        <w:t>收支总预算446.64万元。</w:t>
      </w:r>
    </w:p>
    <w:p w14:paraId="78309208">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（二）关于湖州市吴兴区社会治理中心</w:t>
      </w:r>
      <w:r>
        <w:rPr>
          <w:rFonts w:hint="eastAsia" w:ascii="楷体_GB2312" w:hAnsi="楷体_GB2312" w:eastAsia="楷体_GB2312" w:cs="楷体_GB2312"/>
          <w:bCs/>
          <w:color w:val="000000"/>
          <w:sz w:val="32"/>
          <w:szCs w:val="32"/>
          <w:lang w:eastAsia="zh-CN"/>
        </w:rPr>
        <w:t>2025年</w:t>
      </w:r>
      <w:r>
        <w:rPr>
          <w:rFonts w:hint="eastAsia" w:ascii="楷体_GB2312" w:hAnsi="楷体_GB2312" w:eastAsia="楷体_GB2312" w:cs="楷体_GB2312"/>
          <w:bCs/>
          <w:color w:val="000000"/>
          <w:sz w:val="32"/>
          <w:szCs w:val="32"/>
        </w:rPr>
        <w:t>收入预算情况说明</w:t>
      </w:r>
    </w:p>
    <w:p w14:paraId="24914258">
      <w:pPr>
        <w:spacing w:line="520" w:lineRule="exact"/>
        <w:ind w:firstLine="642"/>
        <w:rPr>
          <w:rFonts w:ascii="仿宋_GB2312" w:eastAsia="仿宋_GB2312"/>
          <w:color w:val="000000"/>
          <w:sz w:val="32"/>
          <w:szCs w:val="32"/>
          <w:highlight w:val="none"/>
        </w:rPr>
      </w:pPr>
      <w:r>
        <w:rPr>
          <w:rFonts w:hint="eastAsia" w:ascii="仿宋_GB2312" w:hAnsi="仿宋_GB2312" w:eastAsia="仿宋_GB2312" w:cs="仿宋_GB2312"/>
          <w:color w:val="000000"/>
          <w:sz w:val="32"/>
          <w:szCs w:val="32"/>
          <w:highlight w:val="none"/>
        </w:rPr>
        <w:t>湖州市吴兴区社会治理中心</w:t>
      </w:r>
      <w:r>
        <w:rPr>
          <w:rFonts w:hint="eastAsia" w:ascii="仿宋_GB2312" w:hAnsi="仿宋_GB2312" w:eastAsia="仿宋_GB2312" w:cs="仿宋_GB2312"/>
          <w:color w:val="000000"/>
          <w:sz w:val="32"/>
          <w:szCs w:val="32"/>
          <w:highlight w:val="none"/>
          <w:lang w:eastAsia="zh-CN"/>
        </w:rPr>
        <w:t>2025年</w:t>
      </w:r>
      <w:r>
        <w:rPr>
          <w:rFonts w:hint="eastAsia" w:ascii="仿宋_GB2312" w:hAnsi="仿宋_GB2312" w:eastAsia="仿宋_GB2312" w:cs="仿宋_GB2312"/>
          <w:color w:val="000000"/>
          <w:sz w:val="32"/>
          <w:szCs w:val="32"/>
          <w:highlight w:val="none"/>
        </w:rPr>
        <w:t>收入预算446.64万元，比上年执行数增加</w:t>
      </w:r>
      <w:r>
        <w:rPr>
          <w:rFonts w:hint="eastAsia" w:ascii="仿宋_GB2312" w:hAnsi="仿宋_GB2312" w:eastAsia="仿宋_GB2312" w:cs="仿宋_GB2312"/>
          <w:color w:val="000000"/>
          <w:sz w:val="32"/>
          <w:szCs w:val="32"/>
          <w:highlight w:val="none"/>
          <w:lang w:val="en-US" w:eastAsia="zh-CN"/>
        </w:rPr>
        <w:t>11.12</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w:t>
      </w:r>
      <w:r>
        <w:rPr>
          <w:rFonts w:hint="eastAsia" w:ascii="仿宋_GB2312" w:hAnsi="仿宋_GB2312" w:eastAsia="仿宋_GB2312" w:cs="仿宋_GB2312"/>
          <w:color w:val="000000"/>
          <w:sz w:val="32"/>
          <w:szCs w:val="32"/>
          <w:highlight w:val="none"/>
        </w:rPr>
        <w:t>长</w:t>
      </w:r>
      <w:r>
        <w:rPr>
          <w:rFonts w:hint="eastAsia" w:ascii="仿宋_GB2312" w:hAnsi="仿宋_GB2312" w:eastAsia="仿宋_GB2312" w:cs="仿宋_GB2312"/>
          <w:color w:val="000000"/>
          <w:sz w:val="32"/>
          <w:szCs w:val="32"/>
          <w:highlight w:val="none"/>
          <w:lang w:val="en-US" w:eastAsia="zh-CN"/>
        </w:rPr>
        <w:t>2.55</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增加了</w:t>
      </w:r>
      <w:r>
        <w:rPr>
          <w:rFonts w:hint="eastAsia" w:ascii="仿宋_GB2312" w:hAnsi="仿宋_GB2312" w:eastAsia="仿宋_GB2312" w:cs="仿宋_GB2312"/>
          <w:color w:val="000000"/>
          <w:sz w:val="32"/>
          <w:szCs w:val="32"/>
          <w:highlight w:val="none"/>
        </w:rPr>
        <w:t>社会治理工作</w:t>
      </w:r>
      <w:r>
        <w:rPr>
          <w:rFonts w:hint="eastAsia" w:ascii="仿宋_GB2312" w:hAnsi="仿宋_GB2312" w:eastAsia="仿宋_GB2312" w:cs="仿宋_GB2312"/>
          <w:color w:val="000000"/>
          <w:sz w:val="32"/>
          <w:szCs w:val="32"/>
          <w:highlight w:val="none"/>
          <w:lang w:val="en-US" w:eastAsia="zh-CN"/>
        </w:rPr>
        <w:t>项目经费</w:t>
      </w:r>
      <w:r>
        <w:rPr>
          <w:rFonts w:hint="eastAsia" w:ascii="仿宋_GB2312" w:hAnsi="仿宋_GB2312" w:eastAsia="仿宋_GB2312" w:cs="仿宋_GB2312"/>
          <w:color w:val="000000"/>
          <w:sz w:val="32"/>
          <w:szCs w:val="32"/>
          <w:highlight w:val="none"/>
        </w:rPr>
        <w:t>。</w:t>
      </w:r>
    </w:p>
    <w:p w14:paraId="1B69B3D3">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其中：一般公共预算拨款收入</w:t>
      </w:r>
      <w:r>
        <w:rPr>
          <w:rFonts w:ascii="仿宋_GB2312" w:eastAsia="仿宋_GB2312"/>
          <w:color w:val="000000"/>
          <w:sz w:val="32"/>
          <w:szCs w:val="32"/>
        </w:rPr>
        <w:t>446.64</w:t>
      </w:r>
      <w:r>
        <w:rPr>
          <w:rFonts w:hint="eastAsia" w:ascii="仿宋_GB2312" w:eastAsia="仿宋_GB2312"/>
          <w:color w:val="000000"/>
          <w:sz w:val="32"/>
          <w:szCs w:val="32"/>
        </w:rPr>
        <w:t>万元（上年结转0.00万元），占100.0%。</w:t>
      </w:r>
      <w:r>
        <w:rPr>
          <w:rFonts w:hint="eastAsia" w:ascii="仿宋_GB2312" w:eastAsia="仿宋_GB2312"/>
          <w:color w:val="000000"/>
          <w:sz w:val="32"/>
          <w:szCs w:val="32"/>
        </w:rPr>
        <w:br w:type="textWrapping"/>
      </w:r>
      <w:r>
        <w:rPr>
          <w:rFonts w:hint="eastAsia" w:ascii="楷体_GB2312" w:hAnsi="楷体_GB2312" w:eastAsia="楷体_GB2312" w:cs="楷体_GB2312"/>
          <w:bCs/>
          <w:color w:val="000000"/>
          <w:sz w:val="32"/>
          <w:szCs w:val="32"/>
        </w:rPr>
        <w:t>　　（三）关于湖州市吴兴区社会治理中心</w:t>
      </w:r>
      <w:r>
        <w:rPr>
          <w:rFonts w:hint="eastAsia" w:ascii="楷体_GB2312" w:hAnsi="楷体_GB2312" w:eastAsia="楷体_GB2312" w:cs="楷体_GB2312"/>
          <w:bCs/>
          <w:color w:val="000000"/>
          <w:sz w:val="32"/>
          <w:szCs w:val="32"/>
          <w:lang w:eastAsia="zh-CN"/>
        </w:rPr>
        <w:t>2025年</w:t>
      </w:r>
      <w:r>
        <w:rPr>
          <w:rFonts w:hint="eastAsia" w:ascii="楷体_GB2312" w:hAnsi="楷体_GB2312" w:eastAsia="楷体_GB2312" w:cs="楷体_GB2312"/>
          <w:bCs/>
          <w:color w:val="000000"/>
          <w:sz w:val="32"/>
          <w:szCs w:val="32"/>
        </w:rPr>
        <w:t>支出预算情况说明</w:t>
      </w:r>
      <w:r>
        <w:rPr>
          <w:rFonts w:hint="eastAsia" w:ascii="楷体_GB2312" w:hAnsi="楷体_GB2312" w:eastAsia="楷体_GB2312" w:cs="楷体_GB2312"/>
          <w:bCs/>
          <w:color w:val="000000"/>
          <w:sz w:val="32"/>
          <w:szCs w:val="32"/>
        </w:rPr>
        <w:br w:type="textWrapping"/>
      </w:r>
      <w:r>
        <w:rPr>
          <w:rFonts w:hint="eastAsia" w:ascii="仿宋_GB2312" w:eastAsia="仿宋_GB2312"/>
          <w:color w:val="000000"/>
          <w:sz w:val="32"/>
          <w:szCs w:val="32"/>
        </w:rPr>
        <w:t>　</w:t>
      </w:r>
      <w:r>
        <w:rPr>
          <w:rFonts w:hint="eastAsia" w:ascii="仿宋_GB2312" w:hAnsi="仿宋_GB2312" w:eastAsia="仿宋_GB2312" w:cs="仿宋_GB2312"/>
          <w:color w:val="000000"/>
          <w:sz w:val="32"/>
          <w:szCs w:val="32"/>
          <w:highlight w:val="none"/>
        </w:rPr>
        <w:t>　湖州市吴兴区社会治理中心</w:t>
      </w:r>
      <w:r>
        <w:rPr>
          <w:rFonts w:hint="eastAsia" w:ascii="仿宋_GB2312" w:hAnsi="仿宋_GB2312" w:eastAsia="仿宋_GB2312" w:cs="仿宋_GB2312"/>
          <w:color w:val="000000"/>
          <w:sz w:val="32"/>
          <w:szCs w:val="32"/>
          <w:highlight w:val="none"/>
          <w:lang w:eastAsia="zh-CN"/>
        </w:rPr>
        <w:t>2025年</w:t>
      </w:r>
      <w:r>
        <w:rPr>
          <w:rFonts w:hint="eastAsia" w:ascii="仿宋_GB2312" w:hAnsi="仿宋_GB2312" w:eastAsia="仿宋_GB2312" w:cs="仿宋_GB2312"/>
          <w:color w:val="000000"/>
          <w:sz w:val="32"/>
          <w:szCs w:val="32"/>
          <w:highlight w:val="none"/>
        </w:rPr>
        <w:t>支出预算446.64万元，比上年执行数增加</w:t>
      </w:r>
      <w:r>
        <w:rPr>
          <w:rFonts w:hint="eastAsia" w:ascii="仿宋_GB2312" w:hAnsi="仿宋_GB2312" w:eastAsia="仿宋_GB2312" w:cs="仿宋_GB2312"/>
          <w:color w:val="000000"/>
          <w:sz w:val="32"/>
          <w:szCs w:val="32"/>
          <w:highlight w:val="none"/>
          <w:lang w:val="en-US" w:eastAsia="zh-CN"/>
        </w:rPr>
        <w:t>11.12</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增长</w:t>
      </w:r>
      <w:r>
        <w:rPr>
          <w:rFonts w:hint="eastAsia" w:ascii="仿宋_GB2312" w:hAnsi="仿宋_GB2312" w:eastAsia="仿宋_GB2312" w:cs="仿宋_GB2312"/>
          <w:color w:val="000000"/>
          <w:sz w:val="32"/>
          <w:highlight w:val="none"/>
          <w:lang w:val="en-US" w:eastAsia="zh-CN"/>
        </w:rPr>
        <w:t>2.55</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增加了</w:t>
      </w:r>
      <w:r>
        <w:rPr>
          <w:rFonts w:hint="eastAsia" w:ascii="仿宋_GB2312" w:hAnsi="仿宋_GB2312" w:eastAsia="仿宋_GB2312" w:cs="仿宋_GB2312"/>
          <w:color w:val="000000"/>
          <w:sz w:val="32"/>
          <w:szCs w:val="32"/>
          <w:highlight w:val="none"/>
        </w:rPr>
        <w:t>社会治理工作</w:t>
      </w:r>
      <w:r>
        <w:rPr>
          <w:rFonts w:hint="eastAsia" w:ascii="仿宋_GB2312" w:hAnsi="仿宋_GB2312" w:eastAsia="仿宋_GB2312" w:cs="仿宋_GB2312"/>
          <w:color w:val="000000"/>
          <w:sz w:val="32"/>
          <w:szCs w:val="32"/>
          <w:highlight w:val="none"/>
          <w:lang w:val="en-US" w:eastAsia="zh-CN"/>
        </w:rPr>
        <w:t>项目经费</w:t>
      </w:r>
      <w:r>
        <w:rPr>
          <w:rFonts w:hint="eastAsia" w:ascii="仿宋_GB2312" w:hAnsi="仿宋_GB2312" w:eastAsia="仿宋_GB2312" w:cs="仿宋_GB2312"/>
          <w:color w:val="000000"/>
          <w:sz w:val="32"/>
          <w:szCs w:val="32"/>
          <w:highlight w:val="none"/>
        </w:rPr>
        <w:t>。</w:t>
      </w:r>
    </w:p>
    <w:p w14:paraId="4476176C">
      <w:pPr>
        <w:spacing w:line="520" w:lineRule="exact"/>
        <w:ind w:firstLine="630"/>
        <w:rPr>
          <w:rFonts w:ascii="仿宋_GB2312" w:eastAsia="仿宋_GB2312"/>
          <w:color w:val="000000"/>
          <w:sz w:val="32"/>
          <w:szCs w:val="32"/>
        </w:rPr>
      </w:pPr>
      <w:r>
        <w:rPr>
          <w:rFonts w:hint="eastAsia" w:ascii="仿宋_GB2312" w:eastAsia="仿宋_GB2312"/>
          <w:color w:val="000000"/>
          <w:sz w:val="32"/>
          <w:szCs w:val="32"/>
        </w:rPr>
        <w:t>1.按支出功能分类，包括一般公共服务支出420.75万元、社会保障和就业支出14.48万元、卫生健康支出11.42万元。</w:t>
      </w:r>
    </w:p>
    <w:p w14:paraId="4861FA91">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2.按支出用途分类，包括人员支出247.58万元，占55.4%；日常公用支出17.58万元，占3.9%；项目支出181.48万元，占40.6%。</w:t>
      </w:r>
    </w:p>
    <w:p w14:paraId="25CB90E1">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年终结转结余0.00万元。</w:t>
      </w:r>
    </w:p>
    <w:p w14:paraId="7CE2459A">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（四）关于湖州市吴兴区社会治理中心</w:t>
      </w:r>
      <w:r>
        <w:rPr>
          <w:rFonts w:hint="eastAsia" w:ascii="楷体_GB2312" w:hAnsi="楷体_GB2312" w:eastAsia="楷体_GB2312" w:cs="楷体_GB2312"/>
          <w:bCs/>
          <w:color w:val="000000"/>
          <w:sz w:val="32"/>
          <w:szCs w:val="32"/>
          <w:lang w:eastAsia="zh-CN"/>
        </w:rPr>
        <w:t>2025年</w:t>
      </w:r>
      <w:r>
        <w:rPr>
          <w:rFonts w:hint="eastAsia" w:ascii="楷体_GB2312" w:hAnsi="楷体_GB2312" w:eastAsia="楷体_GB2312" w:cs="楷体_GB2312"/>
          <w:bCs/>
          <w:color w:val="000000"/>
          <w:sz w:val="32"/>
          <w:szCs w:val="32"/>
        </w:rPr>
        <w:t>财政拨款收支预算情况的总体说明</w:t>
      </w:r>
    </w:p>
    <w:p w14:paraId="00218817">
      <w:pPr>
        <w:spacing w:line="520" w:lineRule="exact"/>
        <w:ind w:firstLine="640"/>
        <w:rPr>
          <w:rFonts w:ascii="仿宋_GB2312" w:eastAsia="仿宋_GB2312"/>
          <w:color w:val="000000"/>
          <w:sz w:val="32"/>
          <w:szCs w:val="32"/>
        </w:rPr>
      </w:pPr>
      <w:r>
        <w:rPr>
          <w:rFonts w:hint="eastAsia" w:ascii="仿宋_GB2312" w:eastAsia="仿宋_GB2312"/>
          <w:color w:val="000000"/>
          <w:sz w:val="32"/>
          <w:szCs w:val="32"/>
        </w:rPr>
        <w:t>湖州市吴兴区社会治理中心</w:t>
      </w:r>
      <w:r>
        <w:rPr>
          <w:rFonts w:hint="eastAsia" w:ascii="仿宋_GB2312" w:eastAsia="仿宋_GB2312"/>
          <w:color w:val="000000"/>
          <w:sz w:val="32"/>
          <w:szCs w:val="32"/>
          <w:lang w:eastAsia="zh-CN"/>
        </w:rPr>
        <w:t>2025年</w:t>
      </w:r>
      <w:r>
        <w:rPr>
          <w:rFonts w:hint="eastAsia" w:ascii="仿宋_GB2312" w:eastAsia="仿宋_GB2312"/>
          <w:color w:val="000000"/>
          <w:sz w:val="32"/>
          <w:szCs w:val="32"/>
        </w:rPr>
        <w:t>财政拨款收支总预算446.64万元。收入包括：一般公共预算446.64万元；支出包括：一般公共服务支出420.75万元、社会保障和就业支出14.48万元、卫生健康支出11.42万元。</w:t>
      </w:r>
    </w:p>
    <w:p w14:paraId="512B6991">
      <w:pPr>
        <w:numPr>
          <w:ilvl w:val="0"/>
          <w:numId w:val="1"/>
        </w:numPr>
        <w:spacing w:line="520" w:lineRule="exact"/>
        <w:ind w:firstLine="640"/>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关于湖州市吴兴区社会治理中心</w:t>
      </w:r>
      <w:r>
        <w:rPr>
          <w:rFonts w:hint="eastAsia" w:ascii="楷体_GB2312" w:hAnsi="楷体_GB2312" w:eastAsia="楷体_GB2312" w:cs="楷体_GB2312"/>
          <w:bCs/>
          <w:color w:val="000000"/>
          <w:sz w:val="32"/>
          <w:szCs w:val="32"/>
          <w:lang w:eastAsia="zh-CN"/>
        </w:rPr>
        <w:t>2025年</w:t>
      </w:r>
      <w:r>
        <w:rPr>
          <w:rFonts w:hint="eastAsia" w:ascii="楷体_GB2312" w:hAnsi="楷体_GB2312" w:eastAsia="楷体_GB2312" w:cs="楷体_GB2312"/>
          <w:bCs/>
          <w:color w:val="000000"/>
          <w:sz w:val="32"/>
          <w:szCs w:val="32"/>
        </w:rPr>
        <w:t>一般公共预算拨款情况说明</w:t>
      </w:r>
    </w:p>
    <w:p w14:paraId="1D98BCFE">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1.一般公共预算拨款规模变化情况。</w:t>
      </w:r>
    </w:p>
    <w:p w14:paraId="00EE3D1B">
      <w:pPr>
        <w:spacing w:line="520" w:lineRule="exact"/>
        <w:ind w:firstLine="642"/>
        <w:rPr>
          <w:rFonts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湖州市吴兴区社会治理中心</w:t>
      </w:r>
      <w:r>
        <w:rPr>
          <w:rFonts w:hint="eastAsia" w:ascii="仿宋_GB2312" w:hAnsi="仿宋_GB2312" w:eastAsia="仿宋_GB2312" w:cs="仿宋_GB2312"/>
          <w:color w:val="000000"/>
          <w:sz w:val="32"/>
          <w:szCs w:val="32"/>
          <w:highlight w:val="none"/>
          <w:lang w:eastAsia="zh-CN"/>
        </w:rPr>
        <w:t>2025年</w:t>
      </w:r>
      <w:r>
        <w:rPr>
          <w:rFonts w:hint="eastAsia" w:ascii="仿宋_GB2312" w:hAnsi="仿宋_GB2312" w:eastAsia="仿宋_GB2312" w:cs="仿宋_GB2312"/>
          <w:color w:val="000000"/>
          <w:sz w:val="32"/>
          <w:szCs w:val="32"/>
          <w:highlight w:val="none"/>
        </w:rPr>
        <w:t>一般公共预算拨款</w:t>
      </w:r>
      <w:r>
        <w:rPr>
          <w:rFonts w:hint="eastAsia" w:ascii="仿宋_GB2312" w:hAnsi="仿宋_GB2312" w:eastAsia="仿宋_GB2312" w:cs="仿宋_GB2312"/>
          <w:bCs/>
          <w:color w:val="000000"/>
          <w:sz w:val="32"/>
          <w:szCs w:val="32"/>
          <w:highlight w:val="none"/>
        </w:rPr>
        <w:t>446.64</w:t>
      </w:r>
      <w:r>
        <w:rPr>
          <w:rFonts w:hint="eastAsia" w:ascii="仿宋_GB2312" w:hAnsi="仿宋_GB2312" w:eastAsia="仿宋_GB2312" w:cs="仿宋_GB2312"/>
          <w:color w:val="000000"/>
          <w:sz w:val="32"/>
          <w:szCs w:val="32"/>
          <w:highlight w:val="none"/>
        </w:rPr>
        <w:t>万元，比上年执行数增加</w:t>
      </w:r>
      <w:r>
        <w:rPr>
          <w:rFonts w:hint="eastAsia" w:ascii="仿宋_GB2312" w:hAnsi="仿宋_GB2312" w:eastAsia="仿宋_GB2312" w:cs="仿宋_GB2312"/>
          <w:color w:val="000000"/>
          <w:sz w:val="32"/>
          <w:szCs w:val="32"/>
          <w:highlight w:val="none"/>
          <w:lang w:val="en-US" w:eastAsia="zh-CN"/>
        </w:rPr>
        <w:t>11.12</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highlight w:val="none"/>
        </w:rPr>
        <w:t>增长</w:t>
      </w:r>
      <w:r>
        <w:rPr>
          <w:rFonts w:hint="eastAsia" w:ascii="仿宋_GB2312" w:hAnsi="仿宋_GB2312" w:eastAsia="仿宋_GB2312" w:cs="仿宋_GB2312"/>
          <w:color w:val="000000"/>
          <w:sz w:val="32"/>
          <w:highlight w:val="none"/>
          <w:lang w:val="en-US" w:eastAsia="zh-CN"/>
        </w:rPr>
        <w:t>2.55</w:t>
      </w:r>
      <w:r>
        <w:rPr>
          <w:rFonts w:hint="eastAsia" w:ascii="仿宋_GB2312" w:hAnsi="仿宋_GB2312" w:eastAsia="仿宋_GB2312" w:cs="仿宋_GB2312"/>
          <w:color w:val="000000"/>
          <w:sz w:val="32"/>
          <w:highlight w:val="none"/>
        </w:rPr>
        <w:t>%，</w:t>
      </w:r>
      <w:r>
        <w:rPr>
          <w:rFonts w:hint="eastAsia" w:ascii="仿宋_GB2312" w:hAnsi="仿宋_GB2312" w:eastAsia="仿宋_GB2312" w:cs="仿宋_GB2312"/>
          <w:color w:val="000000"/>
          <w:sz w:val="32"/>
          <w:szCs w:val="32"/>
          <w:highlight w:val="none"/>
        </w:rPr>
        <w:t>主要是</w:t>
      </w:r>
      <w:r>
        <w:rPr>
          <w:rFonts w:hint="eastAsia" w:ascii="仿宋_GB2312" w:hAnsi="仿宋_GB2312" w:eastAsia="仿宋_GB2312" w:cs="仿宋_GB2312"/>
          <w:color w:val="000000"/>
          <w:sz w:val="32"/>
          <w:szCs w:val="32"/>
          <w:highlight w:val="none"/>
          <w:lang w:val="en-US" w:eastAsia="zh-CN"/>
        </w:rPr>
        <w:t>增加了</w:t>
      </w:r>
      <w:r>
        <w:rPr>
          <w:rFonts w:hint="eastAsia" w:ascii="仿宋_GB2312" w:hAnsi="仿宋_GB2312" w:eastAsia="仿宋_GB2312" w:cs="仿宋_GB2312"/>
          <w:color w:val="000000"/>
          <w:sz w:val="32"/>
          <w:szCs w:val="32"/>
          <w:highlight w:val="none"/>
        </w:rPr>
        <w:t>社会治理工作</w:t>
      </w:r>
      <w:r>
        <w:rPr>
          <w:rFonts w:hint="eastAsia" w:ascii="仿宋_GB2312" w:hAnsi="仿宋_GB2312" w:eastAsia="仿宋_GB2312" w:cs="仿宋_GB2312"/>
          <w:color w:val="000000"/>
          <w:sz w:val="32"/>
          <w:szCs w:val="32"/>
          <w:highlight w:val="none"/>
          <w:lang w:val="en-US" w:eastAsia="zh-CN"/>
        </w:rPr>
        <w:t>项目经费</w:t>
      </w:r>
      <w:r>
        <w:rPr>
          <w:rFonts w:hint="eastAsia" w:ascii="仿宋_GB2312" w:hAnsi="仿宋_GB2312" w:eastAsia="仿宋_GB2312" w:cs="仿宋_GB2312"/>
          <w:color w:val="000000"/>
          <w:sz w:val="32"/>
          <w:szCs w:val="32"/>
          <w:highlight w:val="none"/>
        </w:rPr>
        <w:t>。</w:t>
      </w:r>
    </w:p>
    <w:p w14:paraId="4DB4A494">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2.一般公共预算拨款结构情况。</w:t>
      </w:r>
    </w:p>
    <w:p w14:paraId="510481FE">
      <w:pPr>
        <w:spacing w:line="520" w:lineRule="exact"/>
        <w:ind w:firstLine="640" w:firstLineChars="200"/>
        <w:rPr>
          <w:rFonts w:ascii="仿宋_GB2312" w:hAnsi="仿宋_GB2312" w:eastAsia="仿宋_GB2312" w:cs="仿宋_GB2312"/>
          <w:b/>
          <w:color w:val="000000"/>
          <w:sz w:val="32"/>
          <w:szCs w:val="32"/>
        </w:rPr>
      </w:pPr>
      <w:r>
        <w:rPr>
          <w:rFonts w:hint="eastAsia" w:ascii="仿宋_GB2312" w:hAnsi="仿宋_GB2312" w:eastAsia="仿宋_GB2312" w:cs="仿宋_GB2312"/>
          <w:color w:val="000000"/>
          <w:sz w:val="32"/>
          <w:szCs w:val="32"/>
        </w:rPr>
        <w:t>一般公共服务支出420.75万元，占94.2%；社会保障和就业支出14.48万元，占3.2%；卫生健康支出11.42万元，占2.6%。</w:t>
      </w:r>
    </w:p>
    <w:p w14:paraId="4938795E">
      <w:pPr>
        <w:spacing w:line="520" w:lineRule="exact"/>
        <w:ind w:firstLine="642"/>
        <w:rPr>
          <w:rFonts w:ascii="仿宋_GB2312" w:hAnsi="仿宋_GB2312" w:eastAsia="仿宋_GB2312" w:cs="仿宋_GB2312"/>
          <w:b/>
          <w:color w:val="000000"/>
          <w:sz w:val="32"/>
          <w:szCs w:val="32"/>
        </w:rPr>
      </w:pPr>
      <w:r>
        <w:rPr>
          <w:rFonts w:hint="eastAsia" w:ascii="仿宋_GB2312" w:hAnsi="仿宋_GB2312" w:eastAsia="仿宋_GB2312" w:cs="仿宋_GB2312"/>
          <w:b/>
          <w:color w:val="000000"/>
          <w:sz w:val="32"/>
          <w:szCs w:val="32"/>
        </w:rPr>
        <w:t>3.一般公共预算拨款具体使用情况。</w:t>
      </w:r>
    </w:p>
    <w:p w14:paraId="50ABC380">
      <w:pPr>
        <w:spacing w:line="52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（1）一般公共服务支出（类）</w:t>
      </w:r>
      <w:r>
        <w:rPr>
          <w:rFonts w:hint="eastAsia" w:ascii="仿宋_GB2312" w:hAnsi="仿宋_GB2312" w:eastAsia="仿宋_GB2312" w:cs="仿宋_GB2312"/>
          <w:color w:val="000000"/>
          <w:sz w:val="32"/>
          <w:szCs w:val="32"/>
          <w:lang w:val="en-US" w:eastAsia="zh-CN"/>
        </w:rPr>
        <w:t>社会工作事务</w:t>
      </w:r>
      <w:r>
        <w:rPr>
          <w:rFonts w:hint="eastAsia" w:ascii="仿宋_GB2312" w:hAnsi="仿宋_GB2312" w:eastAsia="仿宋_GB2312" w:cs="仿宋_GB2312"/>
          <w:color w:val="000000"/>
          <w:sz w:val="32"/>
          <w:szCs w:val="32"/>
        </w:rPr>
        <w:t>（款）</w:t>
      </w:r>
      <w:r>
        <w:rPr>
          <w:rFonts w:hint="eastAsia" w:ascii="仿宋_GB2312" w:hAnsi="仿宋_GB2312" w:eastAsia="仿宋_GB2312" w:cs="仿宋_GB2312"/>
          <w:color w:val="000000"/>
          <w:sz w:val="32"/>
          <w:szCs w:val="32"/>
          <w:lang w:val="en-US" w:eastAsia="zh-CN"/>
        </w:rPr>
        <w:t>事业运行</w:t>
      </w:r>
      <w:r>
        <w:rPr>
          <w:rFonts w:hint="eastAsia" w:ascii="仿宋_GB2312" w:hAnsi="仿宋_GB2312" w:eastAsia="仿宋_GB2312" w:cs="仿宋_GB2312"/>
          <w:color w:val="000000"/>
          <w:sz w:val="32"/>
          <w:szCs w:val="32"/>
        </w:rPr>
        <w:t xml:space="preserve">（项） </w:t>
      </w:r>
      <w:r>
        <w:rPr>
          <w:rFonts w:hint="eastAsia" w:ascii="仿宋_GB2312" w:hAnsi="仿宋_GB2312" w:eastAsia="仿宋_GB2312" w:cs="仿宋_GB2312"/>
          <w:color w:val="000000"/>
          <w:sz w:val="32"/>
          <w:szCs w:val="32"/>
          <w:lang w:val="en-US" w:eastAsia="zh-CN"/>
        </w:rPr>
        <w:t>239.27</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 xml:space="preserve">主要用于事业在职人员经费、日常公用经费支出。  </w:t>
      </w:r>
    </w:p>
    <w:p w14:paraId="0188C796">
      <w:pPr>
        <w:spacing w:line="52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（2）一般公共服务支出（类）</w:t>
      </w:r>
      <w:r>
        <w:rPr>
          <w:rFonts w:hint="eastAsia" w:ascii="仿宋_GB2312" w:hAnsi="仿宋_GB2312" w:eastAsia="仿宋_GB2312" w:cs="仿宋_GB2312"/>
          <w:color w:val="000000"/>
          <w:sz w:val="32"/>
          <w:szCs w:val="32"/>
          <w:lang w:val="en-US" w:eastAsia="zh-CN"/>
        </w:rPr>
        <w:t>社会工作事务</w:t>
      </w:r>
      <w:r>
        <w:rPr>
          <w:rFonts w:hint="eastAsia" w:ascii="仿宋_GB2312" w:hAnsi="仿宋_GB2312" w:eastAsia="仿宋_GB2312" w:cs="仿宋_GB2312"/>
          <w:color w:val="000000"/>
          <w:sz w:val="32"/>
          <w:szCs w:val="32"/>
        </w:rPr>
        <w:t>（款）</w:t>
      </w:r>
      <w:r>
        <w:rPr>
          <w:rFonts w:hint="eastAsia" w:ascii="仿宋_GB2312" w:hAnsi="仿宋_GB2312" w:eastAsia="仿宋_GB2312" w:cs="仿宋_GB2312"/>
          <w:color w:val="000000"/>
          <w:sz w:val="32"/>
          <w:szCs w:val="32"/>
          <w:lang w:val="en-US" w:eastAsia="zh-CN"/>
        </w:rPr>
        <w:t>其他社会工作事务支出</w:t>
      </w:r>
      <w:r>
        <w:rPr>
          <w:rFonts w:hint="eastAsia" w:ascii="仿宋_GB2312" w:hAnsi="仿宋_GB2312" w:eastAsia="仿宋_GB2312" w:cs="仿宋_GB2312"/>
          <w:color w:val="000000"/>
          <w:sz w:val="32"/>
          <w:szCs w:val="32"/>
        </w:rPr>
        <w:t>（项）</w:t>
      </w:r>
      <w:r>
        <w:rPr>
          <w:rFonts w:hint="eastAsia" w:ascii="仿宋_GB2312" w:hAnsi="仿宋_GB2312" w:eastAsia="仿宋_GB2312" w:cs="仿宋_GB2312"/>
          <w:color w:val="000000"/>
          <w:sz w:val="32"/>
          <w:szCs w:val="32"/>
          <w:lang w:val="en-US" w:eastAsia="zh-CN"/>
        </w:rPr>
        <w:t>181.48</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主要用于事业类项目方面的经费支出。</w:t>
      </w:r>
    </w:p>
    <w:p w14:paraId="6ADF48A1">
      <w:pPr>
        <w:spacing w:line="52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）社会保障和就业支出（类）行政事业单位养老支出（款）机关事业单位基本养老保险缴费支出（项）</w:t>
      </w:r>
      <w:r>
        <w:rPr>
          <w:rFonts w:hint="eastAsia" w:ascii="仿宋_GB2312" w:hAnsi="仿宋_GB2312" w:eastAsia="仿宋_GB2312" w:cs="仿宋_GB2312"/>
          <w:color w:val="000000"/>
          <w:sz w:val="32"/>
          <w:szCs w:val="32"/>
          <w:lang w:val="en-US" w:eastAsia="zh-CN"/>
        </w:rPr>
        <w:t>9.65</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主要用于机关事业单位实施养老保险制度由单位缴纳的基本养老保险费缴费支出。</w:t>
      </w:r>
    </w:p>
    <w:p w14:paraId="6B2DF544">
      <w:pPr>
        <w:spacing w:line="52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）社会保障和就业支出（类）行政事业单位养老支出（款）机关事业单位职业年金缴费支出（项）</w:t>
      </w:r>
      <w:r>
        <w:rPr>
          <w:rFonts w:hint="eastAsia" w:ascii="仿宋_GB2312" w:hAnsi="仿宋_GB2312" w:eastAsia="仿宋_GB2312" w:cs="仿宋_GB2312"/>
          <w:color w:val="000000"/>
          <w:sz w:val="32"/>
          <w:szCs w:val="32"/>
          <w:lang w:val="en-US" w:eastAsia="zh-CN"/>
        </w:rPr>
        <w:t>4.83</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主要用于机关事业单位实施养老保险制度由单位缴纳的职业年金支出。</w:t>
      </w:r>
    </w:p>
    <w:p w14:paraId="6A8A4511">
      <w:pPr>
        <w:spacing w:line="520" w:lineRule="exact"/>
        <w:ind w:firstLine="64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5</w:t>
      </w:r>
      <w:r>
        <w:rPr>
          <w:rFonts w:hint="eastAsia" w:ascii="仿宋_GB2312" w:hAnsi="仿宋_GB2312" w:eastAsia="仿宋_GB2312" w:cs="仿宋_GB2312"/>
          <w:color w:val="000000"/>
          <w:sz w:val="32"/>
          <w:szCs w:val="32"/>
        </w:rPr>
        <w:t>）卫生健康支出(类)行政事业单位医疗(款)事业单位医疗（项）</w:t>
      </w:r>
      <w:r>
        <w:rPr>
          <w:rFonts w:hint="eastAsia" w:ascii="仿宋_GB2312" w:hAnsi="仿宋_GB2312" w:eastAsia="仿宋_GB2312" w:cs="仿宋_GB2312"/>
          <w:color w:val="000000"/>
          <w:sz w:val="32"/>
          <w:szCs w:val="32"/>
          <w:lang w:val="en-US" w:eastAsia="zh-CN"/>
        </w:rPr>
        <w:t>11.42</w:t>
      </w:r>
      <w:r>
        <w:rPr>
          <w:rFonts w:hint="eastAsia" w:ascii="仿宋_GB2312" w:hAnsi="仿宋_GB2312" w:eastAsia="仿宋_GB2312" w:cs="仿宋_GB2312"/>
          <w:color w:val="000000"/>
          <w:sz w:val="32"/>
          <w:szCs w:val="32"/>
        </w:rPr>
        <w:t>万元，主要用于事业单位按照国家政策为干部职工缴纳的基本医疗保险费用方面的支出。</w:t>
      </w:r>
    </w:p>
    <w:p w14:paraId="47563827">
      <w:pPr>
        <w:spacing w:line="520" w:lineRule="exact"/>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 xml:space="preserve">    （六）关于湖州市吴兴区社会治理中心</w:t>
      </w:r>
      <w:r>
        <w:rPr>
          <w:rFonts w:hint="eastAsia" w:ascii="楷体_GB2312" w:hAnsi="楷体_GB2312" w:eastAsia="楷体_GB2312" w:cs="楷体_GB2312"/>
          <w:bCs/>
          <w:color w:val="000000"/>
          <w:sz w:val="32"/>
          <w:szCs w:val="32"/>
          <w:lang w:eastAsia="zh-CN"/>
        </w:rPr>
        <w:t>2025年</w:t>
      </w:r>
      <w:r>
        <w:rPr>
          <w:rFonts w:hint="eastAsia" w:ascii="楷体_GB2312" w:hAnsi="楷体_GB2312" w:eastAsia="楷体_GB2312" w:cs="楷体_GB2312"/>
          <w:bCs/>
          <w:color w:val="000000"/>
          <w:sz w:val="32"/>
          <w:szCs w:val="32"/>
        </w:rPr>
        <w:t>一般公共预算基本支出情况说明</w:t>
      </w:r>
    </w:p>
    <w:p w14:paraId="2BC7E958">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湖州市吴兴区社会治理中心</w:t>
      </w:r>
      <w:r>
        <w:rPr>
          <w:rFonts w:hint="eastAsia" w:ascii="仿宋_GB2312" w:eastAsia="仿宋_GB2312"/>
          <w:color w:val="000000"/>
          <w:sz w:val="32"/>
          <w:szCs w:val="32"/>
          <w:lang w:eastAsia="zh-CN"/>
        </w:rPr>
        <w:t>2025年</w:t>
      </w:r>
      <w:r>
        <w:rPr>
          <w:rFonts w:hint="eastAsia" w:ascii="仿宋_GB2312" w:eastAsia="仿宋_GB2312"/>
          <w:color w:val="000000"/>
          <w:sz w:val="32"/>
          <w:szCs w:val="32"/>
        </w:rPr>
        <w:t>一般公共预算基本支出265.16万元，其中：</w:t>
      </w:r>
    </w:p>
    <w:p w14:paraId="5AAE8498">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rPr>
        <w:t>人员</w:t>
      </w:r>
      <w:r>
        <w:rPr>
          <w:rFonts w:hint="eastAsia" w:ascii="仿宋_GB2312" w:eastAsia="仿宋_GB2312"/>
          <w:color w:val="000000"/>
          <w:sz w:val="32"/>
          <w:szCs w:val="32"/>
          <w:lang w:val="en-US" w:eastAsia="zh-CN"/>
        </w:rPr>
        <w:t>支出</w:t>
      </w:r>
      <w:r>
        <w:rPr>
          <w:rFonts w:hint="eastAsia" w:ascii="仿宋_GB2312" w:eastAsia="仿宋_GB2312"/>
          <w:color w:val="000000"/>
          <w:sz w:val="32"/>
          <w:szCs w:val="32"/>
        </w:rPr>
        <w:t>247.58万元，主要包括：基本工资、奖金、</w:t>
      </w:r>
      <w:r>
        <w:rPr>
          <w:rFonts w:hint="eastAsia" w:ascii="仿宋_GB2312" w:eastAsia="仿宋_GB2312"/>
          <w:color w:val="000000"/>
          <w:sz w:val="32"/>
          <w:szCs w:val="32"/>
          <w:lang w:val="en-US" w:eastAsia="zh-CN"/>
        </w:rPr>
        <w:t>伙食补助费、</w:t>
      </w:r>
      <w:r>
        <w:rPr>
          <w:rFonts w:hint="eastAsia" w:ascii="仿宋_GB2312" w:eastAsia="仿宋_GB2312"/>
          <w:color w:val="000000"/>
          <w:sz w:val="32"/>
          <w:szCs w:val="32"/>
        </w:rPr>
        <w:t>绩效工资、机关事业单位基本养老保险缴费、职业年金缴费、职工基本医疗保险缴费、公务员医疗补助缴费、其他社会保障缴费、住房公积金、医疗费、其他工资福利支出、奖励金、其他对个人和家庭的补助</w:t>
      </w:r>
      <w:r>
        <w:rPr>
          <w:rFonts w:hint="eastAsia" w:ascii="仿宋_GB2312" w:eastAsia="仿宋_GB2312"/>
          <w:color w:val="000000"/>
          <w:sz w:val="32"/>
          <w:szCs w:val="32"/>
          <w:lang w:val="en-US" w:eastAsia="zh-CN"/>
        </w:rPr>
        <w:t>等</w:t>
      </w:r>
      <w:r>
        <w:rPr>
          <w:rFonts w:hint="eastAsia" w:ascii="仿宋_GB2312" w:eastAsia="仿宋_GB2312"/>
          <w:color w:val="000000"/>
          <w:sz w:val="32"/>
          <w:szCs w:val="32"/>
        </w:rPr>
        <w:t>；</w:t>
      </w:r>
    </w:p>
    <w:p w14:paraId="163BF14E">
      <w:pPr>
        <w:spacing w:line="520" w:lineRule="exact"/>
        <w:ind w:firstLine="642"/>
        <w:rPr>
          <w:rFonts w:ascii="仿宋_GB2312" w:eastAsia="仿宋_GB2312"/>
          <w:color w:val="000000"/>
          <w:sz w:val="32"/>
          <w:szCs w:val="32"/>
        </w:rPr>
      </w:pPr>
      <w:r>
        <w:rPr>
          <w:rFonts w:hint="eastAsia" w:ascii="仿宋_GB2312" w:eastAsia="仿宋_GB2312"/>
          <w:color w:val="000000"/>
          <w:sz w:val="32"/>
          <w:szCs w:val="32"/>
          <w:lang w:val="en-US" w:eastAsia="zh-CN"/>
        </w:rPr>
        <w:t>日常</w:t>
      </w:r>
      <w:r>
        <w:rPr>
          <w:rFonts w:hint="eastAsia" w:ascii="仿宋_GB2312" w:eastAsia="仿宋_GB2312"/>
          <w:color w:val="000000"/>
          <w:sz w:val="32"/>
          <w:szCs w:val="32"/>
        </w:rPr>
        <w:t>公用</w:t>
      </w:r>
      <w:r>
        <w:rPr>
          <w:rFonts w:hint="eastAsia" w:ascii="仿宋_GB2312" w:eastAsia="仿宋_GB2312"/>
          <w:color w:val="000000"/>
          <w:sz w:val="32"/>
          <w:szCs w:val="32"/>
          <w:lang w:val="en-US" w:eastAsia="zh-CN"/>
        </w:rPr>
        <w:t>支出</w:t>
      </w:r>
      <w:r>
        <w:rPr>
          <w:rFonts w:hint="eastAsia" w:ascii="仿宋_GB2312" w:eastAsia="仿宋_GB2312"/>
          <w:color w:val="000000"/>
          <w:sz w:val="32"/>
          <w:szCs w:val="32"/>
        </w:rPr>
        <w:t>17.58万元，主要包括：办公费、邮电费、劳务费、工会经费、福利费、其他交通费用、其他商品和服务支出、办公设备购置</w:t>
      </w:r>
      <w:r>
        <w:rPr>
          <w:rFonts w:hint="eastAsia" w:ascii="仿宋_GB2312" w:eastAsia="仿宋_GB2312"/>
          <w:color w:val="000000"/>
          <w:sz w:val="32"/>
          <w:szCs w:val="32"/>
          <w:lang w:val="en-US" w:eastAsia="zh-CN"/>
        </w:rPr>
        <w:t>等</w:t>
      </w:r>
      <w:r>
        <w:rPr>
          <w:rFonts w:hint="eastAsia" w:ascii="仿宋_GB2312" w:eastAsia="仿宋_GB2312"/>
          <w:color w:val="000000"/>
          <w:sz w:val="32"/>
          <w:szCs w:val="32"/>
        </w:rPr>
        <w:t>。</w:t>
      </w:r>
    </w:p>
    <w:p w14:paraId="3A7733B6">
      <w:pPr>
        <w:spacing w:line="520" w:lineRule="exact"/>
        <w:ind w:firstLine="642"/>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（七）关于湖州市吴兴区社会治理中心</w:t>
      </w:r>
      <w:r>
        <w:rPr>
          <w:rFonts w:hint="eastAsia" w:ascii="楷体_GB2312" w:hAnsi="楷体_GB2312" w:eastAsia="楷体_GB2312" w:cs="楷体_GB2312"/>
          <w:bCs/>
          <w:color w:val="000000"/>
          <w:sz w:val="32"/>
          <w:szCs w:val="32"/>
          <w:lang w:eastAsia="zh-CN"/>
        </w:rPr>
        <w:t>2025年</w:t>
      </w:r>
      <w:r>
        <w:rPr>
          <w:rFonts w:hint="eastAsia" w:ascii="楷体_GB2312" w:hAnsi="楷体_GB2312" w:eastAsia="楷体_GB2312" w:cs="楷体_GB2312"/>
          <w:bCs/>
          <w:color w:val="000000"/>
          <w:sz w:val="32"/>
          <w:szCs w:val="32"/>
        </w:rPr>
        <w:t>政府性基金预算支出情况说明</w:t>
      </w:r>
    </w:p>
    <w:p w14:paraId="7691A6C8">
      <w:pPr>
        <w:ind w:firstLine="640" w:firstLineChars="200"/>
        <w:rPr>
          <w:rFonts w:hint="eastAsia" w:eastAsia="仿宋_GB2312"/>
          <w:lang w:eastAsia="zh-CN"/>
        </w:rPr>
      </w:pPr>
      <w:r>
        <w:rPr>
          <w:rFonts w:hint="eastAsia" w:ascii="仿宋_GB2312" w:hAnsi="仿宋_GB2312" w:eastAsia="仿宋_GB2312" w:cs="仿宋_GB2312"/>
          <w:color w:val="000000"/>
          <w:sz w:val="32"/>
          <w:szCs w:val="32"/>
        </w:rPr>
        <w:t>湖州市吴兴区社会治理中心</w:t>
      </w:r>
      <w:r>
        <w:rPr>
          <w:rFonts w:hint="eastAsia" w:ascii="仿宋_GB2312" w:hAnsi="仿宋_GB2312" w:eastAsia="仿宋_GB2312" w:cs="仿宋_GB2312"/>
          <w:color w:val="000000"/>
          <w:sz w:val="32"/>
          <w:szCs w:val="32"/>
          <w:lang w:eastAsia="zh-CN"/>
        </w:rPr>
        <w:t>2025年</w:t>
      </w:r>
      <w:r>
        <w:rPr>
          <w:rFonts w:hint="eastAsia" w:ascii="仿宋_GB2312" w:hAnsi="仿宋_GB2312" w:eastAsia="仿宋_GB2312" w:cs="仿宋_GB2312"/>
          <w:color w:val="000000"/>
          <w:sz w:val="32"/>
          <w:szCs w:val="32"/>
        </w:rPr>
        <w:t>没有使用政府性基金预算拨款安排的支出</w:t>
      </w:r>
      <w:r>
        <w:rPr>
          <w:rFonts w:hint="eastAsia" w:ascii="仿宋_GB2312" w:eastAsia="仿宋_GB2312"/>
          <w:color w:val="000000"/>
          <w:sz w:val="32"/>
          <w:szCs w:val="32"/>
        </w:rPr>
        <w:t>，与上年持平</w:t>
      </w:r>
      <w:r>
        <w:rPr>
          <w:rFonts w:hint="eastAsia" w:ascii="仿宋_GB2312" w:eastAsia="仿宋_GB2312"/>
          <w:color w:val="000000"/>
          <w:sz w:val="32"/>
          <w:szCs w:val="32"/>
          <w:lang w:eastAsia="zh-CN"/>
        </w:rPr>
        <w:t>。</w:t>
      </w:r>
    </w:p>
    <w:p w14:paraId="3416BA22">
      <w:pPr>
        <w:spacing w:line="520" w:lineRule="exact"/>
        <w:ind w:firstLine="627" w:firstLineChars="196"/>
        <w:rPr>
          <w:rFonts w:ascii="楷体_GB2312" w:hAnsi="楷体_GB2312" w:eastAsia="楷体_GB2312" w:cs="楷体_GB2312"/>
          <w:bCs/>
          <w:color w:val="000000"/>
          <w:sz w:val="32"/>
          <w:szCs w:val="32"/>
          <w:highlight w:val="none"/>
        </w:rPr>
      </w:pPr>
      <w:r>
        <w:rPr>
          <w:rFonts w:hint="eastAsia" w:ascii="楷体_GB2312" w:hAnsi="楷体_GB2312" w:eastAsia="楷体_GB2312" w:cs="楷体_GB2312"/>
          <w:bCs/>
          <w:color w:val="000000"/>
          <w:sz w:val="32"/>
          <w:szCs w:val="32"/>
          <w:highlight w:val="none"/>
        </w:rPr>
        <w:t>（八）关于</w:t>
      </w:r>
      <w:r>
        <w:rPr>
          <w:rFonts w:ascii="楷体_GB2312" w:hAnsi="楷体_GB2312" w:eastAsia="楷体_GB2312" w:cs="楷体_GB2312"/>
          <w:bCs/>
          <w:color w:val="000000"/>
          <w:sz w:val="32"/>
          <w:szCs w:val="32"/>
          <w:highlight w:val="none"/>
        </w:rPr>
        <w:t>湖州市吴兴区社会治理中心</w:t>
      </w:r>
      <w:r>
        <w:rPr>
          <w:rFonts w:hint="eastAsia" w:ascii="楷体_GB2312" w:hAnsi="楷体_GB2312" w:eastAsia="楷体_GB2312" w:cs="楷体_GB2312"/>
          <w:bCs/>
          <w:color w:val="000000"/>
          <w:sz w:val="32"/>
          <w:szCs w:val="32"/>
          <w:highlight w:val="none"/>
          <w:lang w:eastAsia="zh-CN"/>
        </w:rPr>
        <w:t>2025年</w:t>
      </w:r>
      <w:r>
        <w:rPr>
          <w:rFonts w:hint="eastAsia" w:ascii="楷体_GB2312" w:hAnsi="楷体_GB2312" w:eastAsia="楷体_GB2312" w:cs="楷体_GB2312"/>
          <w:bCs/>
          <w:color w:val="000000"/>
          <w:sz w:val="32"/>
          <w:szCs w:val="32"/>
          <w:highlight w:val="none"/>
        </w:rPr>
        <w:t>国有资本经营预算支出情况说明</w:t>
      </w:r>
    </w:p>
    <w:p w14:paraId="7B6DC4FD">
      <w:pPr>
        <w:ind w:firstLine="640" w:firstLineChars="200"/>
        <w:rPr>
          <w:rFonts w:hint="eastAsia" w:eastAsia="仿宋_GB2312"/>
          <w:highlight w:val="none"/>
          <w:lang w:eastAsia="zh-CN"/>
        </w:rPr>
      </w:pPr>
      <w:r>
        <w:rPr>
          <w:rFonts w:hint="eastAsia" w:ascii="仿宋_GB2312" w:hAnsi="仿宋_GB2312" w:eastAsia="仿宋_GB2312" w:cs="仿宋_GB2312"/>
          <w:color w:val="000000"/>
          <w:sz w:val="32"/>
          <w:szCs w:val="32"/>
          <w:highlight w:val="none"/>
        </w:rPr>
        <w:t>湖州市吴兴区社会治理中心</w:t>
      </w:r>
      <w:r>
        <w:rPr>
          <w:rFonts w:hint="eastAsia" w:ascii="仿宋_GB2312" w:hAnsi="仿宋_GB2312" w:eastAsia="仿宋_GB2312" w:cs="仿宋_GB2312"/>
          <w:color w:val="000000"/>
          <w:sz w:val="32"/>
          <w:szCs w:val="32"/>
          <w:highlight w:val="none"/>
          <w:lang w:eastAsia="zh-CN"/>
        </w:rPr>
        <w:t>2025年</w:t>
      </w:r>
      <w:r>
        <w:rPr>
          <w:rFonts w:hint="eastAsia" w:ascii="仿宋_GB2312" w:hAnsi="仿宋_GB2312" w:eastAsia="仿宋_GB2312" w:cs="仿宋_GB2312"/>
          <w:color w:val="000000"/>
          <w:sz w:val="32"/>
          <w:szCs w:val="32"/>
          <w:highlight w:val="none"/>
        </w:rPr>
        <w:t>没有使用国有资本经营预算拨款安排的支出，与上年持平</w:t>
      </w:r>
      <w:r>
        <w:rPr>
          <w:rFonts w:hint="eastAsia" w:ascii="仿宋_GB2312" w:hAnsi="仿宋_GB2312" w:eastAsia="仿宋_GB2312" w:cs="仿宋_GB2312"/>
          <w:color w:val="000000"/>
          <w:sz w:val="32"/>
          <w:szCs w:val="32"/>
          <w:highlight w:val="none"/>
          <w:lang w:eastAsia="zh-CN"/>
        </w:rPr>
        <w:t>。</w:t>
      </w:r>
    </w:p>
    <w:p w14:paraId="34DE3851">
      <w:pPr>
        <w:spacing w:line="520" w:lineRule="exact"/>
        <w:ind w:firstLine="627" w:firstLineChars="196"/>
        <w:rPr>
          <w:rFonts w:ascii="楷体_GB2312" w:hAnsi="楷体_GB2312" w:eastAsia="楷体_GB2312" w:cs="楷体_GB2312"/>
          <w:bCs/>
          <w:color w:val="000000"/>
          <w:sz w:val="32"/>
          <w:szCs w:val="32"/>
        </w:rPr>
      </w:pPr>
      <w:r>
        <w:rPr>
          <w:rFonts w:hint="eastAsia" w:ascii="楷体_GB2312" w:hAnsi="楷体_GB2312" w:eastAsia="楷体_GB2312" w:cs="楷体_GB2312"/>
          <w:bCs/>
          <w:color w:val="000000"/>
          <w:sz w:val="32"/>
          <w:szCs w:val="32"/>
        </w:rPr>
        <w:t>（九）关于湖州市吴兴区社会治理中心</w:t>
      </w:r>
      <w:r>
        <w:rPr>
          <w:rFonts w:hint="eastAsia" w:ascii="楷体_GB2312" w:hAnsi="楷体_GB2312" w:eastAsia="楷体_GB2312" w:cs="楷体_GB2312"/>
          <w:bCs/>
          <w:color w:val="000000"/>
          <w:sz w:val="32"/>
          <w:szCs w:val="32"/>
          <w:lang w:eastAsia="zh-CN"/>
        </w:rPr>
        <w:t>2025年</w:t>
      </w:r>
      <w:r>
        <w:rPr>
          <w:rFonts w:hint="eastAsia" w:ascii="楷体_GB2312" w:hAnsi="楷体_GB2312" w:eastAsia="楷体_GB2312" w:cs="楷体_GB2312"/>
          <w:bCs/>
          <w:sz w:val="32"/>
          <w:szCs w:val="32"/>
        </w:rPr>
        <w:t>一般公共预算</w:t>
      </w:r>
      <w:r>
        <w:rPr>
          <w:rFonts w:hint="eastAsia" w:ascii="楷体_GB2312" w:hAnsi="楷体_GB2312" w:eastAsia="楷体_GB2312" w:cs="楷体_GB2312"/>
          <w:bCs/>
          <w:color w:val="000000"/>
          <w:sz w:val="32"/>
          <w:szCs w:val="32"/>
        </w:rPr>
        <w:t>“三公”经费预算情况说明</w:t>
      </w:r>
    </w:p>
    <w:p w14:paraId="3E8FD743">
      <w:pPr>
        <w:pStyle w:val="14"/>
        <w:spacing w:line="520" w:lineRule="exact"/>
        <w:ind w:firstLine="640" w:firstLineChars="200"/>
        <w:rPr>
          <w:rFonts w:ascii="仿宋_GB2312" w:eastAsia="仿宋_GB2312"/>
          <w:b/>
          <w:bCs/>
          <w:sz w:val="32"/>
          <w:szCs w:val="32"/>
          <w:highlight w:val="none"/>
        </w:rPr>
      </w:pPr>
      <w:r>
        <w:rPr>
          <w:rFonts w:hint="eastAsia" w:ascii="仿宋_GB2312" w:hAnsi="仿宋_GB2312" w:eastAsia="仿宋_GB2312"/>
          <w:sz w:val="32"/>
        </w:rPr>
        <w:t>湖州市吴兴区</w:t>
      </w:r>
      <w:r>
        <w:rPr>
          <w:rFonts w:hint="eastAsia" w:ascii="仿宋_GB2312" w:hAnsi="仿宋_GB2312" w:eastAsia="仿宋_GB2312"/>
          <w:sz w:val="32"/>
          <w:highlight w:val="none"/>
        </w:rPr>
        <w:t>社会治理中心</w:t>
      </w:r>
      <w:r>
        <w:rPr>
          <w:rFonts w:hint="eastAsia" w:ascii="仿宋_GB2312" w:hAnsi="仿宋_GB2312" w:eastAsia="仿宋_GB2312"/>
          <w:sz w:val="32"/>
          <w:highlight w:val="none"/>
          <w:lang w:eastAsia="zh-CN"/>
        </w:rPr>
        <w:t>2025年</w:t>
      </w:r>
      <w:r>
        <w:rPr>
          <w:rFonts w:hint="eastAsia" w:ascii="仿宋_GB2312" w:hAnsi="仿宋_GB2312" w:eastAsia="仿宋_GB2312"/>
          <w:sz w:val="32"/>
          <w:highlight w:val="none"/>
        </w:rPr>
        <w:t>“三公”经费预算数为0.00万元，</w:t>
      </w:r>
      <w:r>
        <w:rPr>
          <w:rFonts w:hint="eastAsia" w:ascii="仿宋_GB2312" w:hAnsi="仿宋_GB2312" w:eastAsia="仿宋_GB2312"/>
          <w:sz w:val="32"/>
          <w:highlight w:val="none"/>
          <w:shd w:val="clear" w:color="auto" w:fill="FFFFFF"/>
          <w:lang w:val="en-US" w:eastAsia="zh-CN"/>
        </w:rPr>
        <w:t>与</w:t>
      </w:r>
      <w:r>
        <w:rPr>
          <w:rFonts w:hint="eastAsia" w:ascii="仿宋_GB2312" w:hAnsi="仿宋_GB2312" w:eastAsia="仿宋_GB2312"/>
          <w:sz w:val="32"/>
          <w:highlight w:val="none"/>
          <w:shd w:val="clear" w:color="auto" w:fill="FFFFFF"/>
        </w:rPr>
        <w:t>上年预算数</w:t>
      </w:r>
      <w:r>
        <w:rPr>
          <w:rFonts w:hint="eastAsia" w:ascii="仿宋_GB2312" w:hAnsi="仿宋_GB2312" w:eastAsia="仿宋_GB2312"/>
          <w:sz w:val="32"/>
          <w:highlight w:val="none"/>
          <w:shd w:val="clear" w:color="auto" w:fill="FFFFFF"/>
          <w:lang w:val="en-US" w:eastAsia="zh-CN"/>
        </w:rPr>
        <w:t>持平</w:t>
      </w:r>
      <w:r>
        <w:rPr>
          <w:rFonts w:hint="eastAsia" w:ascii="仿宋_GB2312" w:eastAsia="仿宋_GB2312"/>
          <w:sz w:val="32"/>
          <w:szCs w:val="32"/>
          <w:highlight w:val="none"/>
        </w:rPr>
        <w:t>。</w:t>
      </w:r>
    </w:p>
    <w:p w14:paraId="4486E94B">
      <w:pPr>
        <w:spacing w:line="520" w:lineRule="exact"/>
        <w:ind w:firstLine="627" w:firstLineChars="196"/>
        <w:rPr>
          <w:rFonts w:ascii="仿宋_GB2312" w:eastAsia="仿宋_GB2312"/>
          <w:sz w:val="32"/>
          <w:szCs w:val="32"/>
        </w:rPr>
      </w:pPr>
      <w:r>
        <w:rPr>
          <w:rFonts w:hint="eastAsia" w:ascii="楷体_GB2312" w:hAnsi="楷体_GB2312" w:eastAsia="楷体_GB2312" w:cs="楷体_GB2312"/>
          <w:bCs/>
          <w:sz w:val="32"/>
          <w:szCs w:val="32"/>
        </w:rPr>
        <w:t>（十）其他重要事项的情况说明</w:t>
      </w:r>
    </w:p>
    <w:p w14:paraId="32F5AF55">
      <w:pPr>
        <w:pStyle w:val="14"/>
        <w:numPr>
          <w:ilvl w:val="0"/>
          <w:numId w:val="0"/>
        </w:numPr>
        <w:spacing w:line="520" w:lineRule="exact"/>
        <w:ind w:firstLine="643" w:firstLineChars="200"/>
        <w:rPr>
          <w:rFonts w:ascii="仿宋_GB2312" w:eastAsia="仿宋_GB2312"/>
          <w:b/>
          <w:bCs/>
          <w:sz w:val="32"/>
          <w:szCs w:val="32"/>
        </w:rPr>
      </w:pPr>
      <w:r>
        <w:rPr>
          <w:rFonts w:hint="eastAsia" w:ascii="仿宋_GB2312" w:eastAsia="仿宋_GB2312"/>
          <w:b/>
          <w:bCs/>
          <w:sz w:val="32"/>
          <w:szCs w:val="32"/>
          <w:lang w:val="en-US" w:eastAsia="zh-CN"/>
        </w:rPr>
        <w:t>1</w:t>
      </w:r>
      <w:r>
        <w:rPr>
          <w:rFonts w:hint="eastAsia" w:ascii="仿宋_GB2312" w:eastAsia="仿宋_GB2312"/>
          <w:b/>
          <w:bCs/>
          <w:sz w:val="32"/>
          <w:szCs w:val="32"/>
        </w:rPr>
        <w:t>.政府采购情况。</w:t>
      </w:r>
    </w:p>
    <w:p w14:paraId="475B72B5">
      <w:pPr>
        <w:pStyle w:val="14"/>
        <w:spacing w:line="520" w:lineRule="exact"/>
        <w:ind w:firstLine="640" w:firstLineChars="200"/>
        <w:rPr>
          <w:rFonts w:ascii="仿宋_GB2312" w:eastAsia="仿宋_GB2312"/>
          <w:sz w:val="32"/>
          <w:szCs w:val="32"/>
        </w:rPr>
      </w:pPr>
      <w:r>
        <w:rPr>
          <w:rFonts w:hint="eastAsia" w:ascii="仿宋_GB2312" w:eastAsia="仿宋_GB2312"/>
          <w:sz w:val="32"/>
          <w:szCs w:val="32"/>
          <w:lang w:eastAsia="zh-CN"/>
        </w:rPr>
        <w:t>2025年</w:t>
      </w:r>
      <w:r>
        <w:rPr>
          <w:rFonts w:hint="eastAsia" w:ascii="仿宋_GB2312" w:eastAsia="仿宋_GB2312"/>
          <w:sz w:val="32"/>
          <w:szCs w:val="32"/>
        </w:rPr>
        <w:t>湖州市吴兴区社会治理中心</w:t>
      </w:r>
      <w:r>
        <w:rPr>
          <w:rFonts w:hint="eastAsia" w:ascii="仿宋_GB2312" w:eastAsia="仿宋_GB2312"/>
          <w:color w:val="000000"/>
          <w:sz w:val="32"/>
          <w:szCs w:val="32"/>
        </w:rPr>
        <w:t>各单位政府采购预算总额</w:t>
      </w:r>
      <w:r>
        <w:rPr>
          <w:rFonts w:ascii="仿宋_GB2312" w:eastAsia="仿宋_GB2312"/>
          <w:color w:val="000000"/>
          <w:sz w:val="32"/>
          <w:szCs w:val="32"/>
        </w:rPr>
        <w:t>0.00</w:t>
      </w:r>
      <w:r>
        <w:rPr>
          <w:rFonts w:hint="eastAsia" w:ascii="仿宋_GB2312" w:eastAsia="仿宋_GB2312"/>
          <w:color w:val="000000"/>
          <w:sz w:val="32"/>
          <w:szCs w:val="32"/>
        </w:rPr>
        <w:t>万元，其中：政府采购货物预算0.00万元、政府采购工程预算0.00万元、政府采购服务预算</w:t>
      </w:r>
      <w:r>
        <w:rPr>
          <w:rFonts w:ascii="仿宋_GB2312" w:eastAsia="仿宋_GB2312"/>
          <w:color w:val="000000"/>
          <w:sz w:val="32"/>
          <w:szCs w:val="32"/>
        </w:rPr>
        <w:t>0.00</w:t>
      </w:r>
      <w:r>
        <w:rPr>
          <w:rFonts w:hint="eastAsia" w:ascii="仿宋_GB2312" w:eastAsia="仿宋_GB2312"/>
          <w:color w:val="000000"/>
          <w:sz w:val="32"/>
          <w:szCs w:val="32"/>
        </w:rPr>
        <w:t>万元。</w:t>
      </w:r>
    </w:p>
    <w:p w14:paraId="5D6BEA3C">
      <w:pPr>
        <w:pStyle w:val="14"/>
        <w:spacing w:line="520" w:lineRule="exact"/>
        <w:ind w:firstLine="642"/>
        <w:rPr>
          <w:rFonts w:ascii="仿宋_GB2312" w:eastAsia="仿宋_GB2312"/>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.国有资产占有使用情况。</w:t>
      </w:r>
    </w:p>
    <w:p w14:paraId="6E8B91F9">
      <w:pPr>
        <w:widowControl w:val="0"/>
        <w:spacing w:line="560" w:lineRule="exact"/>
        <w:ind w:firstLine="600"/>
        <w:rPr>
          <w:rFonts w:ascii="仿宋_GB2312" w:hAnsi="仿宋_GB2312" w:eastAsia="仿宋_GB2312" w:cs="仿宋_GB2312"/>
          <w:sz w:val="32"/>
          <w:szCs w:val="32"/>
        </w:rPr>
      </w:pPr>
      <w:r>
        <w:rPr>
          <w:rFonts w:hint="eastAsia" w:ascii="仿宋_GB2312" w:hAnsi="仿宋_GB2312" w:eastAsia="仿宋_GB2312" w:cs="仿宋_GB2312"/>
          <w:spacing w:val="6"/>
          <w:sz w:val="32"/>
          <w:szCs w:val="32"/>
        </w:rPr>
        <w:t>截至202</w:t>
      </w:r>
      <w:r>
        <w:rPr>
          <w:rFonts w:hint="eastAsia" w:ascii="仿宋_GB2312" w:hAnsi="仿宋_GB2312" w:eastAsia="仿宋_GB2312" w:cs="仿宋_GB2312"/>
          <w:spacing w:val="6"/>
          <w:sz w:val="32"/>
          <w:szCs w:val="32"/>
          <w:lang w:val="en-US" w:eastAsia="zh-CN"/>
        </w:rPr>
        <w:t>4</w:t>
      </w:r>
      <w:r>
        <w:rPr>
          <w:rFonts w:hint="eastAsia" w:ascii="仿宋_GB2312" w:hAnsi="仿宋_GB2312" w:eastAsia="仿宋_GB2312" w:cs="仿宋_GB2312"/>
          <w:spacing w:val="6"/>
          <w:sz w:val="32"/>
          <w:szCs w:val="32"/>
        </w:rPr>
        <w:t>年12月31日，</w:t>
      </w:r>
      <w:r>
        <w:rPr>
          <w:rFonts w:hint="eastAsia" w:ascii="仿宋_GB2312" w:eastAsia="仿宋_GB2312"/>
          <w:color w:val="000000"/>
          <w:sz w:val="32"/>
          <w:szCs w:val="32"/>
          <w:highlight w:val="none"/>
          <w:lang w:val="en-US" w:eastAsia="zh-CN"/>
        </w:rPr>
        <w:fldChar w:fldCharType="begin"/>
      </w:r>
      <w:r>
        <w:rPr>
          <w:rFonts w:hint="eastAsia" w:ascii="仿宋_GB2312" w:eastAsia="仿宋_GB2312"/>
          <w:color w:val="000000"/>
          <w:sz w:val="32"/>
          <w:szCs w:val="32"/>
          <w:highlight w:val="none"/>
          <w:lang w:val="en-US" w:eastAsia="zh-CN"/>
        </w:rPr>
        <w:instrText xml:space="preserve">MERGEFIELD ${page855778723.ds388518707_V_RPT_BAS_AGENCY_INFO_NAME}</w:instrText>
      </w:r>
      <w:r>
        <w:rPr>
          <w:rFonts w:hint="eastAsia" w:ascii="仿宋_GB2312" w:eastAsia="仿宋_GB2312"/>
          <w:color w:val="000000"/>
          <w:sz w:val="32"/>
          <w:szCs w:val="32"/>
          <w:highlight w:val="none"/>
          <w:lang w:val="en-US" w:eastAsia="zh-CN"/>
        </w:rPr>
        <w:fldChar w:fldCharType="separate"/>
      </w:r>
      <w:r>
        <w:rPr>
          <w:rFonts w:hint="eastAsia" w:ascii="仿宋_GB2312" w:eastAsia="仿宋_GB2312"/>
          <w:color w:val="000000"/>
          <w:sz w:val="32"/>
          <w:szCs w:val="32"/>
          <w:highlight w:val="none"/>
          <w:lang w:val="en-US" w:eastAsia="zh-CN"/>
        </w:rPr>
        <w:t>湖州市吴兴区社会治理中心</w:t>
      </w:r>
      <w:r>
        <w:rPr>
          <w:rFonts w:hint="eastAsia" w:ascii="仿宋_GB2312" w:eastAsia="仿宋_GB2312"/>
          <w:color w:val="000000"/>
          <w:sz w:val="32"/>
          <w:szCs w:val="32"/>
          <w:highlight w:val="none"/>
          <w:lang w:eastAsia="zh-CN"/>
        </w:rPr>
        <w:fldChar w:fldCharType="end"/>
      </w:r>
      <w:r>
        <w:rPr>
          <w:rFonts w:hint="eastAsia" w:ascii="仿宋_GB2312" w:eastAsia="仿宋_GB2312"/>
          <w:color w:val="000000"/>
          <w:sz w:val="32"/>
          <w:szCs w:val="32"/>
          <w:highlight w:val="none"/>
          <w:lang w:val="en-US" w:eastAsia="zh-CN"/>
        </w:rPr>
        <w:t>无国有资产占有使用情况。</w:t>
      </w:r>
      <w:r>
        <w:rPr>
          <w:rFonts w:hint="eastAsia" w:ascii="仿宋_GB2312" w:hAnsi="Times New Roman" w:eastAsia="仿宋_GB2312" w:cs="Times New Roman"/>
          <w:kern w:val="0"/>
          <w:sz w:val="32"/>
          <w:szCs w:val="32"/>
          <w:lang w:val="en-US" w:eastAsia="zh-CN" w:bidi="ar-SA"/>
        </w:rPr>
        <w:t>2025年单位预算未安排购置车辆及单位价值50万元以上大型设备。</w:t>
      </w:r>
    </w:p>
    <w:p w14:paraId="5ACD1549">
      <w:pPr>
        <w:pStyle w:val="14"/>
        <w:spacing w:line="520" w:lineRule="exact"/>
        <w:rPr>
          <w:rFonts w:ascii="仿宋_GB2312" w:eastAsia="仿宋_GB2312"/>
          <w:b/>
          <w:bCs/>
          <w:sz w:val="32"/>
          <w:szCs w:val="32"/>
        </w:rPr>
      </w:pPr>
      <w:r>
        <w:rPr>
          <w:rFonts w:hint="eastAsia" w:ascii="仿宋_GB2312" w:eastAsia="仿宋_GB2312"/>
          <w:b/>
          <w:bCs/>
          <w:sz w:val="32"/>
          <w:szCs w:val="32"/>
        </w:rPr>
        <w:t xml:space="preserve">    </w:t>
      </w:r>
      <w:r>
        <w:rPr>
          <w:rFonts w:hint="eastAsia" w:ascii="仿宋_GB2312" w:eastAsia="仿宋_GB2312"/>
          <w:b/>
          <w:bCs/>
          <w:sz w:val="32"/>
          <w:szCs w:val="32"/>
          <w:lang w:val="en-US" w:eastAsia="zh-CN"/>
        </w:rPr>
        <w:t>3</w:t>
      </w:r>
      <w:r>
        <w:rPr>
          <w:rFonts w:hint="eastAsia" w:ascii="仿宋_GB2312" w:eastAsia="仿宋_GB2312"/>
          <w:b/>
          <w:bCs/>
          <w:sz w:val="32"/>
          <w:szCs w:val="32"/>
        </w:rPr>
        <w:t>.预算绩效情况说明。</w:t>
      </w:r>
    </w:p>
    <w:p w14:paraId="12A8F6C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2025年</w:t>
      </w:r>
      <w:r>
        <w:rPr>
          <w:rFonts w:ascii="仿宋_GB2312" w:hAnsi="仿宋_GB2312" w:eastAsia="仿宋_GB2312" w:cs="仿宋_GB2312"/>
          <w:sz w:val="32"/>
          <w:szCs w:val="32"/>
        </w:rPr>
        <w:t>湖州市吴兴区社会治理中心其他运转类项目和特定目标类项目均实行绩效目标管理，共计1个一级项目，涉及当年资金181.48万元。同时，将按照相关制度规定开展绩效自评。一级项目绩效目标表，详见“</w:t>
      </w:r>
      <w:r>
        <w:rPr>
          <w:rFonts w:hint="eastAsia" w:ascii="仿宋_GB2312" w:hAnsi="仿宋_GB2312" w:eastAsia="仿宋_GB2312" w:cs="仿宋_GB2312"/>
          <w:sz w:val="32"/>
          <w:szCs w:val="32"/>
        </w:rPr>
        <w:t>单位</w:t>
      </w:r>
      <w:r>
        <w:rPr>
          <w:rFonts w:ascii="仿宋_GB2312" w:hAnsi="仿宋_GB2312" w:eastAsia="仿宋_GB2312" w:cs="仿宋_GB2312"/>
          <w:sz w:val="32"/>
          <w:szCs w:val="32"/>
        </w:rPr>
        <w:t>项目支出绩效表”</w:t>
      </w:r>
      <w:r>
        <w:rPr>
          <w:rFonts w:hint="eastAsia" w:ascii="仿宋_GB2312" w:hAnsi="仿宋_GB2312" w:eastAsia="仿宋_GB2312" w:cs="仿宋_GB2312"/>
          <w:sz w:val="32"/>
          <w:szCs w:val="32"/>
        </w:rPr>
        <w:t>。</w:t>
      </w:r>
    </w:p>
    <w:p w14:paraId="42E330CC">
      <w:pPr>
        <w:pStyle w:val="14"/>
        <w:spacing w:line="520" w:lineRule="exact"/>
        <w:ind w:firstLine="640" w:firstLineChars="200"/>
        <w:rPr>
          <w:rFonts w:ascii="黑体" w:hAnsi="黑体" w:eastAsia="黑体" w:cs="黑体"/>
          <w:bCs/>
          <w:kern w:val="2"/>
          <w:sz w:val="32"/>
          <w:szCs w:val="32"/>
        </w:rPr>
      </w:pPr>
      <w:r>
        <w:rPr>
          <w:rFonts w:hint="eastAsia" w:ascii="黑体" w:hAnsi="黑体" w:eastAsia="黑体" w:cs="黑体"/>
          <w:bCs/>
          <w:kern w:val="2"/>
          <w:sz w:val="32"/>
          <w:szCs w:val="32"/>
        </w:rPr>
        <w:t>三、名词解释</w:t>
      </w:r>
    </w:p>
    <w:p w14:paraId="0A9DF939">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1.财政拨款收入：本级财政部门当年拨付的财政预算资金，包括一般公共预算财政拨款</w:t>
      </w:r>
      <w:r>
        <w:rPr>
          <w:rFonts w:hint="eastAsia" w:ascii="仿宋_GB2312" w:eastAsia="仿宋_GB2312"/>
          <w:color w:val="000000"/>
          <w:sz w:val="32"/>
          <w:szCs w:val="32"/>
        </w:rPr>
        <w:t>、</w:t>
      </w:r>
      <w:r>
        <w:rPr>
          <w:rFonts w:hint="eastAsia" w:ascii="仿宋_GB2312" w:hAnsi="仿宋_GB2312" w:eastAsia="仿宋_GB2312" w:cs="仿宋_GB2312"/>
          <w:sz w:val="32"/>
          <w:szCs w:val="32"/>
        </w:rPr>
        <w:t>政府性基金预算和国有资本经营预算财政拨款。</w:t>
      </w:r>
    </w:p>
    <w:p w14:paraId="7D9FF489">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2.财政专户管理资金:教育收费作为本部门的事业收入，纳入财政专户管理的资金。</w:t>
      </w:r>
    </w:p>
    <w:p w14:paraId="307D04E7">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3.事业收入：事业单位开展专业业务活动及辅助活动所取得的收入，不含财政专户管理资金收入。</w:t>
      </w:r>
    </w:p>
    <w:p w14:paraId="7568DEAD">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4.事业单位经营收入：事业单位在专业业务活动及辅助活动之外开展非独立核算经营活动取得的收入。</w:t>
      </w:r>
    </w:p>
    <w:p w14:paraId="41837D1A">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其他收入：预算单位在“一般公共预算”“政府性基金预算”“国有资本经营预算”“财政专户管理资金”“事业收入”“事业单位经营收入”“上级补助收入”和“附属单位上缴收入”等之外取得的各项收入。</w:t>
      </w:r>
    </w:p>
    <w:p w14:paraId="6822D193">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6.上年结转结余：包括财政拨款结转结余、财政专户管理结转结余和单位资金结转结余。</w:t>
      </w:r>
    </w:p>
    <w:p w14:paraId="75D54A7B">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7.基本支出：是预算单位为保障其正常运转，完成日常工作任务所发生的支出，包括人员支出和日常公用支出。</w:t>
      </w:r>
    </w:p>
    <w:p w14:paraId="3F2EFAB6">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8.项目支出：是预算单位为完成其特定的行政工作任务或事业发展目标所发生的支出。</w:t>
      </w:r>
    </w:p>
    <w:p w14:paraId="22751CC0">
      <w:pPr>
        <w:spacing w:line="52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.“三公”经费：纳入财政预决算管理的“三公”经费，是指部门用一般公共预算财政拨款安排的因公出国（境）费</w:t>
      </w:r>
      <w:r>
        <w:rPr>
          <w:rFonts w:hint="eastAsia" w:ascii="仿宋_GB2312" w:hAnsi="仿宋_GB2312" w:eastAsia="仿宋_GB2312" w:cs="仿宋_GB2312"/>
          <w:sz w:val="32"/>
          <w:szCs w:val="32"/>
          <w:lang w:val="en-US" w:eastAsia="zh-CN"/>
        </w:rPr>
        <w:t>用</w:t>
      </w:r>
      <w:r>
        <w:rPr>
          <w:rFonts w:hint="eastAsia" w:ascii="仿宋_GB2312" w:hAnsi="仿宋_GB2312" w:eastAsia="仿宋_GB2312" w:cs="仿宋_GB2312"/>
          <w:sz w:val="32"/>
          <w:szCs w:val="32"/>
        </w:rPr>
        <w:t>、公务用车购置及运行费和公务接待费。其中，因公出国（境）费</w:t>
      </w:r>
      <w:r>
        <w:rPr>
          <w:rFonts w:hint="eastAsia" w:ascii="仿宋_GB2312" w:hAnsi="仿宋_GB2312" w:eastAsia="仿宋_GB2312" w:cs="仿宋_GB2312"/>
          <w:sz w:val="32"/>
          <w:szCs w:val="32"/>
          <w:lang w:val="en-US" w:eastAsia="zh-CN"/>
        </w:rPr>
        <w:t>用</w:t>
      </w:r>
      <w:r>
        <w:rPr>
          <w:rFonts w:hint="eastAsia" w:ascii="仿宋_GB2312" w:hAnsi="仿宋_GB2312" w:eastAsia="仿宋_GB2312" w:cs="仿宋_GB2312"/>
          <w:sz w:val="32"/>
          <w:szCs w:val="32"/>
        </w:rPr>
        <w:t>反映单位公务出国（境）的国际旅费、国外城市间交通费、住宿费、伙食费、培训费、公杂费等支出，不含教学科研人员学术交流出国（境）费用；公务用车购置及运行费反映单位公务用车车辆购置支出（含车辆购置税）及燃料费、新能源汽车充电费、维修费、过桥过路费、保险费、安全奖励费用等支出；公务接待费反映单位按规定开支的各类公务接待（含外宾接待）支出。</w:t>
      </w:r>
    </w:p>
    <w:p w14:paraId="4078F498">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.机关运行经费：指为保障行政单位（含参照公务员法管理的事业单位）运行用于购买货物和服务的各项资金，包括办公</w:t>
      </w:r>
      <w:r>
        <w:rPr>
          <w:rFonts w:hint="eastAsia" w:ascii="仿宋_GB2312" w:hAnsi="仿宋_GB2312" w:eastAsia="仿宋_GB2312" w:cs="仿宋_GB2312"/>
          <w:sz w:val="32"/>
          <w:szCs w:val="32"/>
          <w:lang w:val="en-US" w:eastAsia="zh-CN"/>
        </w:rPr>
        <w:t>费、</w:t>
      </w:r>
      <w:r>
        <w:rPr>
          <w:rFonts w:hint="eastAsia" w:ascii="仿宋_GB2312" w:hAnsi="仿宋_GB2312" w:eastAsia="仿宋_GB2312" w:cs="仿宋_GB2312"/>
          <w:sz w:val="32"/>
          <w:szCs w:val="32"/>
        </w:rPr>
        <w:t>印刷费、邮电费、差旅费、会议费、福利费、日常维修费、专用材料</w:t>
      </w:r>
      <w:r>
        <w:rPr>
          <w:rFonts w:hint="eastAsia" w:ascii="仿宋_GB2312" w:hAnsi="仿宋_GB2312" w:eastAsia="仿宋_GB2312" w:cs="仿宋_GB2312"/>
          <w:sz w:val="32"/>
          <w:szCs w:val="32"/>
          <w:lang w:val="en-US" w:eastAsia="zh-CN"/>
        </w:rPr>
        <w:t>费</w:t>
      </w:r>
      <w:r>
        <w:rPr>
          <w:rFonts w:hint="eastAsia" w:ascii="仿宋_GB2312" w:hAnsi="仿宋_GB2312" w:eastAsia="仿宋_GB2312" w:cs="仿宋_GB2312"/>
          <w:sz w:val="32"/>
          <w:szCs w:val="32"/>
        </w:rPr>
        <w:t>及</w:t>
      </w:r>
      <w:r>
        <w:rPr>
          <w:rFonts w:hint="eastAsia" w:ascii="仿宋_GB2312" w:hAnsi="仿宋_GB2312" w:eastAsia="仿宋_GB2312" w:cs="仿宋_GB2312"/>
          <w:sz w:val="32"/>
          <w:szCs w:val="32"/>
          <w:lang w:val="en-US" w:eastAsia="zh-CN"/>
        </w:rPr>
        <w:t>办公</w:t>
      </w:r>
      <w:r>
        <w:rPr>
          <w:rFonts w:hint="eastAsia" w:ascii="仿宋_GB2312" w:hAnsi="仿宋_GB2312" w:eastAsia="仿宋_GB2312" w:cs="仿宋_GB2312"/>
          <w:sz w:val="32"/>
          <w:szCs w:val="32"/>
        </w:rPr>
        <w:t>设备购置费、办公用房水电费、办公用房取暖费、办公用房物业管理费、公务用车运行维护费以及其他费用。</w:t>
      </w:r>
    </w:p>
    <w:p w14:paraId="215349B7">
      <w:pPr>
        <w:widowControl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.一般公共服务支出（类）</w:t>
      </w:r>
      <w:r>
        <w:rPr>
          <w:rFonts w:hint="eastAsia" w:ascii="仿宋_GB2312" w:hAnsi="仿宋_GB2312" w:eastAsia="仿宋_GB2312" w:cs="仿宋_GB2312"/>
          <w:sz w:val="32"/>
          <w:szCs w:val="32"/>
          <w:lang w:val="en-US" w:eastAsia="zh-CN"/>
        </w:rPr>
        <w:t>社会工作事务</w:t>
      </w:r>
      <w:r>
        <w:rPr>
          <w:rFonts w:hint="eastAsia" w:ascii="仿宋_GB2312" w:hAnsi="仿宋_GB2312" w:eastAsia="仿宋_GB2312" w:cs="仿宋_GB2312"/>
          <w:sz w:val="32"/>
          <w:szCs w:val="32"/>
        </w:rPr>
        <w:t>（款）其他社会工作事务支出（项）：反映机关事业单位用于其他社会工作事务的支出。</w:t>
      </w:r>
    </w:p>
    <w:p w14:paraId="366DF6C9">
      <w:pPr>
        <w:widowControl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.一般公共服务支出（类）</w:t>
      </w:r>
      <w:r>
        <w:rPr>
          <w:rFonts w:hint="eastAsia" w:ascii="仿宋_GB2312" w:hAnsi="仿宋_GB2312" w:eastAsia="仿宋_GB2312" w:cs="仿宋_GB2312"/>
          <w:sz w:val="32"/>
          <w:szCs w:val="32"/>
          <w:lang w:val="en-US" w:eastAsia="zh-CN"/>
        </w:rPr>
        <w:t>社会工作事务</w:t>
      </w:r>
      <w:r>
        <w:rPr>
          <w:rFonts w:hint="eastAsia" w:ascii="仿宋_GB2312" w:hAnsi="仿宋_GB2312" w:eastAsia="仿宋_GB2312" w:cs="仿宋_GB2312"/>
          <w:sz w:val="32"/>
          <w:szCs w:val="32"/>
        </w:rPr>
        <w:t xml:space="preserve">（款）事业运行（项）：反映事业单位的基本支出。 </w:t>
      </w:r>
    </w:p>
    <w:p w14:paraId="7DBF1CC4">
      <w:pPr>
        <w:widowControl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 xml:space="preserve">.社会保障和就业支出（类）行政事业单位养老支出（款）机关事业单位基本养老保险缴费支出（项）：反映机关事业单位实施养老保险制度由单位缴纳的基本养老保险费缴费支出。                                                    </w:t>
      </w:r>
    </w:p>
    <w:p w14:paraId="17801D26">
      <w:pPr>
        <w:widowControl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 xml:space="preserve">.社会保障和就业支出（类）行政事业单位养老支出（款）机关事业单位职业年金缴费支出（项）：反映机关事业单位实施养老保险制度由单位缴纳的职业年金支出。                                                 </w:t>
      </w:r>
    </w:p>
    <w:p w14:paraId="287B4A81">
      <w:pPr>
        <w:widowControl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.卫生健康支出(类)行政事业单位医疗(款)事业单位医疗（项）：反映财政部门集中安排的事业单位基本医疗保险缴费经费。</w:t>
      </w:r>
    </w:p>
    <w:p w14:paraId="450E5A55"/>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1977B">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897CAF">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EDE70A">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943E2">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78E65D">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4F6E99">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5A99C"/>
    <w:multiLevelType w:val="singleLevel"/>
    <w:tmpl w:val="5895A99C"/>
    <w:lvl w:ilvl="0" w:tentative="0">
      <w:start w:val="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8453C"/>
    <w:rsid w:val="00037FBA"/>
    <w:rsid w:val="00044EF2"/>
    <w:rsid w:val="00084C3B"/>
    <w:rsid w:val="000F6704"/>
    <w:rsid w:val="0014553D"/>
    <w:rsid w:val="00151805"/>
    <w:rsid w:val="0018453C"/>
    <w:rsid w:val="001C6D6F"/>
    <w:rsid w:val="001D7273"/>
    <w:rsid w:val="001F186B"/>
    <w:rsid w:val="00215AA4"/>
    <w:rsid w:val="0025199F"/>
    <w:rsid w:val="00262BFB"/>
    <w:rsid w:val="002E190E"/>
    <w:rsid w:val="00312421"/>
    <w:rsid w:val="0034320B"/>
    <w:rsid w:val="0035041B"/>
    <w:rsid w:val="00352D79"/>
    <w:rsid w:val="003533AA"/>
    <w:rsid w:val="00372A55"/>
    <w:rsid w:val="003A54FF"/>
    <w:rsid w:val="003E68CE"/>
    <w:rsid w:val="004C1A7E"/>
    <w:rsid w:val="004E07B6"/>
    <w:rsid w:val="004F65D0"/>
    <w:rsid w:val="004F6D96"/>
    <w:rsid w:val="0054517F"/>
    <w:rsid w:val="0055355B"/>
    <w:rsid w:val="00576237"/>
    <w:rsid w:val="005B1AB5"/>
    <w:rsid w:val="005D0D77"/>
    <w:rsid w:val="005E0A27"/>
    <w:rsid w:val="005E47B3"/>
    <w:rsid w:val="005E7D52"/>
    <w:rsid w:val="00655F61"/>
    <w:rsid w:val="006B2E4F"/>
    <w:rsid w:val="006C39E2"/>
    <w:rsid w:val="006D5442"/>
    <w:rsid w:val="006D7FE3"/>
    <w:rsid w:val="006E085B"/>
    <w:rsid w:val="006F455E"/>
    <w:rsid w:val="007072D9"/>
    <w:rsid w:val="00731A0A"/>
    <w:rsid w:val="0073245A"/>
    <w:rsid w:val="00755A48"/>
    <w:rsid w:val="007715EF"/>
    <w:rsid w:val="007A0C65"/>
    <w:rsid w:val="007B431F"/>
    <w:rsid w:val="007D24B2"/>
    <w:rsid w:val="007E4CC3"/>
    <w:rsid w:val="00801E01"/>
    <w:rsid w:val="00823268"/>
    <w:rsid w:val="00834DDF"/>
    <w:rsid w:val="00850DC9"/>
    <w:rsid w:val="0089440C"/>
    <w:rsid w:val="00937AE8"/>
    <w:rsid w:val="009415A1"/>
    <w:rsid w:val="009427F2"/>
    <w:rsid w:val="009A7459"/>
    <w:rsid w:val="009B71E7"/>
    <w:rsid w:val="00A76362"/>
    <w:rsid w:val="00A86842"/>
    <w:rsid w:val="00AB2741"/>
    <w:rsid w:val="00B109C2"/>
    <w:rsid w:val="00B85FDA"/>
    <w:rsid w:val="00BA6311"/>
    <w:rsid w:val="00C35F38"/>
    <w:rsid w:val="00C35FDD"/>
    <w:rsid w:val="00C47BB8"/>
    <w:rsid w:val="00C50353"/>
    <w:rsid w:val="00C52D1F"/>
    <w:rsid w:val="00CC1B9F"/>
    <w:rsid w:val="00CE3F52"/>
    <w:rsid w:val="00D7617F"/>
    <w:rsid w:val="00D81B35"/>
    <w:rsid w:val="00DA4451"/>
    <w:rsid w:val="00DA6F5B"/>
    <w:rsid w:val="00DA7F84"/>
    <w:rsid w:val="00DF037C"/>
    <w:rsid w:val="00E16F71"/>
    <w:rsid w:val="00E20FB4"/>
    <w:rsid w:val="00E40834"/>
    <w:rsid w:val="00E429D8"/>
    <w:rsid w:val="00E44C58"/>
    <w:rsid w:val="00E61E40"/>
    <w:rsid w:val="00E925CD"/>
    <w:rsid w:val="00E95C9E"/>
    <w:rsid w:val="00ED0384"/>
    <w:rsid w:val="00F23B56"/>
    <w:rsid w:val="00F56A05"/>
    <w:rsid w:val="00F7116F"/>
    <w:rsid w:val="013A2EFC"/>
    <w:rsid w:val="01405C62"/>
    <w:rsid w:val="01F263DB"/>
    <w:rsid w:val="01F648EB"/>
    <w:rsid w:val="023D5C84"/>
    <w:rsid w:val="024C6702"/>
    <w:rsid w:val="026505B4"/>
    <w:rsid w:val="028630A1"/>
    <w:rsid w:val="02FD4879"/>
    <w:rsid w:val="038C7FF1"/>
    <w:rsid w:val="03AA3E3B"/>
    <w:rsid w:val="03EA5C50"/>
    <w:rsid w:val="043A0899"/>
    <w:rsid w:val="0458580D"/>
    <w:rsid w:val="04600135"/>
    <w:rsid w:val="05054F3D"/>
    <w:rsid w:val="05F46152"/>
    <w:rsid w:val="05F835B0"/>
    <w:rsid w:val="06113422"/>
    <w:rsid w:val="063B27DE"/>
    <w:rsid w:val="065E25EC"/>
    <w:rsid w:val="06835E42"/>
    <w:rsid w:val="06F965CB"/>
    <w:rsid w:val="07487AC1"/>
    <w:rsid w:val="07623DA7"/>
    <w:rsid w:val="081119C7"/>
    <w:rsid w:val="08DE4DFD"/>
    <w:rsid w:val="0A1D1E06"/>
    <w:rsid w:val="0A3E54A5"/>
    <w:rsid w:val="0A4C7CCD"/>
    <w:rsid w:val="0B486D9D"/>
    <w:rsid w:val="0B4F52A1"/>
    <w:rsid w:val="0B652DFD"/>
    <w:rsid w:val="0B654246"/>
    <w:rsid w:val="0BD448F3"/>
    <w:rsid w:val="0C7B7749"/>
    <w:rsid w:val="0CE2397A"/>
    <w:rsid w:val="0CEE5818"/>
    <w:rsid w:val="0DDF3EA9"/>
    <w:rsid w:val="0F0A0BC6"/>
    <w:rsid w:val="0F216C64"/>
    <w:rsid w:val="0F3E23E2"/>
    <w:rsid w:val="0F5C4EB1"/>
    <w:rsid w:val="0F760C96"/>
    <w:rsid w:val="0F8B51E9"/>
    <w:rsid w:val="0FEA06B3"/>
    <w:rsid w:val="106B2554"/>
    <w:rsid w:val="1085571C"/>
    <w:rsid w:val="10AD6224"/>
    <w:rsid w:val="113F7BA5"/>
    <w:rsid w:val="12970A77"/>
    <w:rsid w:val="12D300E7"/>
    <w:rsid w:val="136B79EF"/>
    <w:rsid w:val="1370543F"/>
    <w:rsid w:val="13811EEE"/>
    <w:rsid w:val="13923DEF"/>
    <w:rsid w:val="13FF3975"/>
    <w:rsid w:val="14861683"/>
    <w:rsid w:val="14887B46"/>
    <w:rsid w:val="14EF3497"/>
    <w:rsid w:val="153C45B3"/>
    <w:rsid w:val="157947AC"/>
    <w:rsid w:val="15DB09EF"/>
    <w:rsid w:val="1650535C"/>
    <w:rsid w:val="16B75B8F"/>
    <w:rsid w:val="16FE1938"/>
    <w:rsid w:val="170C3948"/>
    <w:rsid w:val="178056C8"/>
    <w:rsid w:val="17EC7FC1"/>
    <w:rsid w:val="17F81734"/>
    <w:rsid w:val="180061CB"/>
    <w:rsid w:val="18154C5A"/>
    <w:rsid w:val="18EF3804"/>
    <w:rsid w:val="19001E74"/>
    <w:rsid w:val="195C3A7E"/>
    <w:rsid w:val="1A2375F0"/>
    <w:rsid w:val="1AC0275A"/>
    <w:rsid w:val="1AE500E3"/>
    <w:rsid w:val="1B1D1342"/>
    <w:rsid w:val="1B2A6629"/>
    <w:rsid w:val="1BBC2184"/>
    <w:rsid w:val="1C103D2D"/>
    <w:rsid w:val="1C1965EC"/>
    <w:rsid w:val="1C7701B9"/>
    <w:rsid w:val="1CEA3F89"/>
    <w:rsid w:val="1CF73295"/>
    <w:rsid w:val="1D451326"/>
    <w:rsid w:val="1D5F4748"/>
    <w:rsid w:val="1D99665F"/>
    <w:rsid w:val="1DAF4B38"/>
    <w:rsid w:val="1E621D9B"/>
    <w:rsid w:val="1E9448CB"/>
    <w:rsid w:val="1E945AB3"/>
    <w:rsid w:val="1EA3498E"/>
    <w:rsid w:val="1EFB5835"/>
    <w:rsid w:val="1F5052F4"/>
    <w:rsid w:val="1F7E4DCC"/>
    <w:rsid w:val="1F8A1433"/>
    <w:rsid w:val="1FD94E57"/>
    <w:rsid w:val="205247F6"/>
    <w:rsid w:val="205508A0"/>
    <w:rsid w:val="206501BF"/>
    <w:rsid w:val="20C21B5F"/>
    <w:rsid w:val="20D8491F"/>
    <w:rsid w:val="2163103A"/>
    <w:rsid w:val="217D79B3"/>
    <w:rsid w:val="219B3B12"/>
    <w:rsid w:val="219E2440"/>
    <w:rsid w:val="21F8300E"/>
    <w:rsid w:val="22693DEC"/>
    <w:rsid w:val="22D4227E"/>
    <w:rsid w:val="22FA27EC"/>
    <w:rsid w:val="230477A4"/>
    <w:rsid w:val="234550B7"/>
    <w:rsid w:val="2384696C"/>
    <w:rsid w:val="23B968AE"/>
    <w:rsid w:val="240772FF"/>
    <w:rsid w:val="24183DF0"/>
    <w:rsid w:val="247778DD"/>
    <w:rsid w:val="247A77A8"/>
    <w:rsid w:val="24D6630F"/>
    <w:rsid w:val="24F84929"/>
    <w:rsid w:val="252A0A7B"/>
    <w:rsid w:val="257B506C"/>
    <w:rsid w:val="259F7519"/>
    <w:rsid w:val="25AF42DB"/>
    <w:rsid w:val="25B348BA"/>
    <w:rsid w:val="25DE1005"/>
    <w:rsid w:val="25FD2566"/>
    <w:rsid w:val="26146B0C"/>
    <w:rsid w:val="26816946"/>
    <w:rsid w:val="26DB7398"/>
    <w:rsid w:val="27033FBD"/>
    <w:rsid w:val="2705728B"/>
    <w:rsid w:val="27417BF8"/>
    <w:rsid w:val="27693B45"/>
    <w:rsid w:val="28130904"/>
    <w:rsid w:val="283A129B"/>
    <w:rsid w:val="28AB4ABC"/>
    <w:rsid w:val="28FE78EF"/>
    <w:rsid w:val="29672817"/>
    <w:rsid w:val="29763DAA"/>
    <w:rsid w:val="29954B63"/>
    <w:rsid w:val="29A41943"/>
    <w:rsid w:val="29B831E7"/>
    <w:rsid w:val="29DF16A7"/>
    <w:rsid w:val="29EC4A02"/>
    <w:rsid w:val="29F74F67"/>
    <w:rsid w:val="2A484907"/>
    <w:rsid w:val="2B755902"/>
    <w:rsid w:val="2BA81833"/>
    <w:rsid w:val="2BAC3F70"/>
    <w:rsid w:val="2BB02AB9"/>
    <w:rsid w:val="2C56166B"/>
    <w:rsid w:val="2C772798"/>
    <w:rsid w:val="2CE33635"/>
    <w:rsid w:val="2D391980"/>
    <w:rsid w:val="2D7C6F9A"/>
    <w:rsid w:val="2ED263DE"/>
    <w:rsid w:val="2F312BD6"/>
    <w:rsid w:val="2F4F315F"/>
    <w:rsid w:val="2F5260FE"/>
    <w:rsid w:val="2F78760A"/>
    <w:rsid w:val="30780EC9"/>
    <w:rsid w:val="309A0801"/>
    <w:rsid w:val="31651329"/>
    <w:rsid w:val="31C46552"/>
    <w:rsid w:val="31EC7268"/>
    <w:rsid w:val="32691E0F"/>
    <w:rsid w:val="32AA2E28"/>
    <w:rsid w:val="33722AF4"/>
    <w:rsid w:val="339F6CDD"/>
    <w:rsid w:val="344952F9"/>
    <w:rsid w:val="34962644"/>
    <w:rsid w:val="34F20284"/>
    <w:rsid w:val="353335A8"/>
    <w:rsid w:val="3619346A"/>
    <w:rsid w:val="366152C5"/>
    <w:rsid w:val="374F22B1"/>
    <w:rsid w:val="37DD34EA"/>
    <w:rsid w:val="3859649B"/>
    <w:rsid w:val="386D2696"/>
    <w:rsid w:val="38CA384A"/>
    <w:rsid w:val="39227B1B"/>
    <w:rsid w:val="39406911"/>
    <w:rsid w:val="39850296"/>
    <w:rsid w:val="39C26750"/>
    <w:rsid w:val="3A7F1D43"/>
    <w:rsid w:val="3A8D223E"/>
    <w:rsid w:val="3B291386"/>
    <w:rsid w:val="3B563038"/>
    <w:rsid w:val="3B7A306D"/>
    <w:rsid w:val="3B800F80"/>
    <w:rsid w:val="3B80307E"/>
    <w:rsid w:val="3BCA7BD7"/>
    <w:rsid w:val="3BFC72F9"/>
    <w:rsid w:val="3C6C37E2"/>
    <w:rsid w:val="3C7D1C3F"/>
    <w:rsid w:val="3CDF42B5"/>
    <w:rsid w:val="3CEA3E5A"/>
    <w:rsid w:val="3CFD6A0C"/>
    <w:rsid w:val="3DDA1E4D"/>
    <w:rsid w:val="3DE5087F"/>
    <w:rsid w:val="3F1A2814"/>
    <w:rsid w:val="400943B7"/>
    <w:rsid w:val="40143523"/>
    <w:rsid w:val="406B2735"/>
    <w:rsid w:val="4081382B"/>
    <w:rsid w:val="40D75730"/>
    <w:rsid w:val="4171469C"/>
    <w:rsid w:val="41857EAB"/>
    <w:rsid w:val="425132C0"/>
    <w:rsid w:val="42C454C8"/>
    <w:rsid w:val="42EC4BA0"/>
    <w:rsid w:val="43482ADF"/>
    <w:rsid w:val="43497E11"/>
    <w:rsid w:val="438C52D1"/>
    <w:rsid w:val="43AF1DC7"/>
    <w:rsid w:val="442360D8"/>
    <w:rsid w:val="450B3104"/>
    <w:rsid w:val="45374F70"/>
    <w:rsid w:val="45A32D85"/>
    <w:rsid w:val="45E83F3B"/>
    <w:rsid w:val="45E922E2"/>
    <w:rsid w:val="46181B9F"/>
    <w:rsid w:val="46B73DB3"/>
    <w:rsid w:val="46B85A12"/>
    <w:rsid w:val="46C20ABF"/>
    <w:rsid w:val="471C5409"/>
    <w:rsid w:val="475E76EE"/>
    <w:rsid w:val="47B54AE2"/>
    <w:rsid w:val="47C24104"/>
    <w:rsid w:val="480212E4"/>
    <w:rsid w:val="484652C3"/>
    <w:rsid w:val="48763A80"/>
    <w:rsid w:val="489E735B"/>
    <w:rsid w:val="48EF215B"/>
    <w:rsid w:val="49547ADE"/>
    <w:rsid w:val="499358EA"/>
    <w:rsid w:val="49A70025"/>
    <w:rsid w:val="49D7054F"/>
    <w:rsid w:val="4A2D016F"/>
    <w:rsid w:val="4A9518DB"/>
    <w:rsid w:val="4AB935E6"/>
    <w:rsid w:val="4B1F601E"/>
    <w:rsid w:val="4B65339C"/>
    <w:rsid w:val="4BE2220E"/>
    <w:rsid w:val="4CBF2857"/>
    <w:rsid w:val="4CF82AE4"/>
    <w:rsid w:val="4D097364"/>
    <w:rsid w:val="4D667BB3"/>
    <w:rsid w:val="4D7808AB"/>
    <w:rsid w:val="4DC87963"/>
    <w:rsid w:val="4E0626FD"/>
    <w:rsid w:val="4EA45B39"/>
    <w:rsid w:val="4EED2017"/>
    <w:rsid w:val="4F2E2211"/>
    <w:rsid w:val="4F4E78CD"/>
    <w:rsid w:val="4FA62E1E"/>
    <w:rsid w:val="4FAC0AB2"/>
    <w:rsid w:val="4FC809F8"/>
    <w:rsid w:val="4FE85961"/>
    <w:rsid w:val="50072C4D"/>
    <w:rsid w:val="50341189"/>
    <w:rsid w:val="50837233"/>
    <w:rsid w:val="50E32140"/>
    <w:rsid w:val="514C5668"/>
    <w:rsid w:val="51513799"/>
    <w:rsid w:val="518C29B6"/>
    <w:rsid w:val="52170DB7"/>
    <w:rsid w:val="52AA23A8"/>
    <w:rsid w:val="52B7187A"/>
    <w:rsid w:val="52BF3A93"/>
    <w:rsid w:val="53971D3B"/>
    <w:rsid w:val="53A5465B"/>
    <w:rsid w:val="53B6028C"/>
    <w:rsid w:val="54392B16"/>
    <w:rsid w:val="54442E65"/>
    <w:rsid w:val="545B2AA1"/>
    <w:rsid w:val="549B5701"/>
    <w:rsid w:val="54A9277D"/>
    <w:rsid w:val="55182E77"/>
    <w:rsid w:val="553F16B7"/>
    <w:rsid w:val="555D1CEE"/>
    <w:rsid w:val="558856A9"/>
    <w:rsid w:val="55CA2A9E"/>
    <w:rsid w:val="55CA3B80"/>
    <w:rsid w:val="55E50F1B"/>
    <w:rsid w:val="565F6886"/>
    <w:rsid w:val="56BC237C"/>
    <w:rsid w:val="56CD4B4D"/>
    <w:rsid w:val="575C7815"/>
    <w:rsid w:val="5798381B"/>
    <w:rsid w:val="57D4447A"/>
    <w:rsid w:val="57F759F2"/>
    <w:rsid w:val="585447AE"/>
    <w:rsid w:val="58906498"/>
    <w:rsid w:val="58AF736D"/>
    <w:rsid w:val="58D704D4"/>
    <w:rsid w:val="58EC4DE1"/>
    <w:rsid w:val="596B72CE"/>
    <w:rsid w:val="59B3494A"/>
    <w:rsid w:val="59EB1B1F"/>
    <w:rsid w:val="59EC6E24"/>
    <w:rsid w:val="5A0B2520"/>
    <w:rsid w:val="5A186813"/>
    <w:rsid w:val="5A3B2376"/>
    <w:rsid w:val="5A40591F"/>
    <w:rsid w:val="5A6F0692"/>
    <w:rsid w:val="5ABF2E42"/>
    <w:rsid w:val="5B586398"/>
    <w:rsid w:val="5B5E26D5"/>
    <w:rsid w:val="5B916903"/>
    <w:rsid w:val="5BEF472E"/>
    <w:rsid w:val="5C932202"/>
    <w:rsid w:val="5CC87E6F"/>
    <w:rsid w:val="5CD918EA"/>
    <w:rsid w:val="5D247D3D"/>
    <w:rsid w:val="5DAE1AC9"/>
    <w:rsid w:val="5E153AF5"/>
    <w:rsid w:val="5F0E1E7F"/>
    <w:rsid w:val="5F112305"/>
    <w:rsid w:val="5F2767B3"/>
    <w:rsid w:val="5FE31F70"/>
    <w:rsid w:val="60045498"/>
    <w:rsid w:val="614C1844"/>
    <w:rsid w:val="617A6C2D"/>
    <w:rsid w:val="61855523"/>
    <w:rsid w:val="618968F0"/>
    <w:rsid w:val="619E6355"/>
    <w:rsid w:val="61BD64DA"/>
    <w:rsid w:val="6215384D"/>
    <w:rsid w:val="627460EE"/>
    <w:rsid w:val="62AC06BC"/>
    <w:rsid w:val="633B4987"/>
    <w:rsid w:val="63525D55"/>
    <w:rsid w:val="63F321C7"/>
    <w:rsid w:val="64BD699D"/>
    <w:rsid w:val="64C20A08"/>
    <w:rsid w:val="64F06443"/>
    <w:rsid w:val="65737FB9"/>
    <w:rsid w:val="65DF5ECF"/>
    <w:rsid w:val="661D7FD4"/>
    <w:rsid w:val="665A45AE"/>
    <w:rsid w:val="66A662C4"/>
    <w:rsid w:val="66DE2D4E"/>
    <w:rsid w:val="67222B8A"/>
    <w:rsid w:val="679D182D"/>
    <w:rsid w:val="67BB6396"/>
    <w:rsid w:val="680E7D66"/>
    <w:rsid w:val="68794E30"/>
    <w:rsid w:val="687B5327"/>
    <w:rsid w:val="688621C1"/>
    <w:rsid w:val="68C15BDE"/>
    <w:rsid w:val="69621814"/>
    <w:rsid w:val="6AD23ACD"/>
    <w:rsid w:val="6AE706B2"/>
    <w:rsid w:val="6B103823"/>
    <w:rsid w:val="6B315A81"/>
    <w:rsid w:val="6B4E7636"/>
    <w:rsid w:val="6C3F4637"/>
    <w:rsid w:val="6C9D07C7"/>
    <w:rsid w:val="6CB426A8"/>
    <w:rsid w:val="6D3835CD"/>
    <w:rsid w:val="6D9B59D3"/>
    <w:rsid w:val="6DDF18A8"/>
    <w:rsid w:val="6E7742D5"/>
    <w:rsid w:val="6E7A7E7A"/>
    <w:rsid w:val="6E947A29"/>
    <w:rsid w:val="6EFB1E55"/>
    <w:rsid w:val="701E0D35"/>
    <w:rsid w:val="708C2BAE"/>
    <w:rsid w:val="717A54B6"/>
    <w:rsid w:val="71E47115"/>
    <w:rsid w:val="72124418"/>
    <w:rsid w:val="729F7356"/>
    <w:rsid w:val="72BF52A3"/>
    <w:rsid w:val="73520170"/>
    <w:rsid w:val="73B32D5B"/>
    <w:rsid w:val="74906E74"/>
    <w:rsid w:val="74D2633E"/>
    <w:rsid w:val="75061B64"/>
    <w:rsid w:val="75127B2A"/>
    <w:rsid w:val="756B70AB"/>
    <w:rsid w:val="762D45E7"/>
    <w:rsid w:val="76432C97"/>
    <w:rsid w:val="76472E5B"/>
    <w:rsid w:val="76622032"/>
    <w:rsid w:val="76DA2B8D"/>
    <w:rsid w:val="773F1B2E"/>
    <w:rsid w:val="776141C0"/>
    <w:rsid w:val="77E71EE7"/>
    <w:rsid w:val="78403651"/>
    <w:rsid w:val="784051C1"/>
    <w:rsid w:val="789E16E5"/>
    <w:rsid w:val="78DB40C6"/>
    <w:rsid w:val="7954401D"/>
    <w:rsid w:val="79547EF1"/>
    <w:rsid w:val="79A24C96"/>
    <w:rsid w:val="7AC02D1F"/>
    <w:rsid w:val="7AE80A7B"/>
    <w:rsid w:val="7AE861A8"/>
    <w:rsid w:val="7B452E9A"/>
    <w:rsid w:val="7B5C7060"/>
    <w:rsid w:val="7B5E14E4"/>
    <w:rsid w:val="7B741965"/>
    <w:rsid w:val="7BBF78B4"/>
    <w:rsid w:val="7BFE30BC"/>
    <w:rsid w:val="7C0A7BF1"/>
    <w:rsid w:val="7CD24C07"/>
    <w:rsid w:val="7CDD0037"/>
    <w:rsid w:val="7D2C5AF6"/>
    <w:rsid w:val="7D8F4D87"/>
    <w:rsid w:val="7DBB66FE"/>
    <w:rsid w:val="7DBE27C1"/>
    <w:rsid w:val="7DCA5F0F"/>
    <w:rsid w:val="7E1F736F"/>
    <w:rsid w:val="7E300305"/>
    <w:rsid w:val="7E7D74C3"/>
    <w:rsid w:val="7EB52BD6"/>
    <w:rsid w:val="7F346A78"/>
    <w:rsid w:val="7FA57776"/>
    <w:rsid w:val="7FC2506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hint="eastAsia" w:ascii="仿宋_GB2312" w:hAnsi="仿宋_GB2312" w:eastAsia="仿宋_GB2312" w:cs="Times New Roman"/>
      <w:color w:val="000000"/>
      <w:sz w:val="24"/>
      <w:szCs w:val="22"/>
      <w:lang w:val="en-US" w:eastAsia="zh-CN" w:bidi="ar-SA"/>
    </w:rPr>
  </w:style>
  <w:style w:type="paragraph" w:styleId="3">
    <w:name w:val="Document Map"/>
    <w:basedOn w:val="1"/>
    <w:semiHidden/>
    <w:qFormat/>
    <w:uiPriority w:val="0"/>
    <w:pPr>
      <w:shd w:val="clear" w:color="auto" w:fill="000080"/>
    </w:p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Strong"/>
    <w:basedOn w:val="8"/>
    <w:qFormat/>
    <w:uiPriority w:val="0"/>
    <w:rPr>
      <w:b/>
      <w:bCs/>
    </w:rPr>
  </w:style>
  <w:style w:type="paragraph" w:customStyle="1" w:styleId="10">
    <w:name w:val="Char"/>
    <w:basedOn w:val="1"/>
    <w:qFormat/>
    <w:uiPriority w:val="0"/>
    <w:rPr>
      <w:rFonts w:ascii="宋体" w:hAnsi="宋体" w:cs="Courier New"/>
      <w:sz w:val="32"/>
      <w:szCs w:val="32"/>
    </w:rPr>
  </w:style>
  <w:style w:type="character" w:customStyle="1" w:styleId="11">
    <w:name w:val="页眉 Char"/>
    <w:link w:val="5"/>
    <w:qFormat/>
    <w:uiPriority w:val="0"/>
    <w:rPr>
      <w:kern w:val="2"/>
      <w:sz w:val="18"/>
      <w:szCs w:val="18"/>
    </w:rPr>
  </w:style>
  <w:style w:type="character" w:customStyle="1" w:styleId="12">
    <w:name w:val="页脚 Char"/>
    <w:link w:val="4"/>
    <w:qFormat/>
    <w:uiPriority w:val="0"/>
    <w:rPr>
      <w:kern w:val="2"/>
      <w:sz w:val="18"/>
      <w:szCs w:val="18"/>
    </w:rPr>
  </w:style>
  <w:style w:type="paragraph" w:customStyle="1" w:styleId="13">
    <w:name w:val="[Normal]"/>
    <w:qFormat/>
    <w:uiPriority w:val="0"/>
    <w:rPr>
      <w:rFonts w:ascii="宋体" w:hAnsi="宋体" w:eastAsia="宋体" w:cs="Times New Roman"/>
      <w:sz w:val="24"/>
      <w:lang w:val="zh-CN" w:eastAsia="zh-CN" w:bidi="ar-SA"/>
    </w:rPr>
  </w:style>
  <w:style w:type="paragraph" w:customStyle="1" w:styleId="14">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xc</Company>
  <Pages>11</Pages>
  <Words>4166</Words>
  <Characters>4542</Characters>
  <Lines>145</Lines>
  <Paragraphs>54</Paragraphs>
  <TotalTime>13</TotalTime>
  <ScaleCrop>false</ScaleCrop>
  <LinksUpToDate>false</LinksUpToDate>
  <CharactersWithSpaces>4674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2020-01-06T08:45:00Z</dcterms:created>
  <dc:creator>dsx</dc:creator>
  <cp:lastModifiedBy>wasabi</cp:lastModifiedBy>
  <dcterms:modified xsi:type="dcterms:W3CDTF">2025-03-05T09:57:56Z</dcterms:modified>
  <dc:title>关于2019年部门预算的批复</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EDOID">
    <vt:r8>5838458</vt:r8>
  </property>
  <property fmtid="{D5CDD505-2E9C-101B-9397-08002B2CF9AE}" pid="4" name="ICV">
    <vt:lpwstr>AE293BE06396464AB610D12C04197BE8_13</vt:lpwstr>
  </property>
  <property fmtid="{D5CDD505-2E9C-101B-9397-08002B2CF9AE}" pid="5" name="KSOTemplateDocerSaveRecord">
    <vt:lpwstr>eyJoZGlkIjoiNjFlMThjZTQzMzhkNDNmODEwZDc5MjVhOGJkYzUwODciLCJ1c2VySWQiOiI0MjUxMDc1ODkifQ==</vt:lpwstr>
  </property>
</Properties>
</file>