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3611C">
      <w:pPr>
        <w:keepNext w:val="0"/>
        <w:keepLines w:val="0"/>
        <w:pageBreakBefore w:val="0"/>
        <w:widowControl w:val="0"/>
        <w:kinsoku/>
        <w:wordWrap/>
        <w:overflowPunct/>
        <w:topLinePunct w:val="0"/>
        <w:autoSpaceDE/>
        <w:autoSpaceDN/>
        <w:bidi w:val="0"/>
        <w:adjustRightInd/>
        <w:snapToGrid/>
        <w:spacing w:before="85" w:line="280" w:lineRule="exact"/>
        <w:textAlignment w:val="auto"/>
        <w:rPr>
          <w:rFonts w:hint="default" w:ascii="黑体" w:hAnsi="黑体" w:eastAsia="黑体" w:cs="黑体"/>
          <w:color w:val="auto"/>
          <w:spacing w:val="-73"/>
          <w:sz w:val="32"/>
          <w:szCs w:val="32"/>
          <w:lang w:val="en-US" w:eastAsia="zh-CN"/>
        </w:rPr>
      </w:pPr>
      <w:bookmarkStart w:id="0" w:name="_GoBack"/>
      <w:bookmarkEnd w:id="0"/>
      <w:r>
        <w:rPr>
          <w:rFonts w:ascii="黑体" w:hAnsi="黑体" w:eastAsia="黑体" w:cs="黑体"/>
          <w:color w:val="auto"/>
          <w:spacing w:val="-10"/>
          <w:sz w:val="28"/>
          <w:szCs w:val="28"/>
        </w:rPr>
        <w:t>附</w:t>
      </w:r>
      <w:r>
        <w:rPr>
          <w:rFonts w:hint="eastAsia" w:ascii="黑体" w:hAnsi="黑体" w:eastAsia="黑体" w:cs="黑体"/>
          <w:color w:val="auto"/>
          <w:spacing w:val="-10"/>
          <w:sz w:val="28"/>
          <w:szCs w:val="28"/>
          <w:lang w:eastAsia="zh-CN"/>
        </w:rPr>
        <w:t>件</w:t>
      </w:r>
      <w:r>
        <w:rPr>
          <w:rFonts w:ascii="黑体" w:hAnsi="黑体" w:eastAsia="黑体" w:cs="黑体"/>
          <w:color w:val="auto"/>
          <w:spacing w:val="-73"/>
          <w:sz w:val="28"/>
          <w:szCs w:val="28"/>
        </w:rPr>
        <w:t xml:space="preserve"> </w:t>
      </w:r>
      <w:r>
        <w:rPr>
          <w:rFonts w:hint="eastAsia" w:ascii="黑体" w:hAnsi="黑体" w:eastAsia="黑体" w:cs="黑体"/>
          <w:color w:val="auto"/>
          <w:spacing w:val="-73"/>
          <w:sz w:val="28"/>
          <w:szCs w:val="28"/>
          <w:lang w:val="en-US" w:eastAsia="zh-CN"/>
        </w:rPr>
        <w:t xml:space="preserve">2    </w:t>
      </w:r>
    </w:p>
    <w:p w14:paraId="6D100242">
      <w:pPr>
        <w:widowControl/>
        <w:spacing w:line="580" w:lineRule="exact"/>
        <w:jc w:val="both"/>
        <w:textAlignment w:val="center"/>
        <w:rPr>
          <w:rFonts w:hint="eastAsia" w:ascii="Times New Roman" w:hAnsi="Times New Roman" w:eastAsia="方正小标宋简体" w:cs="Times New Roman"/>
          <w:color w:val="000000"/>
          <w:kern w:val="0"/>
          <w:sz w:val="44"/>
          <w:szCs w:val="44"/>
          <w:u w:val="none"/>
          <w:lang w:val="en-US" w:eastAsia="zh-CN"/>
        </w:rPr>
      </w:pPr>
    </w:p>
    <w:p w14:paraId="3CB61A9F">
      <w:pPr>
        <w:widowControl/>
        <w:spacing w:line="580" w:lineRule="exact"/>
        <w:jc w:val="center"/>
        <w:textAlignment w:val="center"/>
        <w:rPr>
          <w:rFonts w:hint="eastAsia" w:ascii="黑体" w:hAnsi="黑体" w:eastAsia="黑体" w:cs="黑体"/>
          <w:color w:val="000000"/>
          <w:kern w:val="0"/>
          <w:sz w:val="36"/>
          <w:szCs w:val="36"/>
          <w:u w:val="none"/>
        </w:rPr>
      </w:pPr>
      <w:r>
        <w:rPr>
          <w:rFonts w:hint="eastAsia" w:ascii="黑体" w:hAnsi="黑体" w:eastAsia="黑体" w:cs="黑体"/>
          <w:color w:val="000000"/>
          <w:kern w:val="0"/>
          <w:sz w:val="36"/>
          <w:szCs w:val="36"/>
          <w:u w:val="none"/>
          <w:lang w:val="en-US" w:eastAsia="zh-CN"/>
        </w:rPr>
        <w:t>南浔区长期护理保险定点护理服务机构（机构护理）综合审核表</w:t>
      </w:r>
    </w:p>
    <w:p w14:paraId="29388109">
      <w:pPr>
        <w:overflowPunct w:val="0"/>
        <w:spacing w:line="560" w:lineRule="exact"/>
        <w:ind w:firstLine="600" w:firstLineChars="250"/>
        <w:rPr>
          <w:rFonts w:ascii="Times New Roman" w:hAnsi="Times New Roman" w:eastAsia="仿宋_GB2312"/>
          <w:color w:val="000000"/>
          <w:sz w:val="24"/>
        </w:rPr>
      </w:pPr>
      <w:r>
        <w:rPr>
          <w:rFonts w:ascii="Times New Roman" w:hAnsi="Times New Roman" w:eastAsia="仿宋_GB2312"/>
          <w:color w:val="000000"/>
          <w:sz w:val="24"/>
        </w:rPr>
        <w:t>机构名称</w:t>
      </w:r>
      <w:r>
        <w:rPr>
          <w:rFonts w:hint="default" w:ascii="Times New Roman" w:hAnsi="Times New Roman" w:eastAsia="仿宋_GB2312"/>
          <w:color w:val="000000"/>
          <w:sz w:val="24"/>
        </w:rPr>
        <w:t xml:space="preserve">（盖公章） </w:t>
      </w:r>
      <w:r>
        <w:rPr>
          <w:rFonts w:ascii="Times New Roman" w:hAnsi="Times New Roman" w:eastAsia="仿宋_GB2312"/>
          <w:color w:val="000000"/>
          <w:sz w:val="24"/>
        </w:rPr>
        <w:t>：</w:t>
      </w:r>
      <w:r>
        <w:rPr>
          <w:rFonts w:hint="default" w:ascii="Times New Roman" w:hAnsi="Times New Roman" w:eastAsia="仿宋_GB2312"/>
          <w:color w:val="000000"/>
          <w:sz w:val="24"/>
        </w:rPr>
        <w:t xml:space="preserve">  </w:t>
      </w:r>
      <w:r>
        <w:rPr>
          <w:rFonts w:hint="default" w:ascii="Times New Roman" w:hAnsi="Times New Roman" w:eastAsia="仿宋_GB2312"/>
          <w:color w:val="000000"/>
          <w:sz w:val="24"/>
          <w:lang w:val="en-US" w:eastAsia="zh-CN"/>
        </w:rPr>
        <w:t xml:space="preserve">         </w:t>
      </w:r>
      <w:r>
        <w:rPr>
          <w:rFonts w:hint="default" w:ascii="Times New Roman" w:hAnsi="Times New Roman" w:eastAsia="仿宋_GB2312"/>
          <w:color w:val="000000"/>
          <w:sz w:val="24"/>
        </w:rPr>
        <w:t xml:space="preserve">    </w:t>
      </w:r>
      <w:r>
        <w:rPr>
          <w:rFonts w:hint="default" w:ascii="Times New Roman" w:hAnsi="Times New Roman" w:eastAsia="仿宋_GB2312"/>
          <w:color w:val="000000"/>
          <w:sz w:val="24"/>
          <w:lang w:val="en-US" w:eastAsia="zh-CN"/>
        </w:rPr>
        <w:t xml:space="preserve">       </w:t>
      </w:r>
      <w:r>
        <w:rPr>
          <w:rFonts w:hint="default" w:ascii="Times New Roman" w:hAnsi="Times New Roman" w:eastAsia="仿宋_GB2312"/>
          <w:color w:val="000000"/>
          <w:sz w:val="24"/>
        </w:rPr>
        <w:t xml:space="preserve"> </w:t>
      </w:r>
      <w:r>
        <w:rPr>
          <w:rFonts w:ascii="Times New Roman" w:hAnsi="Times New Roman" w:eastAsia="仿宋_GB2312"/>
          <w:color w:val="000000"/>
          <w:sz w:val="24"/>
        </w:rPr>
        <w:t>地址：</w:t>
      </w:r>
      <w:r>
        <w:rPr>
          <w:rFonts w:hint="default" w:ascii="Times New Roman" w:hAnsi="Times New Roman" w:eastAsia="仿宋_GB2312"/>
          <w:color w:val="000000"/>
          <w:sz w:val="24"/>
        </w:rPr>
        <w:t xml:space="preserve">                     </w:t>
      </w:r>
      <w:r>
        <w:rPr>
          <w:rFonts w:hint="default" w:ascii="Times New Roman" w:hAnsi="Times New Roman" w:eastAsia="仿宋_GB2312"/>
          <w:color w:val="000000"/>
          <w:sz w:val="24"/>
          <w:lang w:val="en-US" w:eastAsia="zh-CN"/>
        </w:rPr>
        <w:t xml:space="preserve">     </w:t>
      </w:r>
      <w:r>
        <w:rPr>
          <w:rFonts w:hint="default" w:ascii="Times New Roman" w:hAnsi="Times New Roman" w:eastAsia="仿宋_GB2312"/>
          <w:color w:val="000000"/>
          <w:sz w:val="24"/>
          <w:lang w:eastAsia="zh-CN"/>
        </w:rPr>
        <w:t>综合审核</w:t>
      </w:r>
      <w:r>
        <w:rPr>
          <w:rFonts w:hint="default" w:ascii="Times New Roman" w:hAnsi="Times New Roman" w:eastAsia="仿宋_GB2312"/>
          <w:color w:val="000000"/>
          <w:sz w:val="24"/>
        </w:rPr>
        <w:t xml:space="preserve">时间：      </w:t>
      </w:r>
    </w:p>
    <w:tbl>
      <w:tblPr>
        <w:tblStyle w:val="3"/>
        <w:tblW w:w="14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99"/>
        <w:gridCol w:w="1215"/>
        <w:gridCol w:w="9927"/>
        <w:gridCol w:w="1083"/>
        <w:gridCol w:w="1411"/>
      </w:tblGrid>
      <w:tr w14:paraId="25E02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5B733E03">
            <w:pPr>
              <w:overflowPunct w:val="0"/>
              <w:spacing w:line="400" w:lineRule="exact"/>
              <w:jc w:val="center"/>
              <w:rPr>
                <w:rFonts w:ascii="Times New Roman" w:hAnsi="Times New Roman" w:eastAsia="黑体"/>
                <w:color w:val="000000"/>
                <w:sz w:val="21"/>
                <w:szCs w:val="21"/>
                <w:u w:val="none"/>
              </w:rPr>
            </w:pPr>
            <w:r>
              <w:rPr>
                <w:rFonts w:ascii="Times New Roman" w:hAnsi="Times New Roman" w:eastAsia="黑体"/>
                <w:color w:val="000000"/>
                <w:sz w:val="21"/>
                <w:szCs w:val="21"/>
                <w:u w:val="none"/>
              </w:rPr>
              <w:t>序号</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6F345CA">
            <w:pPr>
              <w:overflowPunct w:val="0"/>
              <w:spacing w:line="400" w:lineRule="exact"/>
              <w:jc w:val="center"/>
              <w:rPr>
                <w:rFonts w:ascii="Times New Roman" w:hAnsi="Times New Roman" w:eastAsia="黑体"/>
                <w:color w:val="000000"/>
                <w:sz w:val="21"/>
                <w:szCs w:val="21"/>
                <w:u w:val="none"/>
              </w:rPr>
            </w:pPr>
            <w:r>
              <w:rPr>
                <w:rFonts w:hint="default" w:ascii="Times New Roman" w:hAnsi="Times New Roman" w:eastAsia="黑体"/>
                <w:color w:val="000000"/>
                <w:spacing w:val="-6"/>
                <w:sz w:val="21"/>
                <w:szCs w:val="21"/>
                <w:u w:val="none"/>
              </w:rPr>
              <w:t>审核指标</w:t>
            </w:r>
          </w:p>
        </w:tc>
        <w:tc>
          <w:tcPr>
            <w:tcW w:w="9927" w:type="dxa"/>
            <w:tcBorders>
              <w:top w:val="single" w:color="auto" w:sz="4" w:space="0"/>
              <w:left w:val="single" w:color="auto" w:sz="4" w:space="0"/>
              <w:bottom w:val="single" w:color="auto" w:sz="4" w:space="0"/>
              <w:right w:val="single" w:color="auto" w:sz="4" w:space="0"/>
            </w:tcBorders>
            <w:noWrap w:val="0"/>
            <w:vAlign w:val="center"/>
          </w:tcPr>
          <w:p w14:paraId="6A6A6AB6">
            <w:pPr>
              <w:overflowPunct w:val="0"/>
              <w:spacing w:line="400" w:lineRule="exact"/>
              <w:jc w:val="center"/>
              <w:rPr>
                <w:rFonts w:ascii="Times New Roman" w:hAnsi="Times New Roman" w:eastAsia="黑体"/>
                <w:color w:val="000000"/>
                <w:sz w:val="21"/>
                <w:szCs w:val="21"/>
                <w:u w:val="none"/>
              </w:rPr>
            </w:pPr>
            <w:r>
              <w:rPr>
                <w:rFonts w:hint="default" w:ascii="Times New Roman" w:hAnsi="Times New Roman" w:eastAsia="黑体"/>
                <w:color w:val="000000"/>
                <w:sz w:val="21"/>
                <w:szCs w:val="21"/>
                <w:u w:val="none"/>
              </w:rPr>
              <w:t>审核</w:t>
            </w:r>
            <w:r>
              <w:rPr>
                <w:rFonts w:ascii="Times New Roman" w:hAnsi="Times New Roman" w:eastAsia="黑体"/>
                <w:color w:val="000000"/>
                <w:sz w:val="21"/>
                <w:szCs w:val="21"/>
                <w:u w:val="none"/>
              </w:rPr>
              <w:t>标准</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54176F8">
            <w:pPr>
              <w:overflowPunct w:val="0"/>
              <w:spacing w:line="400" w:lineRule="exact"/>
              <w:jc w:val="center"/>
              <w:rPr>
                <w:rFonts w:ascii="Times New Roman" w:hAnsi="Times New Roman" w:eastAsia="黑体"/>
                <w:color w:val="000000"/>
                <w:sz w:val="21"/>
                <w:szCs w:val="21"/>
                <w:u w:val="none"/>
              </w:rPr>
            </w:pPr>
            <w:r>
              <w:rPr>
                <w:rFonts w:hint="eastAsia" w:ascii="Times New Roman" w:hAnsi="Times New Roman" w:eastAsia="黑体"/>
                <w:color w:val="000000"/>
                <w:sz w:val="21"/>
                <w:szCs w:val="21"/>
                <w:u w:val="none"/>
                <w:lang w:eastAsia="zh-CN"/>
              </w:rPr>
              <w:t>自评</w:t>
            </w:r>
            <w:r>
              <w:rPr>
                <w:rFonts w:hint="default" w:ascii="Times New Roman" w:hAnsi="Times New Roman" w:eastAsia="黑体"/>
                <w:color w:val="000000"/>
                <w:sz w:val="21"/>
                <w:szCs w:val="21"/>
                <w:u w:val="none"/>
              </w:rPr>
              <w:t>情况</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846AB83">
            <w:pPr>
              <w:overflowPunct w:val="0"/>
              <w:spacing w:line="400" w:lineRule="exact"/>
              <w:jc w:val="center"/>
              <w:rPr>
                <w:rFonts w:hint="default" w:ascii="Times New Roman" w:hAnsi="Times New Roman" w:eastAsia="黑体"/>
                <w:color w:val="000000"/>
                <w:sz w:val="21"/>
                <w:szCs w:val="21"/>
                <w:u w:val="none"/>
                <w:lang w:eastAsia="zh-CN"/>
              </w:rPr>
            </w:pPr>
            <w:r>
              <w:rPr>
                <w:rFonts w:hint="default" w:ascii="Times New Roman" w:hAnsi="Times New Roman" w:eastAsia="黑体"/>
                <w:color w:val="000000"/>
                <w:sz w:val="21"/>
                <w:szCs w:val="21"/>
                <w:u w:val="none"/>
                <w:lang w:eastAsia="zh-CN"/>
              </w:rPr>
              <w:t>综合审核</w:t>
            </w:r>
            <w:r>
              <w:rPr>
                <w:rFonts w:hint="default" w:ascii="Times New Roman" w:hAnsi="Times New Roman" w:eastAsia="黑体"/>
                <w:color w:val="000000"/>
                <w:sz w:val="21"/>
                <w:szCs w:val="21"/>
                <w:u w:val="none"/>
              </w:rPr>
              <w:t>情况</w:t>
            </w:r>
          </w:p>
        </w:tc>
      </w:tr>
      <w:tr w14:paraId="665FD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022EB6D1">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rPr>
              <w:t>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E7E3AB">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经营时间</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12E68">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是否在现营业场所正常营业（以执业许可证、设立许可证、备案时间、营业执照为准，计算到申请当日）3个月及以上，业务用房的使用期限3年及以上。</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否</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即为不合格。</w:t>
            </w:r>
          </w:p>
        </w:tc>
        <w:tc>
          <w:tcPr>
            <w:tcW w:w="1083" w:type="dxa"/>
            <w:tcBorders>
              <w:top w:val="single" w:color="auto" w:sz="4" w:space="0"/>
              <w:left w:val="single" w:color="auto" w:sz="4" w:space="0"/>
              <w:right w:val="single" w:color="auto" w:sz="4" w:space="0"/>
            </w:tcBorders>
            <w:noWrap w:val="0"/>
            <w:vAlign w:val="center"/>
          </w:tcPr>
          <w:p w14:paraId="55E46C56">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c>
          <w:tcPr>
            <w:tcW w:w="1411" w:type="dxa"/>
            <w:tcBorders>
              <w:top w:val="single" w:color="auto" w:sz="4" w:space="0"/>
              <w:left w:val="single" w:color="auto" w:sz="4" w:space="0"/>
              <w:right w:val="single" w:color="auto" w:sz="4" w:space="0"/>
            </w:tcBorders>
            <w:noWrap w:val="0"/>
            <w:vAlign w:val="center"/>
          </w:tcPr>
          <w:p w14:paraId="7EBAE586">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r>
      <w:tr w14:paraId="1B82D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53BDC73F">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2</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0925F73">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lang w:eastAsia="zh-CN"/>
              </w:rPr>
              <w:t>法人资格</w:t>
            </w:r>
          </w:p>
        </w:tc>
        <w:tc>
          <w:tcPr>
            <w:tcW w:w="9927" w:type="dxa"/>
            <w:tcBorders>
              <w:top w:val="single" w:color="auto" w:sz="4" w:space="0"/>
              <w:left w:val="single" w:color="auto" w:sz="4" w:space="0"/>
              <w:bottom w:val="single" w:color="auto" w:sz="4" w:space="0"/>
              <w:right w:val="single" w:color="auto" w:sz="4" w:space="0"/>
            </w:tcBorders>
            <w:noWrap w:val="0"/>
            <w:vAlign w:val="center"/>
          </w:tcPr>
          <w:p w14:paraId="4D91147B">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sz w:val="21"/>
                <w:szCs w:val="21"/>
                <w:u w:val="none"/>
              </w:rPr>
            </w:pPr>
            <w:r>
              <w:rPr>
                <w:rFonts w:hint="eastAsia" w:ascii="宋体" w:hAnsi="宋体" w:eastAsia="宋体" w:cs="宋体"/>
                <w:color w:val="000000"/>
                <w:spacing w:val="-6"/>
                <w:sz w:val="21"/>
                <w:szCs w:val="21"/>
                <w:u w:val="none"/>
              </w:rPr>
              <w:t>是否具备法人资格。“否”即为不合格。</w:t>
            </w:r>
          </w:p>
        </w:tc>
        <w:tc>
          <w:tcPr>
            <w:tcW w:w="1083" w:type="dxa"/>
            <w:tcBorders>
              <w:top w:val="single" w:color="auto" w:sz="4" w:space="0"/>
              <w:left w:val="single" w:color="auto" w:sz="4" w:space="0"/>
              <w:right w:val="single" w:color="auto" w:sz="4" w:space="0"/>
            </w:tcBorders>
            <w:noWrap w:val="0"/>
            <w:vAlign w:val="center"/>
          </w:tcPr>
          <w:p w14:paraId="2D71805D">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top w:val="single" w:color="auto" w:sz="4" w:space="0"/>
              <w:left w:val="single" w:color="auto" w:sz="4" w:space="0"/>
              <w:right w:val="single" w:color="auto" w:sz="4" w:space="0"/>
            </w:tcBorders>
            <w:noWrap w:val="0"/>
            <w:vAlign w:val="center"/>
          </w:tcPr>
          <w:p w14:paraId="5FAB6DF0">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3CBE4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5DF53E95">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3</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B5E0D">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服务资质</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C8908">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是否具备行业主管部门认可的服务资质，有提供每天24小时无间断护理服务的能力，</w:t>
            </w:r>
            <w:r>
              <w:rPr>
                <w:rFonts w:hint="eastAsia" w:ascii="宋体" w:hAnsi="宋体" w:eastAsia="宋体" w:cs="宋体"/>
                <w:color w:val="000000"/>
                <w:spacing w:val="-6"/>
                <w:sz w:val="21"/>
                <w:szCs w:val="21"/>
                <w:u w:val="none"/>
                <w:lang w:eastAsia="zh-CN"/>
              </w:rPr>
              <w:t>且符合《浙江省长期护理保险护理服务机构定点管理实施细则（试行）》第六条条件</w:t>
            </w:r>
            <w:r>
              <w:rPr>
                <w:rFonts w:hint="eastAsia" w:ascii="宋体" w:hAnsi="宋体" w:eastAsia="宋体" w:cs="宋体"/>
                <w:color w:val="000000"/>
                <w:spacing w:val="-6"/>
                <w:sz w:val="21"/>
                <w:szCs w:val="21"/>
                <w:u w:val="none"/>
              </w:rPr>
              <w:t>之一。“否”即为不合格。</w:t>
            </w:r>
          </w:p>
        </w:tc>
        <w:tc>
          <w:tcPr>
            <w:tcW w:w="1083" w:type="dxa"/>
            <w:tcBorders>
              <w:top w:val="single" w:color="auto" w:sz="4" w:space="0"/>
              <w:left w:val="single" w:color="auto" w:sz="4" w:space="0"/>
              <w:right w:val="single" w:color="auto" w:sz="4" w:space="0"/>
            </w:tcBorders>
            <w:noWrap w:val="0"/>
            <w:vAlign w:val="center"/>
          </w:tcPr>
          <w:p w14:paraId="17F9501E">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top w:val="single" w:color="auto" w:sz="4" w:space="0"/>
              <w:left w:val="single" w:color="auto" w:sz="4" w:space="0"/>
              <w:right w:val="single" w:color="auto" w:sz="4" w:space="0"/>
            </w:tcBorders>
            <w:noWrap w:val="0"/>
            <w:vAlign w:val="center"/>
          </w:tcPr>
          <w:p w14:paraId="0ABA56C9">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26783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5BA4C8DE">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4</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FD019">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基础配置</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4B0EB">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是否配备熟悉长期护理保险政策规定及要求的专</w:t>
            </w:r>
            <w:r>
              <w:rPr>
                <w:rFonts w:hint="eastAsia" w:ascii="宋体" w:hAnsi="宋体" w:eastAsia="宋体" w:cs="宋体"/>
                <w:color w:val="000000"/>
                <w:spacing w:val="-6"/>
                <w:sz w:val="21"/>
                <w:szCs w:val="21"/>
                <w:u w:val="none"/>
                <w:lang w:eastAsia="zh-CN"/>
              </w:rPr>
              <w:t>（兼）</w:t>
            </w:r>
            <w:r>
              <w:rPr>
                <w:rFonts w:hint="eastAsia" w:ascii="宋体" w:hAnsi="宋体" w:eastAsia="宋体" w:cs="宋体"/>
                <w:color w:val="000000"/>
                <w:spacing w:val="-6"/>
                <w:sz w:val="21"/>
                <w:szCs w:val="21"/>
                <w:u w:val="none"/>
              </w:rPr>
              <w:t>职管理人员，服务能力在100</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含</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人以上的是否成立</w:t>
            </w:r>
            <w:r>
              <w:rPr>
                <w:rFonts w:hint="eastAsia" w:ascii="宋体" w:hAnsi="宋体" w:eastAsia="宋体" w:cs="宋体"/>
                <w:color w:val="000000"/>
                <w:spacing w:val="-6"/>
                <w:sz w:val="21"/>
                <w:szCs w:val="21"/>
                <w:u w:val="none"/>
                <w:lang w:eastAsia="zh-CN"/>
              </w:rPr>
              <w:t>长期护理保险</w:t>
            </w:r>
            <w:r>
              <w:rPr>
                <w:rFonts w:hint="eastAsia" w:ascii="宋体" w:hAnsi="宋体" w:eastAsia="宋体" w:cs="宋体"/>
                <w:color w:val="000000"/>
                <w:spacing w:val="-6"/>
                <w:sz w:val="21"/>
                <w:szCs w:val="21"/>
                <w:u w:val="none"/>
              </w:rPr>
              <w:t>管理内设工作机构；是否具备使用全国统一的医保信息平台、与医保信息平台长期护理保险功能模块按接口标准进行对接等条件</w:t>
            </w:r>
            <w:r>
              <w:rPr>
                <w:rFonts w:hint="eastAsia" w:ascii="宋体" w:hAnsi="宋体" w:eastAsia="宋体" w:cs="宋体"/>
                <w:color w:val="000000"/>
                <w:spacing w:val="-6"/>
                <w:sz w:val="21"/>
                <w:szCs w:val="21"/>
                <w:u w:val="none"/>
                <w:lang w:eastAsia="zh-CN"/>
              </w:rPr>
              <w:t>，并配备相应的专业技术人员。其中一项为</w:t>
            </w:r>
            <w:r>
              <w:rPr>
                <w:rFonts w:hint="eastAsia" w:ascii="宋体" w:hAnsi="宋体" w:eastAsia="宋体" w:cs="宋体"/>
                <w:color w:val="000000"/>
                <w:spacing w:val="-6"/>
                <w:sz w:val="21"/>
                <w:szCs w:val="21"/>
                <w:u w:val="none"/>
              </w:rPr>
              <w:t>“否”即为不合格。</w:t>
            </w:r>
          </w:p>
        </w:tc>
        <w:tc>
          <w:tcPr>
            <w:tcW w:w="1083" w:type="dxa"/>
            <w:tcBorders>
              <w:left w:val="single" w:color="auto" w:sz="4" w:space="0"/>
              <w:right w:val="single" w:color="auto" w:sz="4" w:space="0"/>
            </w:tcBorders>
            <w:noWrap w:val="0"/>
            <w:vAlign w:val="center"/>
          </w:tcPr>
          <w:p w14:paraId="1092F6F4">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6D2CDC60">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7AB90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7275318B">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2FB83">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制度建设</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BC331E">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是否建立与</w:t>
            </w:r>
            <w:r>
              <w:rPr>
                <w:rFonts w:hint="eastAsia" w:ascii="宋体" w:hAnsi="宋体" w:eastAsia="宋体" w:cs="宋体"/>
                <w:color w:val="000000"/>
                <w:spacing w:val="-6"/>
                <w:sz w:val="21"/>
                <w:szCs w:val="21"/>
                <w:u w:val="none"/>
                <w:lang w:eastAsia="zh-CN"/>
              </w:rPr>
              <w:t>长期护理保险</w:t>
            </w:r>
            <w:r>
              <w:rPr>
                <w:rFonts w:hint="eastAsia" w:ascii="宋体" w:hAnsi="宋体" w:eastAsia="宋体" w:cs="宋体"/>
                <w:color w:val="000000"/>
                <w:spacing w:val="-6"/>
                <w:sz w:val="21"/>
                <w:szCs w:val="21"/>
                <w:u w:val="none"/>
              </w:rPr>
              <w:t>管理相适应的内部管理制度，包括服务管理、财务管理、信息统计、内控管理、人员管理、档案管理等制度</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“否”即为不合格。</w:t>
            </w:r>
          </w:p>
        </w:tc>
        <w:tc>
          <w:tcPr>
            <w:tcW w:w="1083" w:type="dxa"/>
            <w:tcBorders>
              <w:left w:val="single" w:color="auto" w:sz="4" w:space="0"/>
              <w:right w:val="single" w:color="auto" w:sz="4" w:space="0"/>
            </w:tcBorders>
            <w:noWrap w:val="0"/>
            <w:vAlign w:val="center"/>
          </w:tcPr>
          <w:p w14:paraId="0F46F970">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c>
          <w:tcPr>
            <w:tcW w:w="1411" w:type="dxa"/>
            <w:tcBorders>
              <w:left w:val="single" w:color="auto" w:sz="4" w:space="0"/>
              <w:right w:val="single" w:color="auto" w:sz="4" w:space="0"/>
            </w:tcBorders>
            <w:noWrap w:val="0"/>
            <w:vAlign w:val="center"/>
          </w:tcPr>
          <w:p w14:paraId="06334D51">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r>
      <w:tr w14:paraId="4FBF9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6E1697EA">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6</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AEA7C6">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规范经营</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5B8481">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lang w:eastAsia="zh-CN"/>
              </w:rPr>
              <w:t>是否</w:t>
            </w:r>
            <w:r>
              <w:rPr>
                <w:rFonts w:hint="eastAsia" w:ascii="宋体" w:hAnsi="宋体" w:eastAsia="宋体" w:cs="宋体"/>
                <w:color w:val="000000"/>
                <w:spacing w:val="-6"/>
                <w:sz w:val="21"/>
                <w:szCs w:val="21"/>
                <w:u w:val="none"/>
              </w:rPr>
              <w:t>遵守国家、省、市有关法律法规和政策规定及服务标准和规范；</w:t>
            </w:r>
            <w:r>
              <w:rPr>
                <w:rFonts w:hint="eastAsia" w:ascii="宋体" w:hAnsi="宋体" w:eastAsia="宋体" w:cs="宋体"/>
                <w:color w:val="000000"/>
                <w:spacing w:val="-6"/>
                <w:sz w:val="21"/>
                <w:szCs w:val="21"/>
                <w:u w:val="none"/>
                <w:lang w:eastAsia="zh-CN"/>
              </w:rPr>
              <w:t>是否</w:t>
            </w:r>
            <w:r>
              <w:rPr>
                <w:rFonts w:hint="eastAsia" w:ascii="宋体" w:hAnsi="宋体" w:eastAsia="宋体" w:cs="宋体"/>
                <w:color w:val="000000"/>
                <w:spacing w:val="-6"/>
                <w:sz w:val="21"/>
                <w:szCs w:val="21"/>
                <w:u w:val="none"/>
              </w:rPr>
              <w:t>规范经营，近一年内（不足一年的自开业以来）</w:t>
            </w:r>
            <w:r>
              <w:rPr>
                <w:rFonts w:hint="eastAsia" w:ascii="宋体" w:hAnsi="宋体" w:eastAsia="宋体" w:cs="宋体"/>
                <w:color w:val="000000"/>
                <w:spacing w:val="-6"/>
                <w:sz w:val="21"/>
                <w:szCs w:val="21"/>
                <w:u w:val="none"/>
                <w:lang w:eastAsia="zh-CN"/>
              </w:rPr>
              <w:t>未</w:t>
            </w:r>
            <w:r>
              <w:rPr>
                <w:rFonts w:hint="eastAsia" w:ascii="宋体" w:hAnsi="宋体" w:eastAsia="宋体" w:cs="宋体"/>
                <w:color w:val="000000"/>
                <w:spacing w:val="-6"/>
                <w:sz w:val="21"/>
                <w:szCs w:val="21"/>
                <w:u w:val="none"/>
              </w:rPr>
              <w:t>因医疗服务、养老服务等行为而受到相关行政部门处罚</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其中一项为“否”即为不合格。</w:t>
            </w:r>
          </w:p>
        </w:tc>
        <w:tc>
          <w:tcPr>
            <w:tcW w:w="1083" w:type="dxa"/>
            <w:tcBorders>
              <w:left w:val="single" w:color="auto" w:sz="4" w:space="0"/>
              <w:right w:val="single" w:color="auto" w:sz="4" w:space="0"/>
            </w:tcBorders>
            <w:noWrap w:val="0"/>
            <w:vAlign w:val="center"/>
          </w:tcPr>
          <w:p w14:paraId="7300383F">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4484DA00">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1F32C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850DF5">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rPr>
              <w:t>7</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F5311">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医疗服务能力</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EC44C">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sz w:val="21"/>
                <w:szCs w:val="21"/>
                <w:u w:val="none"/>
              </w:rPr>
            </w:pPr>
            <w:r>
              <w:rPr>
                <w:rFonts w:hint="eastAsia" w:ascii="宋体" w:hAnsi="宋体" w:eastAsia="宋体" w:cs="宋体"/>
                <w:color w:val="000000"/>
                <w:spacing w:val="-6"/>
                <w:sz w:val="21"/>
                <w:szCs w:val="21"/>
                <w:u w:val="none"/>
              </w:rPr>
              <w:t>养老机构、</w:t>
            </w:r>
            <w:r>
              <w:rPr>
                <w:rFonts w:hint="eastAsia" w:ascii="宋体" w:hAnsi="宋体" w:eastAsia="宋体" w:cs="宋体"/>
                <w:color w:val="000000"/>
                <w:spacing w:val="-6"/>
                <w:sz w:val="21"/>
                <w:szCs w:val="21"/>
                <w:u w:val="none"/>
                <w:lang w:eastAsia="zh-CN"/>
              </w:rPr>
              <w:t>其他服务</w:t>
            </w:r>
            <w:r>
              <w:rPr>
                <w:rFonts w:hint="eastAsia" w:ascii="宋体" w:hAnsi="宋体" w:eastAsia="宋体" w:cs="宋体"/>
                <w:color w:val="000000"/>
                <w:spacing w:val="-6"/>
                <w:sz w:val="21"/>
                <w:szCs w:val="21"/>
                <w:u w:val="none"/>
              </w:rPr>
              <w:t>机构：是否设有内设医疗机构或与就近的医疗机构开展与</w:t>
            </w:r>
            <w:r>
              <w:rPr>
                <w:rFonts w:hint="eastAsia" w:ascii="宋体" w:hAnsi="宋体" w:eastAsia="宋体" w:cs="宋体"/>
                <w:color w:val="000000"/>
                <w:spacing w:val="-6"/>
                <w:sz w:val="21"/>
                <w:szCs w:val="21"/>
                <w:u w:val="none"/>
                <w:lang w:eastAsia="zh-CN"/>
              </w:rPr>
              <w:t>长期护理保</w:t>
            </w:r>
            <w:r>
              <w:rPr>
                <w:rFonts w:hint="eastAsia" w:ascii="宋体" w:hAnsi="宋体" w:eastAsia="宋体" w:cs="宋体"/>
                <w:color w:val="000000"/>
                <w:spacing w:val="-6"/>
                <w:sz w:val="21"/>
                <w:szCs w:val="21"/>
                <w:u w:val="none"/>
              </w:rPr>
              <w:t>险护理服务相适应的协议合作。“否”即为不合格。</w:t>
            </w:r>
          </w:p>
          <w:p w14:paraId="30F96EC0">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医疗机构：是否</w:t>
            </w:r>
            <w:r>
              <w:rPr>
                <w:rFonts w:hint="eastAsia" w:ascii="宋体" w:hAnsi="宋体" w:eastAsia="宋体" w:cs="宋体"/>
                <w:color w:val="000000"/>
                <w:spacing w:val="-6"/>
                <w:sz w:val="21"/>
                <w:szCs w:val="21"/>
                <w:u w:val="none"/>
                <w:lang w:eastAsia="zh-CN"/>
              </w:rPr>
              <w:t>具备相应的医护专业人员</w:t>
            </w:r>
            <w:r>
              <w:rPr>
                <w:rFonts w:hint="eastAsia" w:ascii="宋体" w:hAnsi="宋体" w:eastAsia="宋体" w:cs="宋体"/>
                <w:color w:val="000000"/>
                <w:spacing w:val="-6"/>
                <w:sz w:val="21"/>
                <w:szCs w:val="21"/>
                <w:u w:val="none"/>
              </w:rPr>
              <w:t>，医师和护士各不少于2人。“否”即为不合格。</w:t>
            </w:r>
          </w:p>
        </w:tc>
        <w:tc>
          <w:tcPr>
            <w:tcW w:w="1083" w:type="dxa"/>
            <w:tcBorders>
              <w:left w:val="single" w:color="auto" w:sz="4" w:space="0"/>
              <w:right w:val="single" w:color="auto" w:sz="4" w:space="0"/>
            </w:tcBorders>
            <w:noWrap w:val="0"/>
            <w:vAlign w:val="center"/>
          </w:tcPr>
          <w:p w14:paraId="1FADB5F7">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6C6C6CC6">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535F5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DDB1">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rPr>
              <w:t>8</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8AE74">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rPr>
              <w:t>收费标准</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90142">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lang w:val="en-US" w:eastAsia="zh-CN"/>
              </w:rPr>
              <w:t>与长期护理保险服务相关的收费项目和收费价格是否符合政策规定。“否”即为不合格。</w:t>
            </w:r>
          </w:p>
        </w:tc>
        <w:tc>
          <w:tcPr>
            <w:tcW w:w="1083" w:type="dxa"/>
            <w:tcBorders>
              <w:left w:val="single" w:color="auto" w:sz="4" w:space="0"/>
              <w:right w:val="single" w:color="auto" w:sz="4" w:space="0"/>
            </w:tcBorders>
            <w:noWrap w:val="0"/>
            <w:vAlign w:val="center"/>
          </w:tcPr>
          <w:p w14:paraId="25F185C3">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6F1D1701">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53CD1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3F2D4F99">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9</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12F9A">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护理区域设置</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F9ED9">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sz w:val="21"/>
                <w:szCs w:val="21"/>
                <w:u w:val="none"/>
              </w:rPr>
            </w:pPr>
            <w:r>
              <w:rPr>
                <w:rFonts w:hint="eastAsia" w:ascii="宋体" w:hAnsi="宋体" w:eastAsia="宋体" w:cs="宋体"/>
                <w:color w:val="000000"/>
                <w:spacing w:val="-6"/>
                <w:sz w:val="21"/>
                <w:szCs w:val="21"/>
                <w:u w:val="none"/>
              </w:rPr>
              <w:t>养老机构、残疾人托养机构：是否在相对独立区域设置长期护理服务专区，并有明显标志，提供长期护理床位数不少于10张</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“否”即为不合格。</w:t>
            </w:r>
          </w:p>
          <w:p w14:paraId="074A66E0">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rPr>
              <w:t>医疗机构：是否单独设立长期护理</w:t>
            </w:r>
            <w:r>
              <w:rPr>
                <w:rFonts w:hint="eastAsia" w:ascii="宋体" w:hAnsi="宋体" w:eastAsia="宋体" w:cs="宋体"/>
                <w:color w:val="000000"/>
                <w:spacing w:val="-6"/>
                <w:sz w:val="21"/>
                <w:szCs w:val="21"/>
                <w:u w:val="none"/>
                <w:lang w:val="en-US" w:eastAsia="zh-CN"/>
              </w:rPr>
              <w:t>服务</w:t>
            </w:r>
            <w:r>
              <w:rPr>
                <w:rFonts w:hint="eastAsia" w:ascii="宋体" w:hAnsi="宋体" w:eastAsia="宋体" w:cs="宋体"/>
                <w:color w:val="000000"/>
                <w:spacing w:val="-6"/>
                <w:sz w:val="21"/>
                <w:szCs w:val="21"/>
                <w:u w:val="none"/>
                <w:lang w:eastAsia="zh-CN"/>
              </w:rPr>
              <w:t>专</w:t>
            </w:r>
            <w:r>
              <w:rPr>
                <w:rFonts w:hint="eastAsia" w:ascii="宋体" w:hAnsi="宋体" w:eastAsia="宋体" w:cs="宋体"/>
                <w:color w:val="000000"/>
                <w:spacing w:val="-6"/>
                <w:sz w:val="21"/>
                <w:szCs w:val="21"/>
                <w:u w:val="none"/>
              </w:rPr>
              <w:t>区或病房，并有明显标志，提供长期护理床位数不少于10张</w:t>
            </w:r>
            <w:r>
              <w:rPr>
                <w:rFonts w:hint="eastAsia" w:ascii="宋体" w:hAnsi="宋体" w:eastAsia="宋体" w:cs="宋体"/>
                <w:color w:val="000000"/>
                <w:spacing w:val="-6"/>
                <w:sz w:val="21"/>
                <w:szCs w:val="21"/>
                <w:u w:val="none"/>
                <w:lang w:eastAsia="zh-CN"/>
              </w:rPr>
              <w:t>。</w:t>
            </w:r>
            <w:r>
              <w:rPr>
                <w:rFonts w:hint="eastAsia" w:ascii="宋体" w:hAnsi="宋体" w:eastAsia="宋体" w:cs="宋体"/>
                <w:color w:val="000000"/>
                <w:spacing w:val="-6"/>
                <w:sz w:val="21"/>
                <w:szCs w:val="21"/>
                <w:u w:val="none"/>
              </w:rPr>
              <w:t>“否”即为不合格。</w:t>
            </w:r>
          </w:p>
        </w:tc>
        <w:tc>
          <w:tcPr>
            <w:tcW w:w="1083" w:type="dxa"/>
            <w:tcBorders>
              <w:left w:val="single" w:color="auto" w:sz="4" w:space="0"/>
              <w:right w:val="single" w:color="auto" w:sz="4" w:space="0"/>
            </w:tcBorders>
            <w:noWrap w:val="0"/>
            <w:vAlign w:val="center"/>
          </w:tcPr>
          <w:p w14:paraId="41E8E5B6">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5DDC5B05">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51CE4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49C6900E">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10</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54F00">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人员配备</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C5A84">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sz w:val="21"/>
                <w:szCs w:val="21"/>
                <w:u w:val="none"/>
                <w:lang w:eastAsia="zh-CN"/>
              </w:rPr>
            </w:pPr>
            <w:r>
              <w:rPr>
                <w:rFonts w:hint="eastAsia" w:ascii="宋体" w:hAnsi="宋体" w:eastAsia="宋体" w:cs="宋体"/>
                <w:color w:val="000000"/>
                <w:spacing w:val="-6"/>
                <w:sz w:val="21"/>
                <w:szCs w:val="21"/>
                <w:u w:val="none"/>
                <w:lang w:eastAsia="zh-CN"/>
              </w:rPr>
              <w:t>养老机构、残疾人托养机构：配备与长期护理保险护理服务相适应的长期护理服务人员，长期护理服务专区内的长期护理服务人员与护理床位配比是否低于1:3。“否”即为不合格。</w:t>
            </w:r>
          </w:p>
          <w:p w14:paraId="7894BA68">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lang w:eastAsia="zh-CN"/>
              </w:rPr>
              <w:t>医疗机构：配备与长期护理服务专区或病房相适应的医护人员以及长期护理服务人员，长期护理服务专区或病房内的长期护理服务人员与护理床位配比是否低于1:3.5。“否”即为不合格。</w:t>
            </w:r>
          </w:p>
        </w:tc>
        <w:tc>
          <w:tcPr>
            <w:tcW w:w="1083" w:type="dxa"/>
            <w:tcBorders>
              <w:left w:val="single" w:color="auto" w:sz="4" w:space="0"/>
              <w:right w:val="single" w:color="auto" w:sz="4" w:space="0"/>
            </w:tcBorders>
            <w:noWrap w:val="0"/>
            <w:vAlign w:val="center"/>
          </w:tcPr>
          <w:p w14:paraId="1F8563CB">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c>
          <w:tcPr>
            <w:tcW w:w="1411" w:type="dxa"/>
            <w:tcBorders>
              <w:left w:val="single" w:color="auto" w:sz="4" w:space="0"/>
              <w:right w:val="single" w:color="auto" w:sz="4" w:space="0"/>
            </w:tcBorders>
            <w:noWrap w:val="0"/>
            <w:vAlign w:val="center"/>
          </w:tcPr>
          <w:p w14:paraId="42789CE2">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rPr>
            </w:pPr>
          </w:p>
        </w:tc>
      </w:tr>
      <w:tr w14:paraId="50A94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14:paraId="5E379DBE">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AC6BDC">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sz w:val="21"/>
                <w:szCs w:val="21"/>
                <w:u w:val="none"/>
              </w:rPr>
              <w:t>不予受理的情形</w:t>
            </w:r>
          </w:p>
        </w:tc>
        <w:tc>
          <w:tcPr>
            <w:tcW w:w="9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EBEB52">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spacing w:val="-6"/>
                <w:kern w:val="2"/>
                <w:sz w:val="21"/>
                <w:szCs w:val="21"/>
                <w:u w:val="none"/>
                <w:lang w:val="en-US" w:eastAsia="zh-CN" w:bidi="ar-SA"/>
              </w:rPr>
            </w:pPr>
            <w:r>
              <w:rPr>
                <w:rFonts w:hint="eastAsia" w:ascii="宋体" w:hAnsi="宋体" w:eastAsia="宋体" w:cs="宋体"/>
                <w:color w:val="000000"/>
                <w:spacing w:val="-6"/>
                <w:sz w:val="21"/>
                <w:szCs w:val="21"/>
                <w:u w:val="none"/>
                <w:lang w:eastAsia="zh-CN"/>
              </w:rPr>
              <w:t>是否存在《浙江省长期护理保险护理服务机构定点管理实施细则（试行）》第十一条所规定的不予受理的情形</w:t>
            </w:r>
            <w:r>
              <w:rPr>
                <w:rFonts w:hint="eastAsia" w:ascii="宋体" w:hAnsi="宋体" w:eastAsia="宋体" w:cs="宋体"/>
                <w:color w:val="000000"/>
                <w:spacing w:val="-6"/>
                <w:sz w:val="21"/>
                <w:szCs w:val="21"/>
                <w:u w:val="none"/>
              </w:rPr>
              <w:t>。如有一项不予受理的情形即为不合格。</w:t>
            </w:r>
          </w:p>
        </w:tc>
        <w:tc>
          <w:tcPr>
            <w:tcW w:w="1083" w:type="dxa"/>
            <w:tcBorders>
              <w:left w:val="single" w:color="auto" w:sz="4" w:space="0"/>
              <w:bottom w:val="single" w:color="auto" w:sz="4" w:space="0"/>
              <w:right w:val="single" w:color="auto" w:sz="4" w:space="0"/>
            </w:tcBorders>
            <w:noWrap w:val="0"/>
            <w:vAlign w:val="center"/>
          </w:tcPr>
          <w:p w14:paraId="705FF4C3">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c>
          <w:tcPr>
            <w:tcW w:w="1411" w:type="dxa"/>
            <w:tcBorders>
              <w:left w:val="single" w:color="auto" w:sz="4" w:space="0"/>
              <w:bottom w:val="single" w:color="auto" w:sz="4" w:space="0"/>
              <w:right w:val="single" w:color="auto" w:sz="4" w:space="0"/>
            </w:tcBorders>
            <w:noWrap w:val="0"/>
            <w:vAlign w:val="center"/>
          </w:tcPr>
          <w:p w14:paraId="3511FA0C">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u w:val="none"/>
                <w:lang w:val="en-US" w:eastAsia="zh-CN" w:bidi="ar-SA"/>
              </w:rPr>
            </w:pPr>
          </w:p>
        </w:tc>
      </w:tr>
      <w:tr w14:paraId="12ED3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1741" w:type="dxa"/>
            <w:gridSpan w:val="3"/>
            <w:tcBorders>
              <w:top w:val="single" w:color="auto" w:sz="4" w:space="0"/>
              <w:left w:val="single" w:color="auto" w:sz="4" w:space="0"/>
              <w:bottom w:val="single" w:color="auto" w:sz="4" w:space="0"/>
              <w:right w:val="single" w:color="auto" w:sz="4" w:space="0"/>
            </w:tcBorders>
            <w:noWrap w:val="0"/>
            <w:vAlign w:val="center"/>
          </w:tcPr>
          <w:p w14:paraId="735A5195">
            <w:pPr>
              <w:overflowPunct w:val="0"/>
              <w:spacing w:line="400" w:lineRule="exact"/>
              <w:ind w:firstLine="594" w:firstLineChars="300"/>
              <w:jc w:val="center"/>
              <w:rPr>
                <w:rFonts w:hint="eastAsia" w:ascii="宋体" w:hAnsi="宋体" w:eastAsia="宋体" w:cs="宋体"/>
                <w:color w:val="000000"/>
                <w:spacing w:val="-6"/>
                <w:sz w:val="21"/>
                <w:szCs w:val="21"/>
                <w:u w:val="none"/>
              </w:rPr>
            </w:pPr>
            <w:r>
              <w:rPr>
                <w:rFonts w:hint="eastAsia" w:ascii="宋体" w:hAnsi="宋体" w:eastAsia="宋体" w:cs="宋体"/>
                <w:color w:val="000000"/>
                <w:spacing w:val="-6"/>
                <w:sz w:val="21"/>
                <w:szCs w:val="21"/>
                <w:u w:val="none"/>
              </w:rPr>
              <w:t>评审情况</w:t>
            </w:r>
          </w:p>
        </w:tc>
        <w:tc>
          <w:tcPr>
            <w:tcW w:w="1083" w:type="dxa"/>
            <w:tcBorders>
              <w:left w:val="single" w:color="auto" w:sz="4" w:space="0"/>
              <w:bottom w:val="single" w:color="auto" w:sz="4" w:space="0"/>
              <w:right w:val="single" w:color="auto" w:sz="4" w:space="0"/>
            </w:tcBorders>
            <w:noWrap w:val="0"/>
            <w:vAlign w:val="center"/>
          </w:tcPr>
          <w:p w14:paraId="1E93611E">
            <w:pPr>
              <w:overflowPunct w:val="0"/>
              <w:spacing w:line="400" w:lineRule="exact"/>
              <w:jc w:val="center"/>
              <w:rPr>
                <w:rFonts w:hint="eastAsia" w:ascii="宋体" w:hAnsi="宋体" w:eastAsia="宋体" w:cs="宋体"/>
                <w:color w:val="000000"/>
                <w:sz w:val="21"/>
                <w:szCs w:val="21"/>
                <w:u w:val="none"/>
              </w:rPr>
            </w:pPr>
          </w:p>
        </w:tc>
        <w:tc>
          <w:tcPr>
            <w:tcW w:w="1411" w:type="dxa"/>
            <w:tcBorders>
              <w:left w:val="single" w:color="auto" w:sz="4" w:space="0"/>
              <w:bottom w:val="single" w:color="auto" w:sz="4" w:space="0"/>
              <w:right w:val="single" w:color="auto" w:sz="4" w:space="0"/>
            </w:tcBorders>
            <w:noWrap w:val="0"/>
            <w:vAlign w:val="center"/>
          </w:tcPr>
          <w:p w14:paraId="745C6FBE">
            <w:pPr>
              <w:overflowPunct w:val="0"/>
              <w:spacing w:line="400" w:lineRule="exact"/>
              <w:jc w:val="center"/>
              <w:rPr>
                <w:rFonts w:hint="eastAsia" w:ascii="宋体" w:hAnsi="宋体" w:eastAsia="宋体" w:cs="宋体"/>
                <w:color w:val="000000"/>
                <w:sz w:val="21"/>
                <w:szCs w:val="21"/>
                <w:u w:val="none"/>
              </w:rPr>
            </w:pPr>
          </w:p>
        </w:tc>
      </w:tr>
      <w:tr w14:paraId="01696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14235" w:type="dxa"/>
            <w:gridSpan w:val="5"/>
            <w:tcBorders>
              <w:top w:val="single" w:color="auto" w:sz="4" w:space="0"/>
              <w:left w:val="single" w:color="auto" w:sz="4" w:space="0"/>
              <w:bottom w:val="single" w:color="auto" w:sz="4" w:space="0"/>
              <w:right w:val="single" w:color="auto" w:sz="4" w:space="0"/>
            </w:tcBorders>
            <w:noWrap w:val="0"/>
            <w:vAlign w:val="center"/>
          </w:tcPr>
          <w:p w14:paraId="68A569A2">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以上指标，有一项不合格，评估结果即为不合格</w:t>
            </w:r>
          </w:p>
        </w:tc>
      </w:tr>
    </w:tbl>
    <w:p w14:paraId="48458F03">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spacing w:val="-6"/>
          <w:sz w:val="21"/>
          <w:szCs w:val="21"/>
        </w:rPr>
      </w:pPr>
    </w:p>
    <w:p w14:paraId="7203D0B4"/>
    <w:p w14:paraId="37A4CCF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143F"/>
    <w:rsid w:val="0A5C153B"/>
    <w:rsid w:val="1B8A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1122</Words>
  <Characters>1135</Characters>
  <Lines>0</Lines>
  <Paragraphs>0</Paragraphs>
  <TotalTime>0</TotalTime>
  <ScaleCrop>false</ScaleCrop>
  <LinksUpToDate>false</LinksUpToDate>
  <CharactersWithSpaces>1196</CharactersWithSpaces>
  <Application>WPS Office_12.1.0.18912_F1E327BC-269C-435d-A152-05C5408002CA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2024-12-02T08:56:00Z</dcterms:created>
  <dc:creator>前尘旧事</dc:creator>
  <lastModifiedBy>Administrator</lastModifiedBy>
  <dcterms:modified xsi:type="dcterms:W3CDTF">2024-12-03T01:19:24Z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9F000FD11CB14924A0F81221A0E45718_11</vt:lpwstr>
  </property>
</Properties>
</file>