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第</w:t>
      </w:r>
      <w:r>
        <w:rPr>
          <w:rFonts w:hint="eastAsia" w:ascii="仿宋_GB2312" w:eastAsia="仿宋_GB2312"/>
          <w:sz w:val="28"/>
          <w:szCs w:val="28"/>
          <w:lang w:eastAsia="zh-CN"/>
        </w:rPr>
        <w:t>五</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57</w:t>
      </w:r>
      <w:r>
        <w:rPr>
          <w:rFonts w:hint="eastAsia" w:ascii="仿宋_GB2312" w:eastAsia="仿宋_GB2312"/>
          <w:sz w:val="28"/>
          <w:szCs w:val="28"/>
        </w:rPr>
        <w:t>期）</w:t>
      </w:r>
    </w:p>
    <w:p>
      <w:pPr>
        <w:widowControl/>
        <w:shd w:val="clear" w:color="auto" w:fill="FFFFFF"/>
        <w:spacing w:line="520" w:lineRule="exact"/>
        <w:ind w:firstLine="1320" w:firstLineChars="300"/>
        <w:rPr>
          <w:rFonts w:ascii="微软雅黑" w:hAnsi="微软雅黑" w:eastAsia="微软雅黑" w:cs="宋体"/>
          <w:b/>
          <w:color w:val="2B2B2B"/>
          <w:kern w:val="0"/>
          <w:sz w:val="44"/>
          <w:szCs w:val="44"/>
        </w:rPr>
      </w:pPr>
    </w:p>
    <w:p>
      <w:pPr>
        <w:pStyle w:val="7"/>
        <w:shd w:val="clear" w:color="auto" w:fill="FFFFFF"/>
        <w:spacing w:before="0" w:beforeAutospacing="0" w:after="0" w:afterAutospacing="0" w:line="384" w:lineRule="atLeast"/>
        <w:jc w:val="center"/>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新时代新征程中国共产党的使命任务</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习近平</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从现在起，中国共产党的中心任务就是团结带领全国各族人民全面建成社会主义现代化强国、实现第二个百年奋斗目标，以中国式现代化全面推进中华民族伟大复兴。</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在新中国成立特别是改革开放以来长期探索和实践基础上，经过十八大以来在理论和实践上的创新突破，我们党成功推进和拓展了中国式现代化。</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中国式现代化，是中国共产党领导的社会主义现代化，既有各国现代化的共同特征，更有基于自己国情的中国特色。</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全面建成社会主义现代化强国，总的战略安排是分两步走：从二〇二〇年到二〇三五年基本实现社会主义现代化；从二〇三五年到本世纪中叶把我国建成富强民主文明和谐美丽的社会主义现代化强国。</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在基本实现现代化的基础上，我们要继续奋斗，到本世纪中叶，把我国建设成为综合国力和国际影响力领先的社会主义现代化强国。</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——坚持以人民为中心的发展思想。维护人民根本利益，增进民生福祉，不断实现发展为了人民、发展依靠人民、发展成果由人民共享，让现代化建设成果更多更公平惠及全体人民。</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坚持发扬斗争精神。增强全党全国各族人民的志气、骨气、底气，不信邪、不怕鬼、不怕压，知难而进、迎难而上，统筹发展和安全，全力战胜前进道路上各种困难和挑战，依靠顽强斗争打开事业发展新天地。</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widowControl/>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※这是习近平总书记2022年10月16日在中国共产党第二十次全国代表大会上的报告《高举中国特色社会主义伟大旗帜，为全面建设社会主义现代化国家而团结奋斗》的一部分。</w:t>
      </w:r>
    </w:p>
    <w:p>
      <w:pPr>
        <w:widowControl/>
        <w:shd w:val="clear" w:color="auto" w:fill="FFFFFF"/>
        <w:spacing w:line="384" w:lineRule="atLeast"/>
        <w:ind w:firstLine="600" w:firstLineChars="200"/>
        <w:jc w:val="right"/>
        <w:rPr>
          <w:rFonts w:hint="eastAsia" w:ascii="微软雅黑" w:hAnsi="微软雅黑" w:eastAsia="微软雅黑" w:cs="宋体"/>
          <w:b w:val="0"/>
          <w:bCs/>
          <w:kern w:val="0"/>
          <w:sz w:val="30"/>
          <w:szCs w:val="30"/>
          <w:lang w:eastAsia="zh-CN"/>
        </w:rPr>
      </w:pPr>
      <w:r>
        <w:rPr>
          <w:rFonts w:hint="eastAsia" w:ascii="微软雅黑" w:hAnsi="微软雅黑" w:eastAsia="微软雅黑" w:cs="宋体"/>
          <w:b w:val="0"/>
          <w:bCs/>
          <w:kern w:val="0"/>
          <w:sz w:val="30"/>
          <w:szCs w:val="30"/>
          <w:lang w:eastAsia="zh-CN"/>
        </w:rPr>
        <w:t>来源：求是网</w:t>
      </w:r>
    </w:p>
    <w:p>
      <w:pPr>
        <w:widowControl/>
        <w:shd w:val="clear" w:color="auto" w:fill="FFFFFF"/>
        <w:spacing w:line="384" w:lineRule="atLeast"/>
        <w:jc w:val="left"/>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中国共产党第二十届中央委员会第三次全体会议公报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中国共产党第二十届中央委员会第三次全体会议，于2024年7月15日至18日在北京举行。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出席这次全会的有，中央委员199人，候补中央委员165人。中央纪律检查委员会常务委员会委员和有关方面负责同志列席会议。党的二十大代表中部分基层同志和专家学者也列席了会议。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全会由中央政治局主持。中央委员会总书记习近平作了重要讲话。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全会听取和讨论了习近平受中央政治局委托所作的工作报告，审议通过了《中共中央关于进一步全面深化改革、推进中国式现代化的决定》。习近平就《决定（讨论稿）》向全会作了说明。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全会按照党章规定，决定递补中央委员会候补委员丁向群、于立军、于吉红为中央委员会委员。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全会决定，接受秦刚同志辞职申请，免去秦刚同志中央委员会委员职务。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全会审议并通过了中共中央军事委员会关于李尚福、李玉超、孙金明严重违纪违法问题的审查报告，确认中央政治局之前作出的给予李尚福、李玉超、孙金明开除党籍的处分。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righ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来源：新华网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b/>
          <w:bCs/>
          <w:color w:val="2B2B2B"/>
          <w:spacing w:val="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三伏牢记“四吃” “四做”，可健脾祛湿，人也更舒服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入伏后的天气特点是气温高、气压低、湿度大、风速小，气候极为闷热潮湿，堪称是一年中最热、最难熬的时节。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这是因为夏季白天漫长，阳光照射时间也长，地表吸收的热量远大于支出，这就使地面聚集的热量一天天增大，温度也持续增高，因而得名“暑伏”“三伏”。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伏天饮食需注重祛湿清暑，体内湿气重的人，多与饮食多肥甘、缺乏运动有关。湿气越重，身体越觉沉重，越不愿活动。长此以往，形成恶性循环。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“四吃”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01“健脾化湿”白扁豆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白扁豆能化湿降浊、调和脾胃，有补脾而不滋腻、化湿而不燥烈之特点。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食疗方：白扁豆粥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eastAsia="zh-CN"/>
        </w:rPr>
        <w:t>材料：白扁豆</w:t>
      </w:r>
      <w:r>
        <w:rPr>
          <w:rFonts w:hint="eastAsia" w:ascii="微软雅黑" w:hAnsi="微软雅黑" w:eastAsia="微软雅黑" w:cs="宋体"/>
          <w:kern w:val="0"/>
          <w:sz w:val="30"/>
          <w:szCs w:val="30"/>
          <w:lang w:val="en-US" w:eastAsia="zh-CN"/>
        </w:rPr>
        <w:t>30克、粳米60克。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做法：白扁豆、粳米洗净，一同下锅熬煮至豆烂粥熟，每日可食用两次。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功效：补益脾胃、和中止泻。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left"/>
        <w:textAlignment w:val="auto"/>
        <w:rPr>
          <w:rFonts w:hint="eastAsia" w:ascii="微软雅黑" w:hAnsi="微软雅黑" w:eastAsia="微软雅黑" w:cs="宋体"/>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default"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提醒：白扁豆要适量食用，白扁豆中含有凝集素，有一定的毒性，所以要煮熟、煮透后才可食用。因白扁豆嘌呤含量较高，所以痛风、高尿酸患者要少吃，疟疾人群也不宜食用。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02“利水消肿”冬瓜皮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冬瓜皮可利水消肿、消热解暑，用于夏季暑热导致的口渴、小便短赤、水肿。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食疗方：冬瓜粥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eastAsia="zh-CN"/>
        </w:rPr>
        <w:t>材料：冬瓜</w:t>
      </w:r>
      <w:r>
        <w:rPr>
          <w:rFonts w:hint="eastAsia" w:ascii="微软雅黑" w:hAnsi="微软雅黑" w:eastAsia="微软雅黑" w:cs="宋体"/>
          <w:b w:val="0"/>
          <w:bCs w:val="0"/>
          <w:kern w:val="0"/>
          <w:sz w:val="30"/>
          <w:szCs w:val="30"/>
          <w:lang w:val="en-US" w:eastAsia="zh-CN"/>
        </w:rPr>
        <w:t>100克、粳米100克。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做法：冬瓜洗净后，带皮切成小块，与粳米同放入锅内，用小火加水熬煮，至瓜烂米熟成粥。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功效：冬瓜钾盐含量高，钠盐含量较低，高血压病、肾脏病、浮肿等患者辩证食之，可达到消肿而不伤正气的作用。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rPr>
      </w:pPr>
      <w:r>
        <w:rPr>
          <w:rFonts w:hint="eastAsia" w:ascii="微软雅黑" w:hAnsi="微软雅黑" w:eastAsia="微软雅黑" w:cs="宋体"/>
          <w:b w:val="0"/>
          <w:bCs w:val="0"/>
          <w:kern w:val="0"/>
          <w:sz w:val="30"/>
          <w:szCs w:val="30"/>
          <w:lang w:val="en-US" w:eastAsia="zh-CN"/>
        </w:rPr>
        <w:t>提醒：冬瓜皮性凉，脾胃有寒的人不适宜多吃。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03“健脾益胃”薏苡仁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薏苡仁味甘、微寒，能利水、健脾、除痹、清热、排脓。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食疗方：红豆薏仁茶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eastAsia="zh-CN"/>
        </w:rPr>
        <w:t>材料：红豆</w:t>
      </w:r>
      <w:r>
        <w:rPr>
          <w:rFonts w:hint="eastAsia" w:ascii="微软雅黑" w:hAnsi="微软雅黑" w:eastAsia="微软雅黑" w:cs="宋体"/>
          <w:b w:val="0"/>
          <w:bCs w:val="0"/>
          <w:kern w:val="0"/>
          <w:sz w:val="30"/>
          <w:szCs w:val="30"/>
          <w:lang w:val="en-US" w:eastAsia="zh-CN"/>
        </w:rPr>
        <w:t>100克、薏苡仁100克。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做法：将二者挑拣、淘洗干净后，放入电饭煲，加适量水浸泡一夜，之后煮至豆软烂。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功效：二者合用可以健脾养胃、利水消肿、除痹。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b w:val="0"/>
          <w:bCs w:val="0"/>
          <w:kern w:val="0"/>
          <w:sz w:val="30"/>
          <w:szCs w:val="30"/>
          <w:lang w:val="en-US" w:eastAsia="zh-CN"/>
        </w:rPr>
        <w:t>提醒：此茶虽能健脾利湿，但仍要辩证食用。这两种食物碳水化合物含量均较高，对糖尿病患者来说，在食用时，要将其列入到一天摄入的总热量中去。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04“利水消肿”玉米须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玉米须可以利水消肿、利湿退黄，也可疏利小便，祛除停滞的水液和湿气。</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食疗方：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eastAsia="zh-CN"/>
        </w:rPr>
        <w:t>用</w:t>
      </w:r>
      <w:r>
        <w:rPr>
          <w:rFonts w:hint="eastAsia" w:ascii="微软雅黑" w:hAnsi="微软雅黑" w:eastAsia="微软雅黑" w:cs="宋体"/>
          <w:b w:val="0"/>
          <w:bCs w:val="0"/>
          <w:kern w:val="0"/>
          <w:sz w:val="30"/>
          <w:szCs w:val="30"/>
          <w:lang w:val="en-US" w:eastAsia="zh-CN"/>
        </w:rPr>
        <w:t>玉米须30克（鲜品用60克），水煎代茶饮。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提醒：对糖尿病患者，可以在辩证基础上，将玉米须同玉米一起煎汤煮、代茶饮用。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宋体"/>
          <w:b w:val="0"/>
          <w:bCs w:val="0"/>
          <w:kern w:val="0"/>
          <w:sz w:val="30"/>
          <w:szCs w:val="30"/>
          <w:lang w:val="en-US" w:eastAsia="zh-CN"/>
        </w:rPr>
      </w:pPr>
      <w:r>
        <w:rPr>
          <w:rFonts w:hint="eastAsia" w:ascii="微软雅黑" w:hAnsi="微软雅黑" w:eastAsia="微软雅黑" w:cs="宋体"/>
          <w:b/>
          <w:bCs/>
          <w:color w:val="2B2B2B"/>
          <w:spacing w:val="0"/>
          <w:kern w:val="0"/>
          <w:sz w:val="44"/>
          <w:szCs w:val="44"/>
        </w:rPr>
        <w:t>“四做”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01保证充足睡眠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此时白昼时间较长，可适当晚睡早起，但不宜熬夜或过劳。建议晚上10：00～11：00间入睡，早上5：30～6：30起床。中午可以小憩，但时间尽量控制在30分钟左右，以免影响晚上睡眠。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02补水消暑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苦夏时多汗，且往往食欲欠佳，宜采取多种形式及时补充水分。但要注意夏季消暑不可贪凉，否则稍不注意，寒邪就会乘虚而入，从而损伤脾胃阳气。</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03调节情绪</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笑能养生，一年四季都适用。俗话说“笑一笑，十年少”，不无道理。笑能够使大脑神经放松、激发免疫功能，从而协调各脏器的功能。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04适当运动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default"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宜选择低强度的运动项目，如散步、八段锦、太极拳等，宜在清晨或傍晚在清凉的公园、河边、林荫道旁进行，要注意避免运动后大汗淋漓，运动过后及时补充水分，不要进食冷饮。对于体内湿浊之气较重的人，适当运动、出汗有利于体内湿气的排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righ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来源：中国中医</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F4FB7B5"/>
    <w:rsid w:val="39BF8916"/>
    <w:rsid w:val="3DC6C35E"/>
    <w:rsid w:val="3DE50914"/>
    <w:rsid w:val="3FFF6217"/>
    <w:rsid w:val="5DF2721C"/>
    <w:rsid w:val="5F0FA59D"/>
    <w:rsid w:val="63EF6028"/>
    <w:rsid w:val="6F60649F"/>
    <w:rsid w:val="6FF7D2DE"/>
    <w:rsid w:val="73FF6CCD"/>
    <w:rsid w:val="76DBB9DF"/>
    <w:rsid w:val="77572F44"/>
    <w:rsid w:val="7A9F7D70"/>
    <w:rsid w:val="7D7BEA6C"/>
    <w:rsid w:val="7F1A5229"/>
    <w:rsid w:val="7F67EC56"/>
    <w:rsid w:val="7FDF8772"/>
    <w:rsid w:val="7FFFD6BB"/>
    <w:rsid w:val="9DFE45DF"/>
    <w:rsid w:val="A6BB0CFE"/>
    <w:rsid w:val="BFFF365A"/>
    <w:rsid w:val="C4E3FC7F"/>
    <w:rsid w:val="C57FF483"/>
    <w:rsid w:val="CBFDB47E"/>
    <w:rsid w:val="D76B5B9D"/>
    <w:rsid w:val="DE557101"/>
    <w:rsid w:val="DFDF46BB"/>
    <w:rsid w:val="E1DFBF7A"/>
    <w:rsid w:val="E3F79CC6"/>
    <w:rsid w:val="E7B1FBDB"/>
    <w:rsid w:val="E9DD41A0"/>
    <w:rsid w:val="FAACB9B5"/>
    <w:rsid w:val="FBF7188D"/>
    <w:rsid w:val="FDDDFC91"/>
    <w:rsid w:val="FEBCBC6E"/>
    <w:rsid w:val="FED3DC0B"/>
    <w:rsid w:val="FF6AC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3</TotalTime>
  <ScaleCrop>false</ScaleCrop>
  <LinksUpToDate>false</LinksUpToDate>
  <CharactersWithSpaces>14643</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2020-07-09T09:39:00Z</dcterms:created>
  <dc:creator>admin</dc:creator>
  <lastModifiedBy>Huzhou</lastModifiedBy>
  <lastPrinted>2020-08-24T14:50:00Z</lastPrinted>
  <dcterms:modified xsi:type="dcterms:W3CDTF">2024-07-19T15:40:09Z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