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1"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第</w:t>
      </w:r>
      <w:r>
        <w:rPr>
          <w:rFonts w:hint="eastAsia" w:ascii="仿宋_GB2312" w:eastAsia="仿宋_GB2312"/>
          <w:sz w:val="28"/>
          <w:szCs w:val="28"/>
          <w:lang w:eastAsia="zh-CN"/>
        </w:rPr>
        <w:t>二</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54</w:t>
      </w:r>
      <w:r>
        <w:rPr>
          <w:rFonts w:hint="eastAsia" w:ascii="仿宋_GB2312" w:eastAsia="仿宋_GB2312"/>
          <w:sz w:val="28"/>
          <w:szCs w:val="28"/>
        </w:rPr>
        <w:t>期）</w:t>
      </w:r>
    </w:p>
    <w:p>
      <w:pPr>
        <w:widowControl/>
        <w:shd w:val="clear" w:color="auto" w:fill="FFFFFF"/>
        <w:spacing w:line="520" w:lineRule="exact"/>
        <w:ind w:firstLine="1320" w:firstLineChars="300"/>
        <w:rPr>
          <w:rFonts w:ascii="微软雅黑" w:hAnsi="微软雅黑" w:eastAsia="微软雅黑" w:cs="宋体"/>
          <w:b/>
          <w:color w:val="2B2B2B"/>
          <w:kern w:val="0"/>
          <w:sz w:val="44"/>
          <w:szCs w:val="44"/>
        </w:rPr>
      </w:pPr>
    </w:p>
    <w:p>
      <w:pPr>
        <w:pStyle w:val="7"/>
        <w:shd w:val="clear" w:color="auto" w:fill="FFFFFF"/>
        <w:spacing w:before="0" w:beforeAutospacing="0" w:after="0" w:afterAutospacing="0" w:line="384" w:lineRule="atLeast"/>
        <w:jc w:val="center"/>
        <w:rPr>
          <w:rFonts w:hint="eastAsia" w:ascii="微软雅黑" w:hAnsi="微软雅黑" w:eastAsia="微软雅黑" w:cs="宋体"/>
          <w:b/>
          <w:bCs/>
          <w:color w:val="2B2B2B"/>
          <w:spacing w:val="0"/>
          <w:kern w:val="0"/>
          <w:sz w:val="44"/>
          <w:szCs w:val="44"/>
        </w:rPr>
      </w:pPr>
      <w:r>
        <w:rPr>
          <w:rFonts w:hint="eastAsia" w:ascii="微软雅黑" w:hAnsi="微软雅黑" w:eastAsia="微软雅黑" w:cs="宋体"/>
          <w:b/>
          <w:bCs/>
          <w:color w:val="2B2B2B"/>
          <w:spacing w:val="0"/>
          <w:kern w:val="0"/>
          <w:sz w:val="44"/>
          <w:szCs w:val="44"/>
        </w:rPr>
        <w:t>时刻保持解决大党独有难题的清醒和坚定，把党的伟大自我革命进行到底</w:t>
      </w:r>
    </w:p>
    <w:p>
      <w:pPr>
        <w:pStyle w:val="7"/>
        <w:shd w:val="clear" w:color="auto" w:fill="FFFFFF"/>
        <w:spacing w:before="0" w:beforeAutospacing="0" w:after="0" w:afterAutospacing="0" w:line="384" w:lineRule="atLeast"/>
        <w:jc w:val="center"/>
        <w:rPr>
          <w:rFonts w:hint="eastAsia"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习近平</w:t>
      </w:r>
    </w:p>
    <w:p>
      <w:pPr>
        <w:pStyle w:val="7"/>
        <w:shd w:val="clear" w:color="auto" w:fill="FFFFFF"/>
        <w:spacing w:before="0" w:beforeAutospacing="0" w:after="0" w:afterAutospacing="0" w:line="384" w:lineRule="atLeast"/>
        <w:jc w:val="center"/>
        <w:rPr>
          <w:rFonts w:hint="eastAsia" w:ascii="微软雅黑" w:hAnsi="微软雅黑" w:eastAsia="微软雅黑" w:cs="宋体"/>
          <w:kern w:val="0"/>
          <w:sz w:val="30"/>
          <w:szCs w:val="30"/>
          <w:lang w:val="en-US" w:eastAsia="zh-CN" w:bidi="ar-SA"/>
        </w:rPr>
      </w:pPr>
    </w:p>
    <w:p>
      <w:pPr>
        <w:pStyle w:val="7"/>
        <w:shd w:val="clear" w:color="auto" w:fill="FFFFFF"/>
        <w:spacing w:before="0" w:beforeAutospacing="0" w:after="0" w:afterAutospacing="0" w:line="384" w:lineRule="atLeast"/>
        <w:ind w:firstLine="600" w:firstLineChars="200"/>
        <w:jc w:val="left"/>
        <w:rPr>
          <w:rFonts w:hint="eastAsia" w:ascii="微软雅黑" w:hAnsi="微软雅黑" w:eastAsia="微软雅黑" w:cs="宋体"/>
          <w:b w:val="0"/>
          <w:bCs/>
          <w:kern w:val="0"/>
          <w:sz w:val="30"/>
          <w:szCs w:val="30"/>
        </w:rPr>
      </w:pPr>
      <w:r>
        <w:rPr>
          <w:rFonts w:hint="eastAsia" w:ascii="微软雅黑" w:hAnsi="微软雅黑" w:eastAsia="微软雅黑" w:cs="宋体"/>
          <w:b w:val="0"/>
          <w:bCs/>
          <w:kern w:val="0"/>
          <w:sz w:val="30"/>
          <w:szCs w:val="30"/>
        </w:rPr>
        <w:t>治国必先治党，党兴才能国强。党的二十大发出了为全面建设社会主义现代化国家、全面推进中华民族伟大复兴而团结奋斗的伟大号召，党领导的社会革命迈上新征程，党的自我革命必须展现新气象，全面从严治党更要有新的认识、新的作为。</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r>
        <w:rPr>
          <w:rFonts w:hint="eastAsia" w:ascii="微软雅黑" w:hAnsi="微软雅黑" w:eastAsia="微软雅黑"/>
          <w:sz w:val="30"/>
          <w:szCs w:val="30"/>
        </w:rPr>
        <w:t>过去10年，面对党内一系列突出矛盾和问题，党中央把全面从严治党纳入“四个全面”战略布局，刀刃向内、刮骨疗毒，猛药去疴、重典治乱，使党在革命性锻造中变得更加坚强有力。党的二十大深刻总结全面从严治党十年磨一剑的历史性成就，进一步要求全党时刻保持解决大党独有难题的清醒和坚定。这是我们党从所处的历史方位、肩负的使命任务、面临的复杂环境出发，深刻把握党的根本性质和党情发展变化，对新时代新征程全面从严治党提出的新的重大命题。</w:t>
      </w:r>
    </w:p>
    <w:p>
      <w:pPr>
        <w:pStyle w:val="7"/>
        <w:numPr>
          <w:ilvl w:val="0"/>
          <w:numId w:val="0"/>
        </w:numPr>
        <w:shd w:val="clear" w:color="auto" w:fill="FFFFFF"/>
        <w:spacing w:before="0" w:beforeAutospacing="0" w:after="0" w:afterAutospacing="0" w:line="384" w:lineRule="atLeast"/>
        <w:ind w:firstLine="600" w:firstLineChars="200"/>
        <w:rPr>
          <w:rFonts w:hint="eastAsia" w:ascii="微软雅黑" w:hAnsi="微软雅黑" w:eastAsia="微软雅黑"/>
          <w:sz w:val="30"/>
          <w:szCs w:val="30"/>
        </w:rPr>
      </w:pPr>
      <w:r>
        <w:rPr>
          <w:rFonts w:hint="eastAsia" w:ascii="微软雅黑" w:hAnsi="微软雅黑" w:eastAsia="微软雅黑"/>
          <w:sz w:val="30"/>
          <w:szCs w:val="30"/>
        </w:rPr>
        <w:t>我们党是在马克思主义建党学说指导下、按照民主集中制原则建立起来的世界最大政党，在世界上人口最多的国家长期执政，历史久、人数多、规模大，既有办大事、建伟业的巨大优势，也面临治党治国的特殊难题。我看，至少有以下几大难题需要进一步研究解决。</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不忘初心、牢记使命。党的事业伟大而艰巨、任重而道远，有人走着走着就忘记了为什么出发，忘记了共产主义远大理想和中国特色社会主义共同理想，忘记了我是谁、为了谁、依靠谁，从而丧失了共产党人的本色。我们必须坚守奠基创业时的初心，坚守党的理想信念宗旨，始终为中国人民谋幸福、为中华民族谋复兴，始终保持党同人民群众的血肉联系，永葆党的先进性和纯洁性。</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统一思想、统一意志、统一行动。党的规模大了，一些人容易出现搞小山头、小圈子、小团伙现象，容易出现尾大不掉、自行其是问题，破坏党的团结统一，影响党的凝聚力战斗力。随着改革开放逐步深入，社会利益多元化、思想多样化也深刻影响到党员、干部的观念和行为。我们必须在重大问题、严峻形势面前始终心往一处想、劲往一处使，做到凝心聚力、众志成城，确保全党紧密团结在党中央周围，步调一致向前进。</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具备强大的执政能力和领导水平。百年大党长期执政，思维惯性、行为惰性客观存在，一些老观念、老套路、老办法容易相沿成习，队伍不断发展壮大也带来干部良莠并存、参差不齐。我们必须与时俱进提高科学执政、民主执政、依法执政水平，克服干部队伍中存在的能力不足、本领恐慌，确保适应新时代要求、具备领导现代化建设能力，做到政治过硬、本领高强，堪当民族复兴重任。</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保持干事创业精神状态。执政几十年承平日久，许多党员、干部没有经历过生死考验，缺乏严峻斗争和艰苦环境的磨砺，容易追求安逸享乐而意志消沉、不思进取，容易在具有许多新的历史特点的伟大斗争面前慌了心神、乱了阵脚。我们必须始终保持艰苦奋斗、奋发有为的精气神，敢于斗争、善于斗争，勇于担当作为，全力战胜前进道路上各种困难和挑战，依靠顽强斗争不断打开事业发展新天地。</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能够及时发现和解决自身存在的问题。堡垒最容易从内部被攻破，能打败我们的只有我们自己。我们这么大一个党，有着光荣的历史、伟大的成就，一些人很容易在执政业绩光环的照耀下出现忽略自身不足、忽视自身问题的现象，陷入“革别人命容易，革自己命难”的境地。我们必须坚持真理、修正错误，始终顺乎潮流、顺应民心，发扬经验、吸取教训，在世界形势深刻变化的历史进程中始终走在时代前列、朝着正确方向前进。</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保持风清气正的政治生态。长期以来，各种弱化党的先进性、损害党的纯洁性的因素无时不有，各种侵蚀党的肌体健康的病毒无处不在，如果不严加防范，经常打扫政治灰尘，久而久之必将积重难返。我们必须常怀忧患意识、底线思维，始终保持刀刃向内的坚定自觉，补钙壮骨、排毒杀菌、祛病疗伤、去腐生肌，涵养积极健康的党内政治文化，持续净化党内政治生态，汇聚激浊扬清的强大正能量，使党永远不变质、不变色、不变味。</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解决好上述难题，是实现新时代新征程党的使命任务必须迈过的一道坎，是全面从严治党适应新形势新要求必须啃下的硬骨头。面对全面建成社会主义现代化强国、以中国式现代化全面推进中华民族伟大复兴的崇高使命，面对前进道路上风高浪急甚至惊涛骇浪的重大挑战，面对长期存在的“四大考验”、“四种危险”，解决大党独有难题必然是一个长期而艰巨的过程，这就决定了全面从严治党永远在路上，党的自我革命永远在路上。我们一定要站在事关党长期执政、国家长治久安、人民幸福安康的高度，把全面从严治党作为党的长期战略、永恒课题，坚决摒弃权宜之计、一时之举的思想，坚决克服松劲歇脚、疲劳厌战的情绪，坚决防止转变风向、降调变调的错误期待，始终坚持问题导向，保持战略定力，发扬彻底的自我革命精神，永远吹冲锋号，把严的基调、严的措施、严的氛围长期坚持下去，把党的伟大自我革命进行到底。</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新征程上，全面从严治党要更好发挥政治引领和政治保障作用，更好推进党和国家事业发展，必须把促进全党牢记“三个务必”、践行党的宗旨作为根本指向，把从严管理监督和鼓励担当作为高度统一起来，从而锻造更为坚强的领导力量，凝聚更为广泛的奋斗力量。全面从严治党的目的不是要把人管死，让人瞻前顾后、畏首畏尾，搞成暮气沉沉、无所作为的一潭死水，而是要通过明方向、立规矩、正风气、强免疫，营造积极健康、干事创业的政治生态和良好环境。要不断探索完善全面从严治党的有效举措，坚持“三个区分开来”，坚持严管和厚爱结合、激励和约束并重，更好激发广大党员、干部的积极性、主动性、创造性，形成奋进新征程、建功新时代的浓厚氛围和生动局面。</w:t>
      </w:r>
    </w:p>
    <w:p>
      <w:pPr>
        <w:widowControl/>
        <w:shd w:val="clear" w:color="auto" w:fill="FFFFFF"/>
        <w:spacing w:line="384" w:lineRule="atLeast"/>
        <w:ind w:firstLine="600" w:firstLineChars="200"/>
        <w:jc w:val="left"/>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※这是习近平总书记2023年1月9日在二十届中央纪委二次全会上讲话的一部分。</w:t>
      </w:r>
    </w:p>
    <w:p>
      <w:pPr>
        <w:widowControl/>
        <w:shd w:val="clear" w:color="auto" w:fill="FFFFFF"/>
        <w:spacing w:line="384" w:lineRule="atLeast"/>
        <w:ind w:firstLine="600" w:firstLineChars="200"/>
        <w:jc w:val="right"/>
        <w:rPr>
          <w:rFonts w:hint="default" w:ascii="微软雅黑" w:hAnsi="微软雅黑" w:eastAsia="微软雅黑" w:cs="宋体"/>
          <w:kern w:val="0"/>
          <w:sz w:val="30"/>
          <w:szCs w:val="30"/>
          <w:lang w:val="en-US" w:eastAsia="zh-CN"/>
        </w:rPr>
      </w:pPr>
      <w:r>
        <w:rPr>
          <w:rFonts w:hint="eastAsia" w:ascii="微软雅黑" w:hAnsi="微软雅黑" w:eastAsia="微软雅黑" w:cs="宋体"/>
          <w:kern w:val="0"/>
          <w:sz w:val="30"/>
          <w:szCs w:val="30"/>
          <w:lang w:val="en-US" w:eastAsia="zh-CN"/>
        </w:rPr>
        <w:t>来源：求是网</w:t>
      </w:r>
    </w:p>
    <w:p>
      <w:pPr>
        <w:widowControl/>
        <w:shd w:val="clear" w:color="auto" w:fill="FFFFFF"/>
        <w:spacing w:line="384" w:lineRule="atLeast"/>
        <w:jc w:val="left"/>
        <w:rPr>
          <w:rFonts w:hint="eastAsia" w:ascii="微软雅黑" w:hAnsi="微软雅黑" w:eastAsia="微软雅黑" w:cs="宋体"/>
          <w:kern w:val="0"/>
          <w:sz w:val="30"/>
          <w:szCs w:val="30"/>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center"/>
        <w:textAlignment w:val="auto"/>
        <w:rPr>
          <w:rFonts w:hint="eastAsia" w:ascii="微软雅黑" w:hAnsi="微软雅黑" w:eastAsia="微软雅黑" w:cs="宋体"/>
          <w:b/>
          <w:bCs/>
          <w:color w:val="2B2B2B"/>
          <w:spacing w:val="0"/>
          <w:kern w:val="0"/>
          <w:sz w:val="44"/>
          <w:szCs w:val="44"/>
        </w:rPr>
      </w:pPr>
      <w:r>
        <w:rPr>
          <w:rFonts w:hint="eastAsia" w:ascii="微软雅黑" w:hAnsi="微软雅黑" w:eastAsia="微软雅黑" w:cs="宋体"/>
          <w:b/>
          <w:bCs/>
          <w:color w:val="2B2B2B"/>
          <w:spacing w:val="0"/>
          <w:kern w:val="0"/>
          <w:sz w:val="44"/>
          <w:szCs w:val="44"/>
        </w:rPr>
        <w:t>深刻把握新时代新征程全面从严治党新的重大命题</w:t>
      </w:r>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center"/>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中共中央党史和文献研究院院务会理论学习中心组</w:t>
      </w:r>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center"/>
        <w:textAlignment w:val="auto"/>
        <w:rPr>
          <w:rFonts w:hint="eastAsia" w:ascii="微软雅黑" w:hAnsi="微软雅黑" w:eastAsia="微软雅黑" w:cs="宋体"/>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660" w:lineRule="exact"/>
        <w:ind w:firstLine="600" w:firstLineChars="200"/>
        <w:jc w:val="both"/>
        <w:textAlignment w:val="auto"/>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中国共产党是世界上最大的马克思主义执政党，既有办大事、建伟业的巨大优势，也面临治党治国的特殊难题。在党的二十大上，习近平总书记郑重提出“时刻保持解决大党独有难题的清醒和坚定”这一新时代新征程全面从严治党新的重大命题，并在二十届中央纪委二次全会上深刻阐述大党独有难题的形成原因、主要表现和破解之道，在二十届中央纪委三次全会上明确提出在深入推进党的自我革命实践中要以解决大党独有难题为主攻方向。时刻保持解决大党独有难题的清醒和坚定，对于我们常怀忧党之心、恪尽兴党之责，把党建设得更加坚强有力、更加充满活力，使党在各种风浪考验中始终立于不败之地，具有十分重大的意义。</w:t>
      </w:r>
    </w:p>
    <w:p>
      <w:pPr>
        <w:widowControl/>
        <w:shd w:val="clear" w:color="auto" w:fill="FFFFFF"/>
        <w:spacing w:line="384" w:lineRule="atLeast"/>
        <w:ind w:firstLine="600" w:firstLineChars="200"/>
        <w:jc w:val="both"/>
        <w:rPr>
          <w:rFonts w:hint="eastAsia" w:ascii="微软雅黑" w:hAnsi="微软雅黑" w:eastAsia="微软雅黑" w:cs="宋体"/>
          <w:b/>
          <w:bCs/>
          <w:kern w:val="0"/>
          <w:sz w:val="30"/>
          <w:szCs w:val="30"/>
        </w:rPr>
      </w:pPr>
      <w:r>
        <w:rPr>
          <w:rFonts w:hint="eastAsia" w:ascii="微软雅黑" w:hAnsi="微软雅黑" w:eastAsia="微软雅黑" w:cs="宋体"/>
          <w:b/>
          <w:bCs/>
          <w:kern w:val="0"/>
          <w:sz w:val="30"/>
          <w:szCs w:val="30"/>
        </w:rPr>
        <w:t>深刻把握提出“时刻保持解决大党独有难题的清醒和坚定”重大命题的深远战略考量</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时刻保持解决大党独有难题的清醒和坚定，是以习近平同志为核心的党中央从所处的历史方位、肩负的使命任务、面临的复杂环境出发，深刻把握党的根本性质和党情发展变化，对新时代新征程全面从严治党提出的新的重大命题，充分彰显了习近平总书记作为大党大国领袖的高瞻远瞩和深谋远虑。</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这一重大命题的提出，体现了我们党立志于中华民族千秋伟业的长远战略眼光。中国共产党是有着远大志向和宏大抱负的党，志向远大才能站得高、看得远、谋得深，才能从思接千载的历史纵深思考党的建设的根本性方向性全局性问题。我们党自成立以来，一路栉风沐雨，由小到大、由弱变强，成为拥有9800多万名党员、在14亿多人口的大国长期执政、具有全球重大影响力的马克思主义政党，创造了光耀古今的历史伟业，同时也面临着超乎想象的风险考验。千秋伟业，百年只是序章。我们党立志于中华民族千秋伟业，必须以党自身正、自身净、自身硬为先决条件。经过党的十八大以来全面从严治党，我们解决了党内许多突出问题，但党面临的“四大考验”、“四种危险”将长期存在。时刻保持解决大党独有难题的清醒和坚定，就是要对党自身面临的各种风险隐患保持高度警惕，坚决清除一切损害党的先进性和纯洁性的因素，清除一切侵蚀党的健康肌体的病毒，奋力跳出治乱兴衰的历史周期率，以党永不变质确保红色江山永不变色。</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这一重大命题的提出，体现了我们党将自身锻造成为中国式现代化坚强领导核心的强烈使命担当。党的二十大报告指出：“全面建设社会主义现代化国家、全面推进中华民族伟大复兴，关键在党。”近代以后中国面临的历史性课题和所处的时代条件，决定了探索实现现代化与探索实现民族复兴一体共进，而探索实现现代化与实现民族复兴的重任最终历史地落在了中国共产党身上。中国式现代化是一项前无古人的开创性事业，必然会遇到大量从未出现过的全新课题，经受许多风高浪急甚至惊涛骇浪的重大考验。党的领导是否坚强有力，直接关系中国式现代化的根本方向、前途命运、最终成败。习近平总书记指出，解决大党独有难题，“是实现新时代新征程党的使命任务必须迈过的一道坎，是全面从严治党适应新形势新要求必须啃下的硬骨头”。时刻保持解决大党独有难题的清醒和坚定，就是要围绕以中国式现代化全面推进强国建设、民族复兴伟业，深入推进新时代党的建设新的伟大工程，使我们党更好担负起自身的光荣使命任务，始终成为中国特色社会主义事业的坚强领导核心。</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这一重大命题的提出，体现了我们党自觉从世界各国政党兴衰浮沉中汲取经验教训的历史主动精神。中国共产党是善于以史为鉴、开创未来的党。纵观近代以后各国的政党政治，因忽视或无力解决自身问题导致政党日薄西山乃至人亡政息的例子比比皆是。有的政党昙花一现，其兴也勃、其亡也忽；有的政党曾朝气蓬勃、生机盎然，久而久之却深陷沉疴、积重难返；有的政党曾长期执政、辉煌一时，却一朝倾覆、土崩瓦解……不一而足，令人唏嘘也发人深省。虽然就性质宗旨而言，中国共产党同许多外国政党有着本质区别，但以史为鉴可以知兴替。世界各国政党的治乱兴衰和成败得失，为我们党审视和解决自身问题提供了有益镜鉴。时刻保持解决大党独有难题的清醒和坚定，就是要以高度的历史自觉和宽广的世界眼光，从世界政党发展史和马克思主义政党执政史中汲取经验、吸取教训、获得启迪，不断深化对马克思主义政党建设规律、共产党执政规律的认识，以党的自我革命的战略主动赢得事业发展的历史主动。</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这一重大命题的提出，体现了我们党不断推进马克思主义党建理论创新发展的高度理论自觉。中国共产党是在马克思主义建党学说指导下、按照民主集中制原则建立起来的世界最大政党。放眼全球，像我们党历史这么长、规模这么大、执政这么久，走过的历程如此独特，承担的使命如此宏伟，面临的考验如此复杂的政党，可谓绝无仅有。大党之“大”带来问题之“独”，问题之“独”决定了解题之“难”。要把我们这样一个大党管好治好建设好，企望从马克思主义经典作家的本本里寻找现成答案，或是简单照抄照搬其他政党管党治党的经验，是行不通的。时刻保持解决大党独有难题的清醒和坚定，就是要立足我们党面临的世情国情党情，以守正创新的勇气和锐气不断推进马克思主义党建理论创新，不断回答好建设什么样的长期执政的马克思主义政党、怎样建设长期执政的马克思主义政党这一重大时代课题，不断开辟管党治党、兴党强党新境界，为解决马克思主义执政党建设难题作出更多原创性、历史性、世界性贡献。</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时刻保持解决大党独有难题的清醒和坚定，重在时刻、贵在清醒、要在坚定，首先强调的是一种居安思危的意识、刀刃向内的勇气、攻坚克难的决心，体现了新时代中国共产党人一定要解决自身问题的历史主动精神和一定能解决自身问题的必胜信念信心。只要我们对解决大党独有难题有清醒的认识、坚定的意志，坚持底线思维、未雨绸缪，把应对党在前进道路上面临各种风险挑战的思想准备和工作准备做得更加充分深入一些，把管党治党的各项思路举措谋划得更加科学有效一些，下好先手棋、打好主动仗，既常抓不懈，又集中发力，就能在解决大党独有难题上不断取得突破和进展。</w:t>
      </w:r>
    </w:p>
    <w:p>
      <w:pPr>
        <w:widowControl/>
        <w:shd w:val="clear" w:color="auto" w:fill="FFFFFF"/>
        <w:spacing w:line="384" w:lineRule="atLeast"/>
        <w:ind w:firstLine="600" w:firstLineChars="200"/>
        <w:jc w:val="both"/>
        <w:rPr>
          <w:rFonts w:hint="eastAsia" w:ascii="微软雅黑" w:hAnsi="微软雅黑" w:eastAsia="微软雅黑" w:cs="宋体"/>
          <w:b/>
          <w:bCs/>
          <w:kern w:val="0"/>
          <w:sz w:val="30"/>
          <w:szCs w:val="30"/>
        </w:rPr>
      </w:pPr>
      <w:r>
        <w:rPr>
          <w:rFonts w:hint="eastAsia" w:ascii="微软雅黑" w:hAnsi="微软雅黑" w:eastAsia="微软雅黑" w:cs="宋体"/>
          <w:b/>
          <w:bCs/>
          <w:kern w:val="0"/>
          <w:sz w:val="30"/>
          <w:szCs w:val="30"/>
        </w:rPr>
        <w:t>把“六个如何始终”作为新时代新征程解决大党独有难题的重点任务</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习近平总书记在二十届中央纪委二次全会上指出：“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这“六个如何始终”有着深层次的战略思考，是一个逻辑严密的体系，为解决大党独有难题、深入推进党的自我革命指明了方向。</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不忘初心、牢记使命，在解决大党独有难题中具有头等重要性，是解决其他难题的前提和基础。“欲流之远者，必浚其泉源。”初心和使命是党的性质宗旨、理想信念、奋斗目标的集中体现，决定着中国共产党是什么、要干什么这个根本问题，是中国共产党人的精神支柱和政治灵魂。忘记了初心和使命，党就会改变性质、改变颜色，就会失去人民、失去未来，解决党面临的其他难题也就无从谈起。一个人也好，一个政党也好，最难得的就是历经沧桑而初心不改、饱经风霜而本色依旧。历史地看，一个政党执政时间越久、执政光环越耀眼，就越容易出现有人走着走着就忘记了为什么出发的问题，越容易滋生违背初心和使命、动摇党的根基的危险，就越要把不忘初心、牢记使命作为加强党的建设的永恒课题，作为全体党员干部的终身课题，永葆共产党人的政治本色。</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统一思想、统一意志、统一行动，是事关党的团结统一、事关党和国家前途命运的重大问题。我们党是用革命理想和铁的纪律组织起来的马克思主义政党，思想上的统一、政治上的团结、行动上的一致，是党的事业不断发展壮大的根本所在。历史反复证明，对我们这样一个大党来说，如果没有党中央权威和集中统一领导，没有全党思想统一、步调一致，就会成为一盘散沙，什么事也办不成。党的组织规模越庞大，党面临的形势任务越复杂，社会利益多元化、思想多样化的影响越深入，统一思想、统一意志、统一行动的难度就越大，越需要把巩固党的团结统一、增强党的凝聚力战斗力作为极端重要的任务抓紧抓好，确保全党步调一致向前进，汇聚起攻坚克难的强大力量。</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具备强大的执政能力和领导水平，是事关我们党能否有效应对各种风险挑战、承担好新时代新征程党的使命任务的关键问题。党要实现长期执政，既要政治过硬，又要本领高强。党的执政能力和领导水平不是与生俱来的，也不会随着执政时间的增加而自然提升，必须一刻不停与时俱进学习提高，不断提高党的执政能力和领导水平。当前，形势环境变化之快、改革发展稳定任务之重、矛盾风险挑战之多、对我们党治国理政考验之大前所未有。党和人民事业越向前发展，越需要与时俱进提高科学执政、民主执政、依法执政水平，不断提高党把方向、谋大局、定政策、促改革的能力和定力，确保适应新时代要求、具备领导现代化建设能力，做到政治过硬、本领高强，堪当民族复兴重任。</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保持干事创业精神状态，是关系我们党能否永葆革命精神和革命斗志，意气风发走好新的赶考之路的大问题。“忧劳可以兴国，逸豫可以亡身。”习近平总书记指出，“功成名就时做到居安思危、保持创业初期那种励精图治的精神状态不容易”。古今中外，执政者在承平日久后追求安逸、不思进取、奢靡享乐，最终导致人亡政息、丧权垮台的不胜枚举。新中国成立初期，毛泽东同志就号召全党“保持过去革命战争时期的那么一股劲，那么一股革命热情，那么一种拼命精神，把革命工作做到底”。党越是长期执政、越是成就辉煌，越不能在一片喝彩声、赞扬声中丧失革命精神和革命斗志，越要牢记船到中流浪更急、人到半山路更陡的道理，始终保持艰苦奋斗、奋发有为的精气神，始终保持革命者的大无畏奋斗精神，依靠顽强斗争不断打开事业发展新天地。</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能够及时发现和解决自身存在的问题，事关我们党能否始终保持先进性和纯洁性，能否在直面问题、克服不足中永葆青春活力而长盛不衰。这既是我们党面临的独有难题之一，也蕴含着解决其他难题的密码。中国共产党的伟大不在于不犯错误，而在于从不讳疾忌医，敢于直面问题，勇于自我革命，具有极强的自我修复能力。我们党面临的任务越繁重，风险考验越大，越要以勇于自我革命精神打造和锤炼自己，形成坚持真理、修正错误，发现问题、纠正偏差的机制，不断增强自我净化、自我完善、自我革新、自我提高能力，确保党在世界形势深刻变化的历史进程中始终走在时代前列，在应对国内外各种风险和考验的历史进程中始终成为全国人民的主心骨，在坚持和发展中国特色社会主义的历史进程中始终成为坚强领导核心。</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如何始终保持风清气正的政治生态，关系党的形象、人心向背和事业兴衰。习近平总书记指出，“政治生态好，干部队伍就会风清气正、心齐气顺，社会风气就会积极向上、充满正能量。政治生态不好，各种歪风邪气就会冒出来”、“要持之以恒净化政治生态”。政治生态同自然生态一样，稍不注意就容易受到污染，一旦出现问题再想恢复就要付出很大代价。我们党面临的执政环境越是复杂严峻，越要把严肃党内政治生活、净化党内政治生态作为一项基础性、经常性工作，在浚其源、涵其林、养正气、固根本上绵绵用力久久为功，自觉抵制商品交换原则对党内生活的侵蚀，有效防范一切利益集团、权势团体、特权阶层的围猎腐蚀，确保党永远不变质、不变色、不变味。</w:t>
      </w:r>
    </w:p>
    <w:p>
      <w:pPr>
        <w:widowControl/>
        <w:shd w:val="clear" w:color="auto" w:fill="FFFFFF"/>
        <w:spacing w:line="384" w:lineRule="atLeast"/>
        <w:ind w:firstLine="600" w:firstLineChars="200"/>
        <w:jc w:val="both"/>
        <w:rPr>
          <w:rFonts w:hint="eastAsia" w:ascii="微软雅黑" w:hAnsi="微软雅黑" w:eastAsia="微软雅黑" w:cs="宋体"/>
          <w:kern w:val="0"/>
          <w:sz w:val="30"/>
          <w:szCs w:val="30"/>
        </w:rPr>
      </w:pPr>
      <w:r>
        <w:rPr>
          <w:rFonts w:hint="eastAsia" w:ascii="微软雅黑" w:hAnsi="微软雅黑" w:eastAsia="微软雅黑" w:cs="宋体"/>
          <w:kern w:val="0"/>
          <w:sz w:val="30"/>
          <w:szCs w:val="30"/>
        </w:rPr>
        <w:t>总体来说，这“六个如何始终”内在统一、紧密联系，相互贯通、各有侧重，分别着眼坚定理想信念、维护团结统一、提高能力水平、振奋精神状态、纠正错误偏差、做到激浊扬清等方面，指出的是新时代新征程上管党治党最为紧迫、最为要害、最为根本的问题。这些问题集中起来在中华民族伟大复兴战略全局和世界百年未有之大变局相互激荡的时空背景下历史性交汇，在创造了百年辉煌而又重整行装再出发的中国共产党面前系统性呈现，构成了解决大党独有难题的基本内涵和鲜明指向。党的远大目标和历史使命，党的队伍的庞大规模和广泛分布，党面临的重大风险和严峻挑战，决定了解决大党独有难题是一个长期而艰巨的过程。要把全面从严治党作为党的长期战略、永恒课题，坚决摒弃权宜之计、一时之举的思想，坚决克服松劲歇脚、疲劳厌战的情绪，坚决防止转变风向、降调变调的错误期待，按照“六个如何始终”的要求，始终坚持问题导向，保持战略定力，标本兼治、综合施策、协同发力、锲而不舍、久久为功，在不断解决大党独有难题中彰显大党优势。</w:t>
      </w:r>
    </w:p>
    <w:p>
      <w:pPr>
        <w:widowControl/>
        <w:shd w:val="clear" w:color="auto" w:fill="FFFFFF"/>
        <w:spacing w:line="384" w:lineRule="atLeast"/>
        <w:ind w:firstLine="600" w:firstLineChars="200"/>
        <w:jc w:val="both"/>
        <w:rPr>
          <w:rFonts w:hint="eastAsia" w:ascii="微软雅黑" w:hAnsi="微软雅黑" w:eastAsia="微软雅黑" w:cs="宋体"/>
          <w:b/>
          <w:bCs/>
          <w:kern w:val="0"/>
          <w:sz w:val="30"/>
          <w:szCs w:val="30"/>
        </w:rPr>
      </w:pPr>
      <w:r>
        <w:rPr>
          <w:rFonts w:hint="eastAsia" w:ascii="微软雅黑" w:hAnsi="微软雅黑" w:eastAsia="微软雅黑" w:cs="宋体"/>
          <w:b/>
          <w:bCs/>
          <w:kern w:val="0"/>
          <w:sz w:val="30"/>
          <w:szCs w:val="30"/>
        </w:rPr>
        <w:t>深入贯彻习近平总书记关于党的自我革命的重要思想，推动解决大党独有难题不断取得进展和突破</w:t>
      </w:r>
    </w:p>
    <w:p>
      <w:pPr>
        <w:widowControl/>
        <w:numPr>
          <w:ilvl w:val="0"/>
          <w:numId w:val="0"/>
        </w:numPr>
        <w:shd w:val="clear" w:color="auto" w:fill="FFFFFF"/>
        <w:spacing w:line="384" w:lineRule="atLeast"/>
        <w:ind w:firstLine="600"/>
        <w:jc w:val="both"/>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党的十八大以来，习近平总书记带领全党以前所未有的决心力度推进全面从严治党，创造性提出一系列具有原创性、标志性的新理念新思想新战略，形成习近平总书记关于党的自我革命的重要思想，指引百年大党开辟了自我革命的新境界。这一重要思想坚持马克思主义建党学说基本原理，厚植中华优秀传统文化，深刻总结新时代全面从严治党伟大实践，借鉴世界政党治乱兴衰历史经验，深刻回答了我们党为什么要自我革命、为什么能自我革命、怎样推进自我革命等重大问题，明确提出“九个以”的实践要求，是在大党独有实践中产生的科学理论，为指导解决大党独有难题提供了根本遵循。新时代新征程，我们要以习近平总书记关于党的自我革命的重要思想为指引，沿着习近平总书记指引的方向探索破解问题的办法，有力、有序、有效解决大党独有难题。</w:t>
      </w:r>
    </w:p>
    <w:p>
      <w:pPr>
        <w:widowControl/>
        <w:numPr>
          <w:ilvl w:val="0"/>
          <w:numId w:val="0"/>
        </w:numPr>
        <w:shd w:val="clear" w:color="auto" w:fill="FFFFFF"/>
        <w:spacing w:line="384" w:lineRule="atLeast"/>
        <w:ind w:firstLine="600"/>
        <w:jc w:val="both"/>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坚定拥护“两个确立”、坚决做到“两个维护”。解决大党独有难题，指向的是跳出治乱兴衰的历史周期率，着眼的是巩固党的长期执政地位，谋划的是红色江山基业长青、中华民族伟大复兴。这样一件事关党长期执政、国家长治久安、人民幸福安康的根本大计，如果没有坚强的领导核心、科学的理论指引，是难以想象也难以实施的。新时代全面从严治党之所以能取得彪炳史册的伟大成就，党之所以能在革命性锻造中更加坚强有力，根本在于习近平总书记作为党中央的核心、全党的核心领航掌舵，在于习近平新时代中国特色社会主义思想科学指引。新征程上，必须更加深刻领悟“两个确立”的决定性意义，增强“四个意识”、坚定“四个自信”、做到“两个维护”，更加自觉地忠诚核心、拥戴核心、维护核心、捍卫核心，这是解决大党独有难题的最大确定性、最大底气、最大保证。</w:t>
      </w:r>
    </w:p>
    <w:p>
      <w:pPr>
        <w:widowControl/>
        <w:numPr>
          <w:ilvl w:val="0"/>
          <w:numId w:val="0"/>
        </w:numPr>
        <w:shd w:val="clear" w:color="auto" w:fill="FFFFFF"/>
        <w:spacing w:line="384" w:lineRule="atLeast"/>
        <w:ind w:firstLine="600"/>
        <w:jc w:val="both"/>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把党的独特优势转化为解决大党独有难题的制胜法宝。中国的问题必须从中国国情出发，由中国人自己来解答，是我们党从百余年奋斗中得出的一条基本结论。同样，独特的文明传统、发展历程、执政环境和使命任务，决定了我们党解决大党独有难题也必须从自身党情出发，外靠发展人民民主、接受人民监督，内靠全面从严治党、推进自我革命，保证党长盛不衰、不断发展壮大。放眼全世界，没有任何一个政党能像中国共产党一样如此严肃认真地对待自身建设，也没有任何一个政党能像中国共产党一样同时具有其他政党所不具备的显著优势。我们要以习近平总书记关于党的自我革命的重要思想为指引，坚持独立自主、自立自强，大力弘扬党的光荣传统和优良作风，充分发挥党的理论优势、政治优势、组织优势、制度优势和密切联系群众优势，不断将党的独特优势转化为制胜法宝，依靠自身胆略和智慧探索出一条解决大党独有难题的成功道路。</w:t>
      </w:r>
    </w:p>
    <w:p>
      <w:pPr>
        <w:widowControl/>
        <w:numPr>
          <w:ilvl w:val="0"/>
          <w:numId w:val="0"/>
        </w:numPr>
        <w:shd w:val="clear" w:color="auto" w:fill="FFFFFF"/>
        <w:spacing w:line="384" w:lineRule="atLeast"/>
        <w:ind w:firstLine="600"/>
        <w:jc w:val="both"/>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推动新时代党的自我革命向纵深发展。自我革命是我们党百余年奋斗锤炼出来的鲜明品格，是党永葆旺盛生命力和强大战斗力的重要法宝。只有把自我革命这篇大文章做深入、做到位，大党独有难题才能迎刃而解。党的十八大以来，以习近平同志为核心的党中央坚持严字当头、刀刃向内，采取一系列横向到边、纵向到底的管党治党新举措，探索出依靠党的自我革命跳出历史周期率的成功路径，开辟了百年大党自我革命新境界，坚定了全党用好“第二个答案”、解决大党独有难题的信心决心。我们要充分发扬彻底的革命精神，准确把握推进自我革命“九个以”的实践要求，不断深化对党的自我革命的规律性认识，把党的自我革命的思路举措搞得更加严密，把每条战线、每个环节的自我革命抓具体、抓深入，以自我革命的深入推进引领带动大党独有难题的有效解决。</w:t>
      </w:r>
    </w:p>
    <w:p>
      <w:pPr>
        <w:widowControl/>
        <w:numPr>
          <w:ilvl w:val="0"/>
          <w:numId w:val="0"/>
        </w:numPr>
        <w:shd w:val="clear" w:color="auto" w:fill="FFFFFF"/>
        <w:spacing w:line="384" w:lineRule="atLeast"/>
        <w:ind w:firstLine="600"/>
        <w:jc w:val="both"/>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健全全面从严治党体系。健全全面从严治党体系，是加强新时代党的建设、解决大党独有难题的重大举措。习近平总书记在二十届中央纪委三次全会上明确提出“以解决大党独有难题为主攻方向”，“以健全全面从严治党体系为有效途径”。这深刻揭示了解决大党独有难题和健全全面从严治党体系的内在一致性。全面从严治党体系应是一个内涵丰富、功能完备、科学规范、运行高效的动态系统。解决大党独有难题也是一项复杂的系统工程，必须深化标本兼治、系统施治，整体地而不是局部地、系统地而不是零碎地、持久地而不是短暂地、高标准地而不是一般化地全面从严治党，形成布局合理、内容科学、要素齐备、统一高效的全面从严治党体系。要在党中央集中统一领导下，健全各负其责、统一协调的管党治党责任格局，坚持内容上全涵盖、对象上全覆盖、责任上全链条、制度上全贯通，坚持制度治党、依规治党，更加突出党的各方面建设有机衔接、联动集成、协同协调，更加突出体制机制的健全完善和法规制度的科学有效，更加突出运用治理的理念、系统的观念、辩证的思维管党治党建设党，进一步形成依靠党的自身力量发现问题、纠正偏差、推动创新、实现执政能力整体性提升的良性循环，使全面从严治党各项工作更好体现时代性、把握规律性、富于创造性。</w:t>
      </w:r>
    </w:p>
    <w:p>
      <w:pPr>
        <w:widowControl/>
        <w:numPr>
          <w:ilvl w:val="0"/>
          <w:numId w:val="0"/>
        </w:numPr>
        <w:shd w:val="clear" w:color="auto" w:fill="FFFFFF"/>
        <w:spacing w:line="384" w:lineRule="atLeast"/>
        <w:ind w:firstLine="600"/>
        <w:jc w:val="right"/>
        <w:rPr>
          <w:rFonts w:hint="default" w:ascii="微软雅黑" w:hAnsi="微软雅黑" w:eastAsia="微软雅黑" w:cs="宋体"/>
          <w:kern w:val="0"/>
          <w:sz w:val="30"/>
          <w:szCs w:val="30"/>
          <w:lang w:val="en-US" w:eastAsia="zh-CN" w:bidi="ar-SA"/>
        </w:rPr>
      </w:pPr>
      <w:r>
        <w:rPr>
          <w:rFonts w:hint="eastAsia" w:ascii="微软雅黑" w:hAnsi="微软雅黑" w:eastAsia="微软雅黑" w:cs="宋体"/>
          <w:kern w:val="0"/>
          <w:sz w:val="30"/>
          <w:szCs w:val="30"/>
          <w:lang w:val="en-US" w:eastAsia="zh-CN" w:bidi="ar-SA"/>
        </w:rPr>
        <w:t>来源：求是网</w:t>
      </w:r>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center"/>
        <w:textAlignment w:val="auto"/>
        <w:rPr>
          <w:rFonts w:hint="default" w:ascii="微软雅黑" w:hAnsi="微软雅黑" w:eastAsia="微软雅黑" w:cs="宋体"/>
          <w:b/>
          <w:bCs/>
          <w:color w:val="2B2B2B"/>
          <w:spacing w:val="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center"/>
        <w:textAlignment w:val="auto"/>
        <w:rPr>
          <w:rFonts w:hint="default" w:ascii="微软雅黑" w:hAnsi="微软雅黑" w:eastAsia="微软雅黑" w:cs="宋体"/>
          <w:b/>
          <w:bCs/>
          <w:color w:val="2B2B2B"/>
          <w:spacing w:val="0"/>
          <w:kern w:val="0"/>
          <w:sz w:val="44"/>
          <w:szCs w:val="44"/>
          <w:lang w:val="en-US" w:eastAsia="zh-CN" w:bidi="ar-SA"/>
        </w:rPr>
      </w:pPr>
      <w:r>
        <w:rPr>
          <w:rFonts w:hint="default" w:ascii="微软雅黑" w:hAnsi="微软雅黑" w:eastAsia="微软雅黑" w:cs="宋体"/>
          <w:b/>
          <w:bCs/>
          <w:color w:val="2B2B2B"/>
          <w:spacing w:val="0"/>
          <w:kern w:val="0"/>
          <w:sz w:val="44"/>
          <w:szCs w:val="44"/>
          <w:lang w:val="en-US" w:eastAsia="zh-CN" w:bidi="ar-SA"/>
        </w:rPr>
        <w:t>“八八战略”：新时代浙江数字经济赋能城乡融合高质量发展的战略指引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default" w:ascii="微软雅黑" w:hAnsi="微软雅黑" w:eastAsia="微软雅黑" w:cs="宋体"/>
          <w:b/>
          <w:bCs/>
          <w:color w:val="2B2B2B"/>
          <w:spacing w:val="0"/>
          <w:kern w:val="0"/>
          <w:sz w:val="44"/>
          <w:szCs w:val="44"/>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00"/>
        <w:jc w:val="both"/>
        <w:textAlignment w:val="auto"/>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八八战略”是2003年时任浙江省委书记习近平在经过深入调查研究和系统思考谋划后，为浙江量身制定的省域发展全面规划和顶层设计，指引浙江率先开启了省域现代化先行探索。2023年9月，习近平总书记在浙江考察期间，对浙江践行“八八战略”提出了更高要求：“要坚持一张蓝图绘到底，持续推动‘八八战略’走深走实，始终干在实处、走在前列、勇立潮头，奋力谱写中国式现代化浙江新篇章”。习近平总书记强调：“浙江要深化国家数字经济创新发展试验区建设，要把缩小城乡差距、地区差距、收入差距作为主攻方向，进一步健全城乡融合发展体制机制”。二十余年来，浙江始终沿着“八八战略”指引的路子走下去，紧紧围绕“城乡融合”和“数字经济”两个关键词，一任接着一任干、一张蓝图绘到底，对数字经济促进全省城乡融合高质量发展，实现城乡共同富裕进行了积极探索和创新实践，走出了一条具有时代特征、浙江特色的数字经济赋能城乡融合高质量发展之路，实现了之江大地的精彩蝶变。</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firstLine="600"/>
        <w:jc w:val="both"/>
        <w:textAlignment w:val="auto"/>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浙江践行“八八战略”，以数字经济赋能城乡融合高质量发展的成效与实践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00"/>
        <w:jc w:val="both"/>
        <w:textAlignment w:val="auto"/>
        <w:rPr>
          <w:rFonts w:hint="default" w:ascii="微软雅黑" w:hAnsi="微软雅黑" w:eastAsia="微软雅黑" w:cs="宋体"/>
          <w:kern w:val="0"/>
          <w:sz w:val="30"/>
          <w:szCs w:val="30"/>
          <w:lang w:val="en-US" w:eastAsia="zh-CN" w:bidi="ar-SA"/>
        </w:rPr>
      </w:pPr>
      <w:r>
        <w:rPr>
          <w:rFonts w:hint="default" w:ascii="微软雅黑" w:hAnsi="微软雅黑" w:eastAsia="微软雅黑" w:cs="宋体"/>
          <w:kern w:val="0"/>
          <w:sz w:val="30"/>
          <w:szCs w:val="30"/>
          <w:lang w:val="en-US" w:eastAsia="zh-CN" w:bidi="ar-SA"/>
        </w:rPr>
        <w:t>20余年来，浙江数字经济迅猛发展，城乡融合深入推进，数字经济占GDP比重超50%，产业数字化指数连续3年居全国第一，城乡居民收入差距从2.37缩小到1.9，地区居民收入最高最低倍差缩小到1.58。公共服务更加优质普惠，最低生活保障标准居各省区第一，居民主要健康指标接近高收入经济体水平。</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kern w:val="0"/>
          <w:sz w:val="30"/>
          <w:szCs w:val="30"/>
          <w:lang w:val="en-US" w:eastAsia="zh-CN" w:bidi="ar-SA"/>
        </w:rPr>
      </w:pPr>
      <w:r>
        <w:rPr>
          <w:rFonts w:hint="eastAsia" w:ascii="微软雅黑" w:hAnsi="微软雅黑" w:eastAsia="微软雅黑" w:cs="宋体"/>
          <w:b/>
          <w:bCs/>
          <w:kern w:val="0"/>
          <w:sz w:val="30"/>
          <w:szCs w:val="30"/>
          <w:lang w:val="en-US" w:eastAsia="zh-CN" w:bidi="ar-SA"/>
        </w:rPr>
        <w:t>1.</w:t>
      </w:r>
      <w:r>
        <w:rPr>
          <w:rFonts w:hint="default" w:ascii="微软雅黑" w:hAnsi="微软雅黑" w:eastAsia="微软雅黑" w:cs="宋体"/>
          <w:b/>
          <w:bCs/>
          <w:kern w:val="0"/>
          <w:sz w:val="30"/>
          <w:szCs w:val="30"/>
          <w:lang w:val="en-US" w:eastAsia="zh-CN" w:bidi="ar-SA"/>
        </w:rPr>
        <w:t>谋划顶层设计，构建数字赋能城乡融合推进体系</w:t>
      </w:r>
      <w:r>
        <w:rPr>
          <w:rFonts w:hint="eastAsia" w:ascii="微软雅黑" w:hAnsi="微软雅黑" w:eastAsia="微软雅黑" w:cs="宋体"/>
          <w:b/>
          <w:bCs/>
          <w:kern w:val="0"/>
          <w:sz w:val="30"/>
          <w:szCs w:val="30"/>
          <w:lang w:val="en-US" w:eastAsia="zh-CN" w:bidi="ar-SA"/>
        </w:rPr>
        <w:t>。</w:t>
      </w:r>
      <w:r>
        <w:rPr>
          <w:rFonts w:hint="default" w:ascii="微软雅黑" w:hAnsi="微软雅黑" w:eastAsia="微软雅黑" w:cs="宋体"/>
          <w:kern w:val="0"/>
          <w:sz w:val="30"/>
          <w:szCs w:val="30"/>
          <w:lang w:val="en-US" w:eastAsia="zh-CN" w:bidi="ar-SA"/>
        </w:rPr>
        <w:t>确立以“八八战略”为指引，强化各方力量统筹整合，构建数字赋能城乡融合推进体系。一是抓规划强引领。浙江在全国率先制定出台全省数字经济发展“十四五”规划，全省数字经济促进条例、全省数字乡村建设“十四五”规划和实施方案、全省新型城镇化发展“十四五”规划等系列文件，明确建设目标、重点任务、推进举措，使之成为浙江数字经济赋能城乡融合的共同遵循和行动指南。二是抓统筹强协同。浙江成立全省数字经济创新提质“一号发展工程”专班、全省数字经济系统建设专班、全省数字乡村建设专班等专班机构，加强工作顶层设计，统筹协调，一体推进。三是抓试点强示范。浙江抓紧抓实德清等4个国家级、建德等32个省级数字乡村试点市县建设，推动有关涉农项目优先在试点地区落地、改革创新举措优先在试点地区集成。</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jc w:val="both"/>
        <w:textAlignment w:val="auto"/>
        <w:rPr>
          <w:rFonts w:hint="default" w:ascii="微软雅黑" w:hAnsi="微软雅黑" w:eastAsia="微软雅黑" w:cs="宋体"/>
          <w:b w:val="0"/>
          <w:bCs w:val="0"/>
          <w:kern w:val="0"/>
          <w:sz w:val="30"/>
          <w:szCs w:val="30"/>
          <w:lang w:val="en-US" w:eastAsia="zh-CN" w:bidi="ar-SA"/>
        </w:rPr>
      </w:pPr>
      <w:r>
        <w:rPr>
          <w:rFonts w:hint="eastAsia" w:ascii="微软雅黑" w:hAnsi="微软雅黑" w:eastAsia="微软雅黑" w:cs="宋体"/>
          <w:kern w:val="0"/>
          <w:sz w:val="30"/>
          <w:szCs w:val="30"/>
          <w:lang w:val="en-US" w:eastAsia="zh-CN" w:bidi="ar-SA"/>
        </w:rPr>
        <w:t xml:space="preserve">    </w:t>
      </w:r>
      <w:r>
        <w:rPr>
          <w:rFonts w:hint="eastAsia" w:ascii="微软雅黑" w:hAnsi="微软雅黑" w:eastAsia="微软雅黑" w:cs="宋体"/>
          <w:b/>
          <w:bCs/>
          <w:kern w:val="0"/>
          <w:sz w:val="30"/>
          <w:szCs w:val="30"/>
          <w:lang w:val="en-US" w:eastAsia="zh-CN" w:bidi="ar-SA"/>
        </w:rPr>
        <w:t>2.构筑平台抓手，打造数字赋能城乡融合应用体系。</w:t>
      </w:r>
      <w:r>
        <w:rPr>
          <w:rFonts w:hint="eastAsia" w:ascii="微软雅黑" w:hAnsi="微软雅黑" w:eastAsia="微软雅黑" w:cs="宋体"/>
          <w:b w:val="0"/>
          <w:bCs w:val="0"/>
          <w:kern w:val="0"/>
          <w:sz w:val="30"/>
          <w:szCs w:val="30"/>
          <w:lang w:val="en-US" w:eastAsia="zh-CN" w:bidi="ar-SA"/>
        </w:rPr>
        <w:t>一是推进“城市大脑”体系建设。“城市大脑”是基于新一代信息技术构建的开放式智能化综合运营平台。浙江各地“城市大脑”形成了交通、平安、城管、经济、健康、环保、旅游等多领域集成综合应用平台。二是推进“浙江乡村大脑”体系建设。“浙江乡村大脑”聚焦农业高质高效、乡村宜居宜业、农民富裕富足，运用数字技术，综合集成算力、数据、算法、模型、智能模块等数字资源，搭建11153（即：1仓1图1码5库3能力）核心构架。三是打造“浙里办”“浙农”等系列多跨场景应用。“浙里办”作为广受好评的知名省级应用场景，是面向浙江广大群众企业办事的一站式总入口，从疫情防控到户籍管理，从就医挂号到教育就业，无论是民生小事还是家企大事，均可实现“掌上办、一站办”。“浙农”系列多跨场景应用于增产保供、耕地“非粮化”整治、渔业安全生产、农村集成改革等“三农”重点领域，系统谋划了包括浙农经管、浙农牧、浙农优品、浙渔安、浙里乡伴、浙农富裕、浙农码等“14+2”个场景应用，日均活跃度超过60万次。</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jc w:val="both"/>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3.聚焦强农惠农，重塑城乡融合产业体系。</w:t>
      </w:r>
      <w:r>
        <w:rPr>
          <w:rFonts w:hint="eastAsia" w:ascii="微软雅黑" w:hAnsi="微软雅黑" w:eastAsia="微软雅黑" w:cs="宋体"/>
          <w:b w:val="0"/>
          <w:bCs w:val="0"/>
          <w:kern w:val="0"/>
          <w:sz w:val="30"/>
          <w:szCs w:val="30"/>
          <w:lang w:val="en-US" w:eastAsia="zh-CN" w:bidi="ar-SA"/>
        </w:rPr>
        <w:t>一是加快发展乡村数字经济。深入推进“互联网+”农产品出村进城工程，创新“浙农优品”等应用场景，大力培育农播电商等新业态。2021年浙江农产品网络零售额高达1239亿元。二是构建产业链数字化管理系统。立足浙江农业优势产业，打造产业大脑，集成产业链、供应链和创新链，贯通生产、流通、消费、分配各环节，构建全产业链数字化管理系统，广泛应用智能大棚、肥药精准施用、农用无人机作业等数字技术。三是积极培育未来农场。引导市场主体对农场基础设施、机械装备和产业链等进行数字化改造，推进生产经营过程自动化智能化。浙江建成数字农业工厂（含数字农场、数字牧场、数字渔场）210家，未来农场10家，示范带动1200余个种养基地完成数字化改造。</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jc w:val="both"/>
        <w:textAlignment w:val="auto"/>
        <w:rPr>
          <w:rFonts w:hint="eastAsia"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bCs/>
          <w:kern w:val="0"/>
          <w:sz w:val="30"/>
          <w:szCs w:val="30"/>
          <w:lang w:val="en-US" w:eastAsia="zh-CN" w:bidi="ar-SA"/>
        </w:rPr>
        <w:t>4.聚力融通融合，贯通城乡治理服务体系。</w:t>
      </w:r>
      <w:r>
        <w:rPr>
          <w:rFonts w:hint="eastAsia" w:ascii="微软雅黑" w:hAnsi="微软雅黑" w:eastAsia="微软雅黑" w:cs="宋体"/>
          <w:b w:val="0"/>
          <w:bCs w:val="0"/>
          <w:kern w:val="0"/>
          <w:sz w:val="30"/>
          <w:szCs w:val="30"/>
          <w:lang w:val="en-US" w:eastAsia="zh-CN" w:bidi="ar-SA"/>
        </w:rPr>
        <w:t>一是大力推进乡村数字新基建。实施乡村信息基础设施提升工程，推动5G网络与物联网技术融合应用，加快生产生活基础设施数字化改造，实现信息基础城乡一体化。浙江实现全省城乡同网同速，全省光缆线路总长度 350万公里，移动电话4G基站36.0万个，5G基站超6万个，实现重点乡镇5G全覆盖，农村100M以上接入速率。二是推进乡村数字新治理。搭建省级乡村治理数字化系统，构建县乡一体基层治理“四平台”，加快推广“乡村钉”“村民说事”等数字化治理新模式，“雪亮工程”行政村覆盖率达98.3%。三是推进乡村数字新服务。浙江探索以数字化驱动公共服务智能化，迭代建设教育、医疗、养老等乡村服务的多跨场景，围绕“一统三化九场景”建设，推进“浙有善育”“浙里康养”等“浙里”系列重大应用落地乡村。</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jc w:val="both"/>
        <w:textAlignment w:val="auto"/>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二、浙江践行“八八战略”，以数字经济赋能城乡融合高质量发展的经验及启示</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八八战略”是始终引领浙江发展的总纲领、推进浙江各项工作的总方略,为浙江数字经济赋能城乡融合高质量发展奠定了理论基础，提供了思路方法，另一方面，浙江数字经济赋能城乡融合高质量发展的创新实践也极大丰富了“八八战略”的内涵。</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“八八战略”从思维方法上为浙江数字经济赋能城乡融合高质量发展提供了科学方法</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“八八战略”不仅是一个逻辑严密、系统完善、辩证统一、宏大瑰丽的思想体系，同时也是运用马克思主义立场、观点、方法分析和解决实际问题的实操典范，闪耀着马克思主义的哲学光芒。</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八八战略”为数字经济赋能城乡融合高质量发展提供辩证思维方法。“八八战略”贯穿着重点论与两点论相统一的辩证思维，强调既要处理好数字经济的数字产业化和产业数字化、新型城镇化、乡村振兴、数字乡村等，又要处理好城市与乡村、市民和农民、数字经济与城乡融合之间的辩证关系，环环相扣，辩证统一。</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八八战略”为数字经济赋能城乡融合高质量发展提供系统思维方法。习近平总书记强调，系统观念是具有基础性的思想和工作方法，必须从系统观念出发，全面协调推动各领域工作和社会主义现代化建设。“八八战略”蕴含丰富的系统思维，贯穿着统筹协调一体推进的系统思维，强调既要城乡一体，系统协调融合推进，又要信息化带动工业化，信息化带动新型农业化，城市数字化辐射带动乡村数字化；强调以数字经济催化促进城乡经济、社会、文化、生态关系全面融合。</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八八战略”为数字经济赋能城乡融合高质量发展提供创新思维方法。“八八战略”贯穿着破除陈规因时制宜的创新思维，强调抢抓发展机遇，始终站在思想的前沿、科技的尖端，大力发展数字经济，不断加强加深城乡数字化改造力度；强调创新发展思路，在理念、科技、管理、制度等各个方面破旧创新，不断拓展发展空间，助力城乡融合实现高质量跨越发展。</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浙江数字经济赋能城乡融合高质量发展的创新实践丰富了“八八战略”</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“八八战略”是开放的、不断发展着的理论和实践体系，浙江数字经济赋能城乡融合高质量发展的创新实践也丰富和拓展了“八八战略”的理论内涵和实践内容。</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浙江在践行“八八战略”，以数字经济赋能城乡融合高质量发展的二十余年创新实践中，不断探索数字经济和城乡融合的发展规律，以“八八战略”为总纲，研究出台全省数字经济发展“十四五”规划，全省数字经济促进条例、全省数字乡村建设“十四五”规划和实施方案、全省新型城镇化发展“十四五”规划、浙江省统筹城乡发展推进城乡一体化纲要等系列文件，为浙江以数字经济赋能城乡融合高质量发展提供了理论指导，也极大丰富了“八八战略”的理论内涵。二十余年来，浙江以“八八战略”为总纲，在全省范围内不断掀起数字经济赋能城乡融合高质量发展的生动实践。随着数字经济“一号工程”和“数字乡村”建设的深入推进，城市大脑、乡村大脑等多跨协同应用体系的不断完善，“浙里办”“浙农”等系列多跨应用场景的不断迭代升级，未来农场、数字农业工厂等新型基础设施的持续建设，浙江书写了数字经济与城乡融合互通互融、互促共赢的生动篇章。浙江数字经济赋能城乡融合高质量发展的探索与实践，反过来也丰富发展了“八八战略”。二十余年来，实践每推进一步，贯彻落实“八八战略”就深入一分，浙江经济社会发展就前进一大步。经过二十余年的实践历程，浙江广大人民群众越来越深刻地认识到，“八八战略”与习近平新时代中国特色社会主义思想，理论渊源一致，观点内涵契合，思维方法统一。浙江将对“八八战略”的践行、继承和发展，作为对习近平新时代中国特色社会主义思想的贯彻与落实。</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bCs/>
          <w:kern w:val="0"/>
          <w:sz w:val="30"/>
          <w:szCs w:val="30"/>
          <w:lang w:val="en-US" w:eastAsia="zh-CN" w:bidi="ar-SA"/>
        </w:rPr>
      </w:pPr>
      <w:r>
        <w:rPr>
          <w:rFonts w:hint="eastAsia" w:ascii="微软雅黑" w:hAnsi="微软雅黑" w:eastAsia="微软雅黑" w:cs="宋体"/>
          <w:b/>
          <w:bCs/>
          <w:kern w:val="0"/>
          <w:sz w:val="30"/>
          <w:szCs w:val="30"/>
          <w:lang w:val="en-US" w:eastAsia="zh-CN" w:bidi="ar-SA"/>
        </w:rPr>
        <w:t>三、</w:t>
      </w:r>
      <w:r>
        <w:rPr>
          <w:rFonts w:hint="default" w:ascii="微软雅黑" w:hAnsi="微软雅黑" w:eastAsia="微软雅黑" w:cs="宋体"/>
          <w:b/>
          <w:bCs/>
          <w:kern w:val="0"/>
          <w:sz w:val="30"/>
          <w:szCs w:val="30"/>
          <w:lang w:val="en-US" w:eastAsia="zh-CN" w:bidi="ar-SA"/>
        </w:rPr>
        <w:t>“八八战略”指引未来数字经济不断深度赋能城乡融合发展的展望与对策</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当前世界经济加速向数字经济嬗变，以ChatGPT为代表的人工智能正以前所未有的力度冲击着人们的感官和现实生活，并将不断持续深化。以数字化技术为基础的数字经济赋能城乡融合高质量发展也是浙江推进共同富裕示范区和实现中国式现代化的题中之意和必经之路，未来数字经济不断深度赋能城乡融合发展将是大势所趋。</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然而，随着数字经济的不断发展以及由此引发的社会生活各个层面的深刻变化，未来数字经济赋能城乡融合高质量发展步入深水区，面临的问题与挑战也不断加大，如如何进一步加强顶层设计，完善多跨协同机制；如何妥善解决数字经济与城乡融合发展的匹配度；如何跨越城乡数字鸿沟；如何有效解决城乡治理中的“信息孤岛”；如何打通相关的体制机制。这些都是亟待解决的问题，也是关乎浙江数字经济赋能城乡融合高质量发展能否持续健康推进，始终保持领先的关键所在。</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浙江要始终体悟“八八战略”之于浙江的极端重要性、全局引领性、长期指导性，始终坚持“八八战略”管根本管全局管长远的统领地位，顺应时代趋势，准确把握数字经济与城乡融合发展新机遇新要求，继续加强顶层设计，加大数字经济投入，完善数字基础设施，协同推进城乡产业数字化、公共服务数字化、治理数字化，强化城乡数字人才队伍建设，将数字经济赋能城乡融合高质量发展不断推向前进。</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加强顶层设计，完善政策支持，形成推进合力</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一是充分发挥省级层面工作专班牵头抓总、统筹协调作用，加强顶层设计，推动落实。在浙江省数字经济创新提质“一号发展工程”专班中，设立数字经济与城乡融合工作专班，建立“省级顶层设计+市县联动推广+主体应用落地”工作推进机制，完善跨部门、跨领域、跨层级高效协同机制。二是依据国家有关数字经济与城乡融合发展纲要，研究制订产业、财政、金融、教育、医疗等领域配套政策措施，出台一系列有关数字基础设施建设、数字产业发展、数字人才引育等激励政策。建立健全数字经济与城乡融合发展标准体系和数据规范。强化法律法规保护，推动数字经济赋能城乡融合发展纳入《浙江省数字经济促进条例》。</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协同推进城乡数字基础设施整体布局，夯实数字城乡发展底座</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一是要合理布局，推进城乡数字基础设施一体化。统一城乡网络规划、建设、服务等标准，加快乡村信息基础设施升级换代与普及覆盖，加快推进最新一代网络建设应用，推广北斗卫星导航系统和遥感技术在农业农村应用。二是加快乡村传统基础设施数字化改造。借助人工智能、大数据、云计算等新一代数字信息技术，加快推动乡村生产生活基础设施数字化改造。三是进一步推进数字“三农”协同应用平台建设。整合业务数据和信息资源，对接城市大脑、基层治理“四平台”等现有平台，完善建设数字“三农”协同应用平台，提升浙江农业农村数字化管理与服务能力。</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加快城乡产业数字化，积极培育城乡产业链数字协同发展模式</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一是要完善城乡产业协同发展平台。建立完善城乡产业协同数字平台体系，打破城乡资本壁垒，引导城市制造业与服务业的人才、技术、资本等资源下乡。加快特色小镇、农业科技示范园等工业平台的数字化运营，将工业生产需求通过工业互联网平台向农业深加工领域拓展。二是提高数字技术与乡村产业融合度。探索人工智能、云计算、区块链等前沿技术在农业领域与种植业、畜牧业、渔业生产深度融合应用，提高农业生产终端监测和数据分析能力。三是推进农村电商，强化城乡产业流通链供应链韧性。实施电子商务进农村综合示范工程，推进快递网点和电商配送行政村全覆盖，打造电商专业镇和电商专业村，提高流通效率。加快农产品销售物流体系数字化改造，构建完善农产品产供销一体化系统。</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bCs/>
          <w:i w:val="0"/>
          <w:iCs w:val="0"/>
          <w:kern w:val="0"/>
          <w:sz w:val="30"/>
          <w:szCs w:val="30"/>
          <w:lang w:val="en-US" w:eastAsia="zh-CN" w:bidi="ar-SA"/>
        </w:rPr>
      </w:pPr>
      <w:r>
        <w:rPr>
          <w:rFonts w:hint="default" w:ascii="微软雅黑" w:hAnsi="微软雅黑" w:eastAsia="微软雅黑" w:cs="宋体"/>
          <w:b/>
          <w:bCs/>
          <w:i w:val="0"/>
          <w:iCs w:val="0"/>
          <w:kern w:val="0"/>
          <w:sz w:val="30"/>
          <w:szCs w:val="30"/>
          <w:lang w:val="en-US" w:eastAsia="zh-CN" w:bidi="ar-SA"/>
        </w:rPr>
        <w:t>协同推进数字资源与基本公共服务整合</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一是建立健全基本公共服务信息平台，推进乡村数字服务应用建设。推进“互联网+”政务服务乡村延伸覆盖。以“浙里办”为载体，持续推进“掌上办”集成优化，优化政务事项要素和流程，所有农业农村系统政务许可事项100%线上受理，加快实现网上办、掌上办。二是加大农村公共事业数字化推进力度，加快城乡公共服务一体融合。加快乡村教育信息化，推进智慧校园建设，推广城乡同步课堂、校园电视台、名师网络课堂等形式，实现“互联网+义务教育”乡村学校结对帮扶全覆盖。推进农村“互联网+”医疗健康系统建设，发展远程医疗平台和互联网医院，向农村地区提供远程医疗、远程教学等服务，加快实现城乡居民基本医疗保险异地直接结算、社会保险关系网上转移接续。三是推进农村社会保障数字化。开发完善农村智慧养老管理服务应用场景，加快推动养老服务信息平台建设，大力推进线上关怀、助餐服务、上门护理等养老服务，探索成熟的可复制的乡村“智慧养老”模式。</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协同推进城乡治理数字化，构筑基层整体智治体系</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default" w:ascii="微软雅黑" w:hAnsi="微软雅黑" w:eastAsia="微软雅黑" w:cs="宋体"/>
          <w:b w:val="0"/>
          <w:bCs w:val="0"/>
          <w:kern w:val="0"/>
          <w:sz w:val="30"/>
          <w:szCs w:val="30"/>
          <w:lang w:val="en-US" w:eastAsia="zh-CN" w:bidi="ar-SA"/>
        </w:rPr>
        <w:t>一是深化推进自治法治德治智治“四治融合”。迭代升级浙江乡村大脑，探索“数字乡村一张图”、线上“村民说事”等一批数字化治理新模式，推进乡村治理“四治融合”，构建现代乡村治理体系。优化建设“基层治理四平台”系统，打造网上网下事件处置联动体系。二是建立健全精准的乡村环境监管治理体系。利用航空航天遥感、卫星导航系统等，基于全省国土空间基础信息平台，完善农村耕地、水域、农业气象、农业生物、林业、渔业等资源数据体系，推进乡村资源多规合一，强化乡村资源保护、利用和监管。创新“农民建房一件事”改革，加快实现农村住房数字化管理。</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bCs/>
          <w:kern w:val="0"/>
          <w:sz w:val="30"/>
          <w:szCs w:val="30"/>
          <w:lang w:val="en-US" w:eastAsia="zh-CN" w:bidi="ar-SA"/>
        </w:rPr>
      </w:pPr>
      <w:r>
        <w:rPr>
          <w:rFonts w:hint="default" w:ascii="微软雅黑" w:hAnsi="微软雅黑" w:eastAsia="微软雅黑" w:cs="宋体"/>
          <w:b/>
          <w:bCs/>
          <w:kern w:val="0"/>
          <w:sz w:val="30"/>
          <w:szCs w:val="30"/>
          <w:lang w:val="en-US" w:eastAsia="zh-CN" w:bidi="ar-SA"/>
        </w:rPr>
        <w:t>推进数字经济与城乡人才队伍融合，营造良好氛围</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both"/>
        <w:textAlignment w:val="auto"/>
        <w:rPr>
          <w:rFonts w:hint="default"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一是建立城乡人才信息数据库，动态监测城乡间人才流动，持续引入新农人，提升新农人队伍数字化素养水平，同时为人才下乡夯实物质基础，并加强意识形态引导和荣誉激励。二是加强乡村本土人才培养。建立健全乡村数字化人才培养机制，鼓励企业、高校、科研院所、推广站、协会、学会等通过线上线下相结合的方式对农技人员进行技能培训，打造农业、信息互融互通的人才队伍。三是积极探索数字经济和城乡融合建设典型工作方法，及时总结推广有益经验，定期开展优秀成果展示和经验交流活动。创新宣传方式，充分发挥主流媒体和重点新闻网站作用，讲好数字赋能城乡融合故事，做好网上舆情引导，为全面实施数字经济赋能城乡融合，助力实现中国式现代化凝聚共识、汇聚力量。</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jc w:val="left"/>
        <w:textAlignment w:val="auto"/>
        <w:rPr>
          <w:rFonts w:hint="eastAsia" w:ascii="微软雅黑" w:hAnsi="微软雅黑" w:eastAsia="微软雅黑" w:cs="宋体"/>
          <w:b w:val="0"/>
          <w:bCs w:val="0"/>
          <w:kern w:val="0"/>
          <w:sz w:val="30"/>
          <w:szCs w:val="30"/>
          <w:lang w:val="en-US" w:eastAsia="zh-CN" w:bidi="ar-SA"/>
        </w:rPr>
      </w:pP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default" w:ascii="微软雅黑" w:hAnsi="微软雅黑" w:eastAsia="微软雅黑" w:cs="宋体"/>
          <w:b w:val="0"/>
          <w:bCs w:val="0"/>
          <w:kern w:val="0"/>
          <w:sz w:val="30"/>
          <w:szCs w:val="30"/>
          <w:lang w:val="en-US" w:eastAsia="zh-CN" w:bidi="ar-SA"/>
        </w:rPr>
      </w:pPr>
      <w:r>
        <w:rPr>
          <w:rFonts w:hint="eastAsia" w:ascii="微软雅黑" w:hAnsi="微软雅黑" w:eastAsia="微软雅黑" w:cs="宋体"/>
          <w:b w:val="0"/>
          <w:bCs w:val="0"/>
          <w:kern w:val="0"/>
          <w:sz w:val="30"/>
          <w:szCs w:val="30"/>
          <w:lang w:val="en-US" w:eastAsia="zh-CN" w:bidi="ar-SA"/>
        </w:rPr>
        <w:t>来源：浙江省习近平新时代中国特色社会主义思想研究中心年度课题“‘八八战略’指引下浙江数字经济赋能城乡融合高质量发展的理论逻辑与实践路径研究”的阶段性成果。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DBDD4"/>
    <w:multiLevelType w:val="singleLevel"/>
    <w:tmpl w:val="DFEDBDD4"/>
    <w:lvl w:ilvl="0" w:tentative="0">
      <w:start w:val="1"/>
      <w:numFmt w:val="chineseCounting"/>
      <w:suff w:val="nothing"/>
      <w:lvlText w:val="%1、"/>
      <w:lvlJc w:val="left"/>
      <w:rPr>
        <w:rFonts w:hint="eastAsia"/>
      </w:rPr>
    </w:lvl>
  </w:abstractNum>
  <w:abstractNum w:abstractNumId="1">
    <w:nsid w:val="F096D5BE"/>
    <w:multiLevelType w:val="singleLevel"/>
    <w:tmpl w:val="F096D5BE"/>
    <w:lvl w:ilvl="0" w:tentative="0">
      <w:start w:val="1"/>
      <w:numFmt w:val="chineseCounting"/>
      <w:suff w:val="nothing"/>
      <w:lvlText w:val="（%1）"/>
      <w:lvlJc w:val="left"/>
      <w:rPr>
        <w:rFonts w:hint="eastAsia"/>
      </w:rPr>
    </w:lvl>
  </w:abstractNum>
  <w:abstractNum w:abstractNumId="2">
    <w:nsid w:val="F5FAAA9A"/>
    <w:multiLevelType w:val="singleLevel"/>
    <w:tmpl w:val="F5FAAA9A"/>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15"/>
    <w:rsid w:val="000068E4"/>
    <w:rsid w:val="00046641"/>
    <w:rsid w:val="000572C9"/>
    <w:rsid w:val="000753A3"/>
    <w:rsid w:val="000C2157"/>
    <w:rsid w:val="000C2859"/>
    <w:rsid w:val="000E65D0"/>
    <w:rsid w:val="00100065"/>
    <w:rsid w:val="001138E3"/>
    <w:rsid w:val="00141116"/>
    <w:rsid w:val="00152677"/>
    <w:rsid w:val="00154724"/>
    <w:rsid w:val="001705BC"/>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B2699"/>
    <w:rsid w:val="004E31C9"/>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527E"/>
    <w:rsid w:val="0067197B"/>
    <w:rsid w:val="006738FC"/>
    <w:rsid w:val="00676419"/>
    <w:rsid w:val="00680693"/>
    <w:rsid w:val="0068772E"/>
    <w:rsid w:val="006D2FBD"/>
    <w:rsid w:val="006F1F36"/>
    <w:rsid w:val="006F71E1"/>
    <w:rsid w:val="00707FB4"/>
    <w:rsid w:val="00713818"/>
    <w:rsid w:val="00761449"/>
    <w:rsid w:val="007649B2"/>
    <w:rsid w:val="0076541E"/>
    <w:rsid w:val="007656F8"/>
    <w:rsid w:val="00767655"/>
    <w:rsid w:val="00780071"/>
    <w:rsid w:val="007871F8"/>
    <w:rsid w:val="007E6AC9"/>
    <w:rsid w:val="00817C5F"/>
    <w:rsid w:val="00826655"/>
    <w:rsid w:val="00843D39"/>
    <w:rsid w:val="00865626"/>
    <w:rsid w:val="00876DF6"/>
    <w:rsid w:val="00876E4E"/>
    <w:rsid w:val="0088683D"/>
    <w:rsid w:val="0088750C"/>
    <w:rsid w:val="0089663B"/>
    <w:rsid w:val="008A3FA1"/>
    <w:rsid w:val="008B671F"/>
    <w:rsid w:val="008D79F7"/>
    <w:rsid w:val="008E4811"/>
    <w:rsid w:val="008E790C"/>
    <w:rsid w:val="008F5783"/>
    <w:rsid w:val="00901210"/>
    <w:rsid w:val="00910DCD"/>
    <w:rsid w:val="009112C7"/>
    <w:rsid w:val="00920397"/>
    <w:rsid w:val="00924C97"/>
    <w:rsid w:val="009274E7"/>
    <w:rsid w:val="00930F79"/>
    <w:rsid w:val="009631A6"/>
    <w:rsid w:val="009B1D9B"/>
    <w:rsid w:val="00A06AF6"/>
    <w:rsid w:val="00A11825"/>
    <w:rsid w:val="00A132D5"/>
    <w:rsid w:val="00A17E0B"/>
    <w:rsid w:val="00A2414F"/>
    <w:rsid w:val="00A3791C"/>
    <w:rsid w:val="00A45DEE"/>
    <w:rsid w:val="00A760DB"/>
    <w:rsid w:val="00A928A6"/>
    <w:rsid w:val="00AC32DE"/>
    <w:rsid w:val="00AC3D14"/>
    <w:rsid w:val="00AD7252"/>
    <w:rsid w:val="00AE32D3"/>
    <w:rsid w:val="00B00920"/>
    <w:rsid w:val="00B06062"/>
    <w:rsid w:val="00B220DE"/>
    <w:rsid w:val="00B40A29"/>
    <w:rsid w:val="00B41E01"/>
    <w:rsid w:val="00B554AE"/>
    <w:rsid w:val="00B669EB"/>
    <w:rsid w:val="00B71271"/>
    <w:rsid w:val="00B9418F"/>
    <w:rsid w:val="00BA79D4"/>
    <w:rsid w:val="00BB3299"/>
    <w:rsid w:val="00BC302B"/>
    <w:rsid w:val="00BC6995"/>
    <w:rsid w:val="00BF3C15"/>
    <w:rsid w:val="00C25666"/>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536B"/>
    <w:rsid w:val="00D352EF"/>
    <w:rsid w:val="00D44432"/>
    <w:rsid w:val="00D45ABC"/>
    <w:rsid w:val="00D5243D"/>
    <w:rsid w:val="00D5270E"/>
    <w:rsid w:val="00D80DCE"/>
    <w:rsid w:val="00D83790"/>
    <w:rsid w:val="00DE4093"/>
    <w:rsid w:val="00E02082"/>
    <w:rsid w:val="00E16C89"/>
    <w:rsid w:val="00E248BA"/>
    <w:rsid w:val="00E30CA8"/>
    <w:rsid w:val="00E34F56"/>
    <w:rsid w:val="00E36A9B"/>
    <w:rsid w:val="00E4326F"/>
    <w:rsid w:val="00E46952"/>
    <w:rsid w:val="00E51E1A"/>
    <w:rsid w:val="00E66F6F"/>
    <w:rsid w:val="00E86449"/>
    <w:rsid w:val="00E95338"/>
    <w:rsid w:val="00EA0B08"/>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39BF8916"/>
    <w:rsid w:val="3DE50914"/>
    <w:rsid w:val="5DF2721C"/>
    <w:rsid w:val="6F60649F"/>
    <w:rsid w:val="6FF7D2DE"/>
    <w:rsid w:val="76DBB9DF"/>
    <w:rsid w:val="7A9F7D70"/>
    <w:rsid w:val="7D7BEA6C"/>
    <w:rsid w:val="7F1A5229"/>
    <w:rsid w:val="7F67EC56"/>
    <w:rsid w:val="7FDF8772"/>
    <w:rsid w:val="7FFFD6BB"/>
    <w:rsid w:val="9DFE45DF"/>
    <w:rsid w:val="A6BB0CFE"/>
    <w:rsid w:val="C4E3FC7F"/>
    <w:rsid w:val="C57FF483"/>
    <w:rsid w:val="D76B5B9D"/>
    <w:rsid w:val="DE557101"/>
    <w:rsid w:val="DFDF46BB"/>
    <w:rsid w:val="E1DFBF7A"/>
    <w:rsid w:val="E3F79CC6"/>
    <w:rsid w:val="E7B1FBDB"/>
    <w:rsid w:val="E9DD41A0"/>
    <w:rsid w:val="FDDDFC91"/>
    <w:rsid w:val="FEBCB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png"/>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2189</Words>
  <Characters>12483</Characters>
  <Lines>104</Lines>
  <Paragraphs>29</Paragraphs>
  <TotalTime>302</TotalTime>
  <ScaleCrop>false</ScaleCrop>
  <LinksUpToDate>false</LinksUpToDate>
  <CharactersWithSpaces>14643</CharactersWithSpaces>
  <Application>WPS Office_11.8.2.10290_F1E327BC-269C-435d-A152-05C5408002CA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2020-07-06T09:39:00Z</dcterms:created>
  <dc:creator>admin</dc:creator>
  <lastModifiedBy>Huzhou</lastModifiedBy>
  <lastPrinted>2020-08-21T14:50:00Z</lastPrinted>
  <dcterms:modified xsi:type="dcterms:W3CDTF">2024-03-19T14:45:29Z</dcterms:modified>
  <revision>100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