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p>
      <w:pPr>
        <w:spacing w:before="32" w:line="604" w:lineRule="exact"/>
        <w:ind w:left="470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4"/>
          <w:position w:val="3"/>
          <w:sz w:val="43"/>
          <w:szCs w:val="43"/>
          <w:lang w:eastAsia="zh-CN"/>
        </w:rPr>
        <w:t>湖州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4"/>
          <w:position w:val="3"/>
          <w:sz w:val="43"/>
          <w:szCs w:val="43"/>
          <w:lang w:eastAsia="zh-CN"/>
        </w:rPr>
        <w:t>市金融办</w:t>
      </w:r>
      <w:r>
        <w:rPr>
          <w:rFonts w:ascii="宋体" w:hAnsi="宋体" w:eastAsia="宋体" w:cs="宋体"/>
          <w:b/>
          <w:bCs/>
          <w:spacing w:val="4"/>
          <w:position w:val="3"/>
          <w:sz w:val="43"/>
          <w:szCs w:val="43"/>
        </w:rPr>
        <w:t>权力事项及自由裁量基准清单</w:t>
      </w:r>
    </w:p>
    <w:p/>
    <w:tbl>
      <w:tblPr>
        <w:tblStyle w:val="7"/>
        <w:tblW w:w="160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68"/>
        <w:gridCol w:w="1213"/>
        <w:gridCol w:w="1624"/>
        <w:gridCol w:w="1187"/>
        <w:gridCol w:w="1553"/>
        <w:gridCol w:w="1677"/>
        <w:gridCol w:w="1417"/>
        <w:gridCol w:w="58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86" w:type="dxa"/>
            <w:vAlign w:val="center"/>
          </w:tcPr>
          <w:p>
            <w:pPr>
              <w:pStyle w:val="8"/>
              <w:spacing w:before="172" w:line="231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pStyle w:val="8"/>
              <w:spacing w:before="172" w:line="231" w:lineRule="auto"/>
              <w:ind w:left="2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部门</w:t>
            </w:r>
          </w:p>
        </w:tc>
        <w:tc>
          <w:tcPr>
            <w:tcW w:w="1213" w:type="dxa"/>
            <w:vAlign w:val="center"/>
          </w:tcPr>
          <w:p>
            <w:pPr>
              <w:pStyle w:val="8"/>
              <w:spacing w:before="37" w:line="234" w:lineRule="auto"/>
              <w:ind w:left="200" w:right="177" w:hanging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权力编码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（通用）</w:t>
            </w:r>
          </w:p>
        </w:tc>
        <w:tc>
          <w:tcPr>
            <w:tcW w:w="1624" w:type="dxa"/>
            <w:vAlign w:val="center"/>
          </w:tcPr>
          <w:p>
            <w:pPr>
              <w:pStyle w:val="8"/>
              <w:spacing w:before="37" w:line="230" w:lineRule="auto"/>
              <w:ind w:left="18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sz w:val="20"/>
                <w:szCs w:val="20"/>
              </w:rPr>
              <w:t>权力目录名称</w:t>
            </w:r>
          </w:p>
          <w:p>
            <w:pPr>
              <w:pStyle w:val="8"/>
              <w:spacing w:before="22" w:line="217" w:lineRule="auto"/>
              <w:ind w:left="41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（通用）</w:t>
            </w:r>
          </w:p>
        </w:tc>
        <w:tc>
          <w:tcPr>
            <w:tcW w:w="1187" w:type="dxa"/>
            <w:vAlign w:val="center"/>
          </w:tcPr>
          <w:p>
            <w:pPr>
              <w:pStyle w:val="8"/>
              <w:spacing w:before="37" w:line="234" w:lineRule="auto"/>
              <w:ind w:left="194" w:right="170" w:hanging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监管层级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（通用）</w:t>
            </w:r>
          </w:p>
        </w:tc>
        <w:tc>
          <w:tcPr>
            <w:tcW w:w="1553" w:type="dxa"/>
            <w:vAlign w:val="center"/>
          </w:tcPr>
          <w:p>
            <w:pPr>
              <w:pStyle w:val="8"/>
              <w:spacing w:before="37" w:line="234" w:lineRule="auto"/>
              <w:ind w:left="351" w:right="134" w:hanging="206"/>
              <w:jc w:val="center"/>
              <w:rPr>
                <w:b/>
                <w:bCs/>
                <w:spacing w:val="5"/>
                <w:sz w:val="20"/>
                <w:szCs w:val="20"/>
              </w:rPr>
            </w:pPr>
            <w:r>
              <w:rPr>
                <w:b/>
                <w:bCs/>
                <w:spacing w:val="5"/>
                <w:sz w:val="20"/>
                <w:szCs w:val="20"/>
              </w:rPr>
              <w:t>罚则</w:t>
            </w:r>
          </w:p>
          <w:p>
            <w:pPr>
              <w:pStyle w:val="8"/>
              <w:spacing w:before="37" w:line="234" w:lineRule="auto"/>
              <w:ind w:left="351" w:right="134" w:hanging="20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5"/>
                <w:sz w:val="20"/>
                <w:szCs w:val="20"/>
              </w:rPr>
              <w:t>（行政</w:t>
            </w:r>
            <w:r>
              <w:rPr>
                <w:b/>
                <w:bCs/>
                <w:spacing w:val="2"/>
                <w:sz w:val="20"/>
                <w:szCs w:val="20"/>
              </w:rPr>
              <w:t>处罚）</w:t>
            </w:r>
          </w:p>
        </w:tc>
        <w:tc>
          <w:tcPr>
            <w:tcW w:w="1677" w:type="dxa"/>
            <w:vAlign w:val="center"/>
          </w:tcPr>
          <w:p>
            <w:pPr>
              <w:pStyle w:val="8"/>
              <w:spacing w:before="37" w:line="234" w:lineRule="auto"/>
              <w:ind w:left="563" w:right="133" w:hanging="414"/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罚则详情</w:t>
            </w:r>
          </w:p>
          <w:p>
            <w:pPr>
              <w:pStyle w:val="8"/>
              <w:spacing w:before="37" w:line="234" w:lineRule="auto"/>
              <w:ind w:left="563" w:right="133" w:hanging="41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（行政</w:t>
            </w:r>
            <w:r>
              <w:rPr>
                <w:b/>
                <w:bCs/>
                <w:spacing w:val="2"/>
                <w:sz w:val="20"/>
                <w:szCs w:val="20"/>
              </w:rPr>
              <w:t>处罚）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37" w:line="234" w:lineRule="auto"/>
              <w:ind w:left="191"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5"/>
                <w:sz w:val="20"/>
                <w:szCs w:val="20"/>
              </w:rPr>
              <w:t>裁量依据名称</w:t>
            </w:r>
          </w:p>
        </w:tc>
        <w:tc>
          <w:tcPr>
            <w:tcW w:w="5829" w:type="dxa"/>
            <w:vAlign w:val="center"/>
          </w:tcPr>
          <w:p>
            <w:pPr>
              <w:pStyle w:val="8"/>
              <w:spacing w:before="172" w:line="22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sz w:val="20"/>
                <w:szCs w:val="20"/>
              </w:rPr>
              <w:t>行政处罚自由裁量基准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pStyle w:val="8"/>
              <w:spacing w:before="61" w:line="245" w:lineRule="auto"/>
              <w:ind w:left="116" w:right="115" w:hanging="6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湖州市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金融办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330255048000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zh-CN" w:eastAsia="zh-CN" w:bidi="ar-SA"/>
              </w:rPr>
              <w:t>(湖州)对提供虚假碳排放信息取得贷款的企业的行政处罚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市级、县级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《湖州市绿色金融促进条例》第四十二条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企业违反本条例第十八条第二款规定，向金融机构提供虚假碳排放情况并获得贷款的，金融机构可以按照约定提前收回信贷资金，市金融工作部门可以给予企业警告或者通报批评。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</w:t>
            </w: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" w:eastAsia="zh-CN" w:bidi="ar-SA"/>
              </w:rPr>
              <w:t>&lt;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湖州市绿色金融促进条例</w:t>
            </w: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" w:eastAsia="zh-CN" w:bidi="ar-SA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金融行政处罚条款及裁量基准》</w:t>
            </w:r>
          </w:p>
        </w:tc>
        <w:tc>
          <w:tcPr>
            <w:tcW w:w="5829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left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A.一般情形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的</w:t>
            </w: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：首次违反法规规范，违法行为的发生是因工作失误或其他客观原因，违法行为未造成银行贷款、信息披露等相关风险。给予企业警告。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B.严重情形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的：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有以下情节之一的，认定为情节严重：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1.两次以上违反法规规范；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2.故意实施违法行为；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3.违法行为造成银行贷款、信息披露等相关风险；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4.拒不配合碳排放信息核验、拒不实施整改。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给予企业通报批评。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586" w:type="dxa"/>
            <w:vAlign w:val="center"/>
          </w:tcPr>
          <w:p>
            <w:pPr>
              <w:pStyle w:val="8"/>
              <w:spacing w:before="62" w:line="230" w:lineRule="auto"/>
              <w:ind w:left="113" w:lef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pStyle w:val="8"/>
              <w:spacing w:before="61" w:line="245" w:lineRule="auto"/>
              <w:ind w:left="116" w:right="115" w:hanging="6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湖州市</w:t>
            </w:r>
          </w:p>
          <w:p>
            <w:pPr>
              <w:pStyle w:val="8"/>
              <w:spacing w:before="61" w:line="245" w:lineRule="auto"/>
              <w:ind w:left="116" w:right="115" w:hanging="6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金融办</w:t>
            </w:r>
          </w:p>
        </w:tc>
        <w:tc>
          <w:tcPr>
            <w:tcW w:w="1213" w:type="dxa"/>
            <w:vAlign w:val="center"/>
          </w:tcPr>
          <w:p>
            <w:pPr>
              <w:pStyle w:val="8"/>
              <w:spacing w:before="62" w:line="191" w:lineRule="auto"/>
              <w:ind w:left="109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330255041000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对违反典当行不得从事行为的</w:t>
            </w:r>
          </w:p>
        </w:tc>
        <w:tc>
          <w:tcPr>
            <w:tcW w:w="1187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市级</w:t>
            </w:r>
          </w:p>
        </w:tc>
        <w:tc>
          <w:tcPr>
            <w:tcW w:w="1553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《典当管理办法》第64条第1款</w:t>
            </w:r>
          </w:p>
        </w:tc>
        <w:tc>
          <w:tcPr>
            <w:tcW w:w="1677" w:type="dxa"/>
            <w:vAlign w:val="center"/>
          </w:tcPr>
          <w:p>
            <w:pPr>
              <w:pStyle w:val="8"/>
              <w:spacing w:before="62" w:line="230" w:lineRule="auto"/>
              <w:ind w:left="113" w:leftChar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典当行违反本办法第二十六条第（一）、（二）、（五）项，第二十八条第（四）项或者第三十四条规定的，由所在地设区的市（地）级商务主管部门责令改正，单处或者并处5000元以上3万元以下罚款。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《浙江省地方金融领域行政处罚裁量基准适用规则（试行）》</w:t>
            </w:r>
          </w:p>
        </w:tc>
        <w:tc>
          <w:tcPr>
            <w:tcW w:w="5829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A.从轻情形的：责令整改，处0.5万元以上1.25万元以下罚款；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B.一般情形的：责令整改，处1.25万元以上2.25万元以下罚款；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C.从重情形的：责令整改，处2.25万元以上3万元以下罚款。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586" w:type="dxa"/>
            <w:vAlign w:val="center"/>
          </w:tcPr>
          <w:p>
            <w:pPr>
              <w:pStyle w:val="8"/>
              <w:spacing w:before="62" w:line="230" w:lineRule="auto"/>
              <w:ind w:left="113" w:lef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湖州市</w:t>
            </w:r>
          </w:p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金融办</w:t>
            </w:r>
          </w:p>
        </w:tc>
        <w:tc>
          <w:tcPr>
            <w:tcW w:w="1213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330255034000</w:t>
            </w:r>
          </w:p>
        </w:tc>
        <w:tc>
          <w:tcPr>
            <w:tcW w:w="1624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典当行未按规定处理国家限制流通的物品和绝当物的</w:t>
            </w:r>
          </w:p>
        </w:tc>
        <w:tc>
          <w:tcPr>
            <w:tcW w:w="1187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市级</w:t>
            </w:r>
          </w:p>
        </w:tc>
        <w:tc>
          <w:tcPr>
            <w:tcW w:w="1553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《典当管理办法》第64条第2款</w:t>
            </w:r>
          </w:p>
        </w:tc>
        <w:tc>
          <w:tcPr>
            <w:tcW w:w="1677" w:type="dxa"/>
            <w:vAlign w:val="center"/>
          </w:tcPr>
          <w:p>
            <w:pPr>
              <w:pStyle w:val="8"/>
              <w:spacing w:before="62" w:line="230" w:lineRule="auto"/>
              <w:ind w:left="113" w:leftChar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典当行违反本办法第二十九条或者第四十三条第（三）、（五）项的规定，收当限制流通物或者处理绝当物未获得相应批准或者同意的，由所在地设区的市（地）级商务主管部门责令改正，并处1000元以上5000元以下罚款。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《浙江省地方金融领域行政处罚裁量基准适用规则（试行）》</w:t>
            </w:r>
          </w:p>
        </w:tc>
        <w:tc>
          <w:tcPr>
            <w:tcW w:w="5829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A.从轻情节的：责令整改，处1000元以上2200元以下罚款；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B.一般情形的：责令整改，处2200元以上3800元以下罚款；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C.从重情形的：责令整改，处3800元以上5000元以下罚款。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586" w:type="dxa"/>
            <w:vAlign w:val="center"/>
          </w:tcPr>
          <w:p>
            <w:pPr>
              <w:pStyle w:val="8"/>
              <w:spacing w:before="62" w:line="230" w:lineRule="auto"/>
              <w:ind w:left="113" w:lef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68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湖州市</w:t>
            </w:r>
          </w:p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金融办</w:t>
            </w:r>
          </w:p>
        </w:tc>
        <w:tc>
          <w:tcPr>
            <w:tcW w:w="1213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330255039000</w:t>
            </w:r>
          </w:p>
        </w:tc>
        <w:tc>
          <w:tcPr>
            <w:tcW w:w="1624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典当行违反资产管理和注册资本管理相关规定的</w:t>
            </w:r>
          </w:p>
        </w:tc>
        <w:tc>
          <w:tcPr>
            <w:tcW w:w="1187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市级</w:t>
            </w:r>
          </w:p>
        </w:tc>
        <w:tc>
          <w:tcPr>
            <w:tcW w:w="1553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《典当管理办法》第64条第3款</w:t>
            </w:r>
          </w:p>
        </w:tc>
        <w:tc>
          <w:tcPr>
            <w:tcW w:w="1677" w:type="dxa"/>
            <w:vAlign w:val="center"/>
          </w:tcPr>
          <w:p>
            <w:pPr>
              <w:pStyle w:val="8"/>
              <w:spacing w:before="62" w:line="230" w:lineRule="auto"/>
              <w:ind w:left="113" w:leftChar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典当行违反本办法第四十四条第（三）、（四）项规定，资本不实，扰乱经营秩序的，由所在地设区的市（地）级商务主管部门责令限期补足或者减少注册资本，并处以5000元以上3万元以下罚款。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《浙江省地方金融领域行政处罚裁量基准适用规则（试行）》</w:t>
            </w:r>
          </w:p>
        </w:tc>
        <w:tc>
          <w:tcPr>
            <w:tcW w:w="5829" w:type="dxa"/>
            <w:vAlign w:val="center"/>
          </w:tcPr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A.从轻情节的：责令限期补足或者减少注册资本，并处以0.5万元以上1.25万元以下罚款；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B.一般情形的：责令限期补足或者减少注册资本，并处以1.25万元以上2.25万元以下罚款；</w:t>
            </w:r>
          </w:p>
          <w:p>
            <w:pPr>
              <w:pStyle w:val="8"/>
              <w:spacing w:before="62" w:line="230" w:lineRule="auto"/>
              <w:ind w:left="113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C.从重情形的：责令限期补足或者减少注册资本，并处以2.25万元以上3万元以下罚款。</w:t>
            </w:r>
          </w:p>
        </w:tc>
      </w:tr>
    </w:tbl>
    <w:p>
      <w:pPr>
        <w:pStyle w:val="8"/>
        <w:spacing w:before="62" w:line="230" w:lineRule="auto"/>
        <w:ind w:left="113"/>
        <w:jc w:val="left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highlight w:val="yellow"/>
          <w:lang w:val="en-US" w:eastAsia="zh-CN" w:bidi="ar-SA"/>
        </w:rPr>
      </w:pPr>
    </w:p>
    <w:sectPr>
      <w:pgSz w:w="16839" w:h="11905"/>
      <w:pgMar w:top="1011" w:right="358" w:bottom="0" w:left="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74D81CE1"/>
    <w:rsid w:val="EB7FE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160" w:lineRule="exact"/>
      <w:ind w:left="0" w:leftChars="0" w:firstLine="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qFormat/>
    <w:uiPriority w:val="0"/>
    <w:rPr>
      <w:rFonts w:ascii="SimHei" w:hAnsi="SimHei" w:eastAsia="SimHei" w:cs="SimHei"/>
      <w:sz w:val="19"/>
      <w:szCs w:val="19"/>
      <w:lang w:val="en-US" w:eastAsia="en-US" w:bidi="ar-SA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notes" Target="footnotes.xml"/>
  <Relationship Id="rId4" Type="http://schemas.openxmlformats.org/officeDocument/2006/relationships/endnotes" Target="endnotes.xml"/>
  <Relationship Id="rId5" Type="http://schemas.openxmlformats.org/officeDocument/2006/relationships/theme" Target="theme/theme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1124</Words>
  <Characters>1244</Characters>
  <Paragraphs>75</Paragraphs>
  <TotalTime>2</TotalTime>
  <ScaleCrop>false</ScaleCrop>
  <LinksUpToDate>false</LinksUpToDate>
  <CharactersWithSpaces>1246</CharactersWithSpaces>
  <Application>WPS Office_11.8.2.1130_F1E327BC-269C-435d-A152-05C5408002CA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2024-03-22T07:07:00Z</dcterms:created>
  <dc:creator>Huzhou</dc:creator>
  <lastModifiedBy>Huzhou</lastModifiedBy>
  <lastPrinted>2024-03-23T23:30:00Z</lastPrinted>
  <dcterms:modified xsi:type="dcterms:W3CDTF">2024-03-25T15:29:00Z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2024-03-22T14:31:16Z</vt:filetime>
  </property>
  <property fmtid="{D5CDD505-2E9C-101B-9397-08002B2CF9AE}" pid="4" name="KSOProductBuildVer">
    <vt:lpwstr>2052-11.8.2.1130</vt:lpwstr>
  </property>
  <property fmtid="{D5CDD505-2E9C-101B-9397-08002B2CF9AE}" pid="5" name="ICV">
    <vt:lpwstr>89ED2B477C807D82E83BFD65F838C91E</vt:lpwstr>
  </property>
</Properties>
</file>