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德清县地理信息小镇中心学校</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二、2024年德清县地理信息小镇中心学校单位预算安排情况说明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（一）关于德清县地理信息小镇中心学校2024年收支预算情况的总体说明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（二）关于德清县地理信息小镇中心学校2024年收入预算情况说明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（三）关于德清县地理信息小镇中心学校2024年支出预算情况说明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（四）关于德清县地理信息小镇中心学校2024年财政拨款收支预算情况的总体说明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（五）关于德清县地理信息小镇中心学校2024年一般公共预算拨款情况说明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（六）关于德清县地理信息小镇中心学校2024年一般公共预算基本支出情况说明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（七）关于德清县地理信息小镇中心学校2024年政府性基金预算支出情况说明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（八）关于德清县地理信息小镇中心学校2024年国有资本经营预算支出情况说明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（九）关于德清县地理信息小镇中心学校2024年一般公共预算“三公”经费预算情况说明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四、2024年德清县地理信息小镇中心学校单位预算表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27" w:firstLineChars="196"/>
        <w:rPr>
          <w:rFonts w:ascii="仿宋_GB2312" w:eastAsia="仿宋_GB2312"/>
          <w:bCs/>
          <w:sz w:val="32"/>
          <w:szCs w:val="32"/>
        </w:rPr>
      </w:pPr>
      <w:r>
        <w:rPr>
          <w:rFonts w:hint="eastAsia" w:ascii="仿宋_GB2312" w:eastAsia="仿宋_GB2312"/>
          <w:bCs/>
          <w:sz w:val="32"/>
          <w:szCs w:val="32"/>
        </w:rPr>
        <w:t>1. 实施小学、初中义务教育，促进基础教育发展。</w:t>
      </w:r>
    </w:p>
    <w:p>
      <w:pPr>
        <w:spacing w:line="520" w:lineRule="exact"/>
        <w:ind w:firstLine="627" w:firstLineChars="196"/>
        <w:rPr>
          <w:rFonts w:ascii="仿宋_GB2312" w:eastAsia="仿宋_GB2312"/>
          <w:bCs/>
          <w:sz w:val="32"/>
          <w:szCs w:val="32"/>
        </w:rPr>
      </w:pPr>
      <w:r>
        <w:rPr>
          <w:rFonts w:hint="eastAsia" w:ascii="仿宋_GB2312" w:eastAsia="仿宋_GB2312"/>
          <w:bCs/>
          <w:sz w:val="32"/>
          <w:szCs w:val="32"/>
        </w:rPr>
        <w:t>2. 小学、初中学历教育。</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_GB2312" w:eastAsia="仿宋_GB2312"/>
          <w:bCs/>
          <w:sz w:val="32"/>
          <w:szCs w:val="32"/>
        </w:rPr>
        <w:t>从预算单位构成看，</w:t>
      </w:r>
      <w:r>
        <w:rPr>
          <w:rFonts w:hint="eastAsia" w:ascii="仿宋_GB2312" w:eastAsia="仿宋_GB2312"/>
          <w:bCs/>
          <w:sz w:val="32"/>
          <w:szCs w:val="32"/>
          <w:lang w:val="en-US" w:eastAsia="zh-CN"/>
        </w:rPr>
        <w:t>德清县地理信息小镇中心学校</w:t>
      </w:r>
      <w:r>
        <w:rPr>
          <w:rFonts w:hint="eastAsia" w:ascii="仿宋_GB2312" w:eastAsia="仿宋_GB2312"/>
          <w:bCs/>
          <w:sz w:val="32"/>
          <w:szCs w:val="32"/>
        </w:rPr>
        <w:t>预算包括：</w:t>
      </w:r>
      <w:r>
        <w:rPr>
          <w:rFonts w:hint="eastAsia" w:ascii="仿宋_GB2312" w:eastAsia="仿宋_GB2312"/>
          <w:bCs/>
          <w:sz w:val="32"/>
          <w:szCs w:val="32"/>
          <w:lang w:val="en-US" w:eastAsia="zh-CN"/>
        </w:rPr>
        <w:t>本</w:t>
      </w:r>
      <w:r>
        <w:rPr>
          <w:rFonts w:hint="eastAsia" w:ascii="仿宋_GB2312" w:eastAsia="仿宋_GB2312"/>
          <w:bCs/>
          <w:sz w:val="32"/>
          <w:szCs w:val="32"/>
        </w:rPr>
        <w:t>单位预算。</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二、2024年德清县地理信息小镇中心学校单位预算安排情况说明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（一）关于德清县地理信息小镇中心学校</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综合预算的原则，德清县地理信息小镇中心学校</w:t>
      </w:r>
      <w:r>
        <w:rPr>
          <w:rFonts w:hint="eastAsia" w:ascii="仿宋_GB2312" w:eastAsia="仿宋_GB2312"/>
          <w:color w:val="000000"/>
          <w:sz w:val="32"/>
          <w:szCs w:val="32"/>
        </w:rPr>
        <w:t>所有收入和支出均纳入部门预算管理。收入包括：一般公共预算拨款收入、财政专户管理资金收入、其他收入</w:t>
      </w:r>
      <w:r>
        <w:rPr>
          <w:rFonts w:hint="eastAsia" w:ascii="仿宋_GB2312" w:eastAsia="仿宋_GB2312"/>
          <w:color w:val="000000"/>
          <w:sz w:val="32"/>
          <w:szCs w:val="32"/>
          <w:lang w:eastAsia="zh-CN"/>
        </w:rPr>
        <w:t>；</w:t>
      </w:r>
      <w:r>
        <w:rPr>
          <w:rFonts w:hint="eastAsia" w:ascii="仿宋_GB2312" w:eastAsia="仿宋_GB2312"/>
          <w:color w:val="000000"/>
          <w:sz w:val="32"/>
          <w:szCs w:val="32"/>
        </w:rPr>
        <w:t>支出包括：教育支出、社会保障和就业支出、卫生健康支出。德清县地理信息小镇中心学校2024年收支总预算2417.33万元。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（二）关于德清县地理信息小镇中心学校2024年收入预算情况说明</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highlight w:val="none"/>
        </w:rPr>
        <w:t>德清县地理信息小镇中心学校2024年收入预算2417.33万元，比上年执行数增加</w:t>
      </w:r>
      <w:r>
        <w:rPr>
          <w:rFonts w:hint="eastAsia" w:ascii="仿宋_GB2312" w:hAnsi="仿宋_GB2312" w:eastAsia="仿宋_GB2312" w:cs="仿宋_GB2312"/>
          <w:color w:val="000000"/>
          <w:sz w:val="32"/>
          <w:szCs w:val="32"/>
          <w:highlight w:val="none"/>
          <w:lang w:val="en-US" w:eastAsia="zh-CN"/>
        </w:rPr>
        <w:t>307.02</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w:t>
      </w:r>
      <w:r>
        <w:rPr>
          <w:rFonts w:hint="eastAsia" w:ascii="仿宋_GB2312" w:hAnsi="仿宋_GB2312" w:eastAsia="仿宋_GB2312" w:cs="仿宋_GB2312"/>
          <w:color w:val="000000"/>
          <w:sz w:val="32"/>
          <w:szCs w:val="32"/>
          <w:highlight w:val="none"/>
        </w:rPr>
        <w:t>长</w:t>
      </w:r>
      <w:r>
        <w:rPr>
          <w:rFonts w:hint="eastAsia" w:ascii="仿宋_GB2312" w:hAnsi="仿宋_GB2312" w:eastAsia="仿宋_GB2312" w:cs="仿宋_GB2312"/>
          <w:color w:val="000000"/>
          <w:sz w:val="32"/>
          <w:szCs w:val="32"/>
          <w:highlight w:val="none"/>
          <w:lang w:val="en-US" w:eastAsia="zh-CN"/>
        </w:rPr>
        <w:t>14.6</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 w:hAnsi="仿宋" w:eastAsia="仿宋" w:cs="Arial"/>
          <w:sz w:val="32"/>
          <w:szCs w:val="32"/>
          <w:lang w:eastAsia="zh-CN"/>
        </w:rPr>
        <w:t>教师人员调整和工资调整、学生人数调整、控制各项经费支出</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2253.99</w:t>
      </w:r>
      <w:r>
        <w:rPr>
          <w:rFonts w:hint="eastAsia" w:ascii="仿宋_GB2312" w:eastAsia="仿宋_GB2312"/>
          <w:color w:val="000000"/>
          <w:sz w:val="32"/>
          <w:szCs w:val="32"/>
        </w:rPr>
        <w:t>万元（上年结转0.00万元），占93.2%；专户资金162.17万元，占6.7%；其他收入1.17万元，占0.0%。</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（三）关于德清县地理信息小镇中心学校2024年支出预算情况说明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highlight w:val="none"/>
        </w:rPr>
        <w:t>　</w:t>
      </w:r>
      <w:r>
        <w:rPr>
          <w:rFonts w:hint="eastAsia" w:ascii="仿宋_GB2312" w:hAnsi="仿宋_GB2312" w:eastAsia="仿宋_GB2312" w:cs="仿宋_GB2312"/>
          <w:color w:val="000000"/>
          <w:sz w:val="32"/>
          <w:szCs w:val="32"/>
          <w:highlight w:val="none"/>
        </w:rPr>
        <w:t>　德清县地理信息小镇中心学校2024年支出预算2417.33万元，比上年执行数增加</w:t>
      </w:r>
      <w:r>
        <w:rPr>
          <w:rFonts w:hint="eastAsia" w:ascii="仿宋_GB2312" w:hAnsi="仿宋_GB2312" w:eastAsia="仿宋_GB2312" w:cs="仿宋_GB2312"/>
          <w:color w:val="000000"/>
          <w:sz w:val="32"/>
          <w:szCs w:val="32"/>
          <w:highlight w:val="none"/>
          <w:lang w:val="en-US" w:eastAsia="zh-CN"/>
        </w:rPr>
        <w:t>308.19</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14.6</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 w:hAnsi="仿宋" w:eastAsia="仿宋" w:cs="Arial"/>
          <w:sz w:val="32"/>
          <w:szCs w:val="32"/>
          <w:highlight w:val="none"/>
          <w:lang w:eastAsia="zh-CN"/>
        </w:rPr>
        <w:t>教师人员调整和工资调整、学生人数调整</w:t>
      </w:r>
      <w:r>
        <w:rPr>
          <w:rFonts w:hint="eastAsia" w:ascii="仿宋_GB2312" w:hAnsi="仿宋_GB2312" w:eastAsia="仿宋_GB2312" w:cs="仿宋_GB2312"/>
          <w:color w:val="000000"/>
          <w:sz w:val="32"/>
          <w:szCs w:val="32"/>
          <w:highlight w:val="none"/>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1.按支出功能分类，包括教育支出2127.59万元、社会保障和就业支出170.23万元、卫生健康支出119.50万元。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2.按支出用途分类，包括人员支出2038.38万元，占84.3%；日常公用支出215.22万元，占8.9%；项目支出163.73万元，占6.8%。</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（四）关于德清县地理信息小镇中心学校2024年财政拨款收支预算情况的总体说明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德清县地理信息小镇中心学校2024年财政拨款收支总预算2253.99万元。收入包括：一般公共预算2253.99万元；支出包括：教育支出1964.25万元、社会保障和就业支出170.23万元、卫生健康支出119.50万元。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关于德清县地理信息小镇中心学校2024年一般公共预算拨款情况说明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德清县地理信息小镇中心学校2024年一般公共预算拨款</w:t>
      </w:r>
      <w:r>
        <w:rPr>
          <w:rFonts w:hint="eastAsia" w:ascii="仿宋_GB2312" w:hAnsi="仿宋_GB2312" w:eastAsia="仿宋_GB2312" w:cs="仿宋_GB2312"/>
          <w:bCs/>
          <w:color w:val="000000"/>
          <w:sz w:val="32"/>
          <w:szCs w:val="32"/>
          <w:highlight w:val="none"/>
        </w:rPr>
        <w:t>2253.99</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336.10</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szCs w:val="32"/>
          <w:highlight w:val="none"/>
          <w:lang w:val="en-US" w:eastAsia="zh-CN"/>
        </w:rPr>
        <w:t>17.5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 w:hAnsi="仿宋" w:eastAsia="仿宋" w:cs="Arial"/>
          <w:sz w:val="32"/>
          <w:szCs w:val="32"/>
          <w:highlight w:val="none"/>
          <w:lang w:eastAsia="zh-CN"/>
        </w:rPr>
        <w:t>教师人员调整和工资调整、学生人数调整</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color w:val="000000"/>
          <w:sz w:val="32"/>
          <w:szCs w:val="32"/>
        </w:rPr>
        <w:t>教育支出1964.25万元，占87.1%</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社会保障和就业支出170.23万元，占7.6%；卫生健康支出119.50万元，占5.3%</w:t>
      </w:r>
      <w:r>
        <w:rPr>
          <w:rFonts w:hint="eastAsia" w:ascii="仿宋_GB2312" w:hAnsi="仿宋_GB2312" w:eastAsia="仿宋_GB2312" w:cs="仿宋_GB2312"/>
          <w:color w:val="000000"/>
          <w:sz w:val="32"/>
          <w:szCs w:val="32"/>
          <w:lang w:eastAsia="zh-CN"/>
        </w:rPr>
        <w:t>。</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firstLineChars="200"/>
        <w:rPr>
          <w:rFonts w:hint="eastAsia" w:ascii="仿宋_GB2312" w:hAnsi="楷体_GB2312" w:eastAsia="仿宋_GB2312" w:cs="楷体_GB2312"/>
          <w:sz w:val="32"/>
          <w:szCs w:val="32"/>
        </w:rPr>
      </w:pPr>
      <w:r>
        <w:rPr>
          <w:rFonts w:hint="eastAsia" w:ascii="仿宋_GB2312" w:eastAsia="仿宋_GB2312"/>
          <w:color w:val="000000"/>
          <w:sz w:val="32"/>
          <w:szCs w:val="32"/>
        </w:rPr>
        <w:t>（1）</w:t>
      </w:r>
      <w:r>
        <w:rPr>
          <w:rFonts w:hint="eastAsia" w:ascii="仿宋_GB2312" w:hAnsi="楷体_GB2312" w:eastAsia="仿宋_GB2312" w:cs="楷体_GB2312"/>
          <w:sz w:val="32"/>
          <w:szCs w:val="32"/>
        </w:rPr>
        <w:t>教育支出(类)普通教育(款)小学教育(项)</w:t>
      </w:r>
      <w:r>
        <w:rPr>
          <w:rFonts w:hint="eastAsia" w:ascii="仿宋_GB2312" w:hAnsi="楷体_GB2312" w:eastAsia="仿宋_GB2312" w:cs="楷体_GB2312"/>
          <w:sz w:val="32"/>
          <w:szCs w:val="32"/>
          <w:lang w:val="en-US" w:eastAsia="zh-CN"/>
        </w:rPr>
        <w:t>1108.09</w:t>
      </w:r>
      <w:r>
        <w:rPr>
          <w:rFonts w:hint="eastAsia" w:ascii="仿宋_GB2312" w:hAnsi="楷体_GB2312" w:eastAsia="仿宋_GB2312" w:cs="楷体_GB2312"/>
          <w:sz w:val="32"/>
          <w:szCs w:val="32"/>
        </w:rPr>
        <w:t>万元，主要用于所属学校小学教育的支出。</w:t>
      </w:r>
    </w:p>
    <w:p>
      <w:pPr>
        <w:spacing w:line="520" w:lineRule="exact"/>
        <w:ind w:firstLine="627" w:firstLineChars="196"/>
        <w:rPr>
          <w:rFonts w:hint="eastAsia" w:ascii="仿宋_GB2312" w:hAnsi="楷体_GB2312" w:eastAsia="仿宋_GB2312" w:cs="楷体_GB2312"/>
          <w:sz w:val="32"/>
          <w:szCs w:val="32"/>
        </w:rPr>
      </w:pPr>
      <w:r>
        <w:rPr>
          <w:rFonts w:hint="eastAsia" w:ascii="仿宋_GB2312" w:eastAsia="仿宋_GB2312"/>
          <w:color w:val="000000"/>
          <w:sz w:val="32"/>
          <w:szCs w:val="32"/>
        </w:rPr>
        <w:t>（2）</w:t>
      </w:r>
      <w:r>
        <w:rPr>
          <w:rFonts w:hint="eastAsia" w:ascii="仿宋_GB2312" w:hAnsi="楷体_GB2312" w:eastAsia="仿宋_GB2312" w:cs="楷体_GB2312"/>
          <w:sz w:val="32"/>
          <w:szCs w:val="32"/>
        </w:rPr>
        <w:t>教育支出(类)普通教育(款)初中教育(项)</w:t>
      </w:r>
      <w:r>
        <w:rPr>
          <w:rFonts w:hint="eastAsia" w:ascii="仿宋_GB2312" w:hAnsi="楷体_GB2312" w:eastAsia="仿宋_GB2312" w:cs="楷体_GB2312"/>
          <w:sz w:val="32"/>
          <w:szCs w:val="32"/>
          <w:lang w:val="en-US" w:eastAsia="zh-CN"/>
        </w:rPr>
        <w:t>856.16</w:t>
      </w:r>
      <w:r>
        <w:rPr>
          <w:rFonts w:hint="eastAsia" w:ascii="仿宋_GB2312" w:hAnsi="楷体_GB2312" w:eastAsia="仿宋_GB2312" w:cs="楷体_GB2312"/>
          <w:sz w:val="32"/>
          <w:szCs w:val="32"/>
        </w:rPr>
        <w:t>万元，主要用于所属学校小学教育的支出。</w:t>
      </w:r>
    </w:p>
    <w:p>
      <w:pPr>
        <w:spacing w:line="520" w:lineRule="exact"/>
        <w:ind w:firstLine="627" w:firstLineChars="196"/>
        <w:rPr>
          <w:rFonts w:hint="eastAsia" w:ascii="仿宋_GB2312" w:hAnsi="楷体_GB2312" w:eastAsia="仿宋_GB2312" w:cs="楷体_GB2312"/>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w:t>
      </w:r>
      <w:r>
        <w:rPr>
          <w:rFonts w:hint="eastAsia" w:ascii="仿宋" w:hAnsi="仿宋" w:eastAsia="仿宋" w:cs="Arial"/>
          <w:sz w:val="32"/>
          <w:szCs w:val="32"/>
        </w:rPr>
        <w:t>社会保障和就业支出（类）行政事业单位养老支出（款）事业单位离退休（项）</w:t>
      </w:r>
      <w:r>
        <w:rPr>
          <w:rFonts w:hint="eastAsia" w:ascii="仿宋_GB2312" w:eastAsia="仿宋_GB2312"/>
          <w:color w:val="000000"/>
          <w:sz w:val="32"/>
          <w:szCs w:val="32"/>
          <w:lang w:val="en-US" w:eastAsia="zh-CN"/>
        </w:rPr>
        <w:t>17.16</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离退休干部职工退休福利费支出。</w:t>
      </w:r>
    </w:p>
    <w:p>
      <w:pPr>
        <w:spacing w:line="520" w:lineRule="exact"/>
        <w:ind w:firstLine="627" w:firstLineChars="196"/>
        <w:rPr>
          <w:rFonts w:hint="eastAsia" w:ascii="仿宋_GB2312" w:hAnsi="楷体_GB2312" w:eastAsia="仿宋_GB2312" w:cs="楷体_GB2312"/>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w:t>
      </w:r>
      <w:r>
        <w:rPr>
          <w:rFonts w:hint="eastAsia" w:ascii="仿宋_GB2312" w:hAnsi="楷体_GB2312" w:eastAsia="仿宋_GB2312" w:cs="楷体_GB2312"/>
          <w:sz w:val="32"/>
          <w:szCs w:val="32"/>
        </w:rPr>
        <w:t>社会保障和就业支出(类) 行政事业单位养老支出(款)机关事业单位基本养老金保险缴费支出(项)</w:t>
      </w:r>
      <w:r>
        <w:rPr>
          <w:rFonts w:hint="eastAsia" w:ascii="仿宋_GB2312" w:hAnsi="楷体_GB2312" w:eastAsia="仿宋_GB2312" w:cs="楷体_GB2312"/>
          <w:sz w:val="32"/>
          <w:szCs w:val="32"/>
          <w:lang w:val="en-US" w:eastAsia="zh-CN"/>
        </w:rPr>
        <w:t>102.05</w:t>
      </w:r>
      <w:r>
        <w:rPr>
          <w:rFonts w:hint="eastAsia" w:ascii="仿宋_GB2312" w:hAnsi="楷体_GB2312" w:eastAsia="仿宋_GB2312" w:cs="楷体_GB2312"/>
          <w:sz w:val="32"/>
          <w:szCs w:val="32"/>
        </w:rPr>
        <w:t>万元，主要用于机关事业单位实施养老保险制度由单位缴纳的基本养老保险费的支出。</w:t>
      </w:r>
    </w:p>
    <w:p>
      <w:pPr>
        <w:spacing w:line="520" w:lineRule="exact"/>
        <w:ind w:firstLine="409" w:firstLineChars="195"/>
        <w:rPr>
          <w:rFonts w:hint="eastAsia" w:ascii="仿宋_GB2312" w:hAnsi="楷体_GB2312" w:eastAsia="仿宋_GB2312" w:cs="楷体_GB2312"/>
          <w:sz w:val="32"/>
          <w:szCs w:val="32"/>
        </w:rPr>
      </w:pPr>
      <w:r>
        <w:t xml:space="preserve">  </w:t>
      </w:r>
      <w:r>
        <w:rPr>
          <w:rFonts w:hint="eastAsia" w:ascii="仿宋_GB2312" w:eastAsia="仿宋_GB2312"/>
          <w:color w:val="000000"/>
          <w:sz w:val="32"/>
          <w:szCs w:val="32"/>
        </w:rPr>
        <w:t>（</w:t>
      </w:r>
      <w:r>
        <w:rPr>
          <w:rFonts w:hint="eastAsia" w:eastAsia="仿宋_GB2312"/>
          <w:sz w:val="32"/>
          <w:szCs w:val="32"/>
          <w:lang w:val="en-US" w:eastAsia="zh-CN"/>
        </w:rPr>
        <w:t>5</w:t>
      </w:r>
      <w:r>
        <w:rPr>
          <w:rFonts w:hint="eastAsia" w:ascii="仿宋_GB2312" w:eastAsia="仿宋_GB2312"/>
          <w:color w:val="000000"/>
          <w:sz w:val="32"/>
          <w:szCs w:val="32"/>
        </w:rPr>
        <w:t>）</w:t>
      </w:r>
      <w:r>
        <w:rPr>
          <w:rFonts w:hint="eastAsia" w:ascii="仿宋_GB2312" w:hAnsi="楷体_GB2312" w:eastAsia="仿宋_GB2312" w:cs="楷体_GB2312"/>
          <w:sz w:val="32"/>
          <w:szCs w:val="32"/>
        </w:rPr>
        <w:t>社会保障和就业支出(类) 行政事业单位养老支出(款)机关事业单位职业年金缴费支出(项)</w:t>
      </w:r>
      <w:r>
        <w:rPr>
          <w:rFonts w:hint="eastAsia" w:ascii="仿宋_GB2312" w:hAnsi="楷体_GB2312" w:eastAsia="仿宋_GB2312" w:cs="楷体_GB2312"/>
          <w:sz w:val="32"/>
          <w:szCs w:val="32"/>
          <w:lang w:val="en-US" w:eastAsia="zh-CN"/>
        </w:rPr>
        <w:t>51.03</w:t>
      </w:r>
      <w:r>
        <w:rPr>
          <w:rFonts w:hint="eastAsia" w:ascii="仿宋_GB2312" w:hAnsi="楷体_GB2312" w:eastAsia="仿宋_GB2312" w:cs="楷体_GB2312"/>
          <w:sz w:val="32"/>
          <w:szCs w:val="32"/>
        </w:rPr>
        <w:t>万元，主要用于机关事业单位实施养老保险制度由单位实际缴纳的职业年金支出。</w:t>
      </w:r>
    </w:p>
    <w:p>
      <w:pPr>
        <w:pStyle w:val="2"/>
        <w:ind w:firstLine="640" w:firstLineChars="200"/>
      </w:pPr>
      <w:r>
        <w:rPr>
          <w:sz w:val="32"/>
          <w:szCs w:val="32"/>
        </w:rPr>
        <w:t>（</w:t>
      </w:r>
      <w:r>
        <w:rPr>
          <w:rFonts w:hint="eastAsia"/>
          <w:sz w:val="32"/>
          <w:szCs w:val="32"/>
          <w:lang w:val="en-US" w:eastAsia="zh-CN"/>
        </w:rPr>
        <w:t>6</w:t>
      </w:r>
      <w:r>
        <w:rPr>
          <w:sz w:val="32"/>
          <w:szCs w:val="32"/>
        </w:rPr>
        <w:t>）</w:t>
      </w:r>
      <w:r>
        <w:rPr>
          <w:rFonts w:hAnsi="楷体_GB2312" w:cs="楷体_GB2312"/>
          <w:sz w:val="32"/>
          <w:szCs w:val="32"/>
        </w:rPr>
        <w:t>卫生健康支出(类)行政事业单位医疗（款）事业单位医疗(项)</w:t>
      </w:r>
      <w:r>
        <w:rPr>
          <w:rFonts w:hint="eastAsia" w:hAnsi="楷体_GB2312" w:cs="楷体_GB2312"/>
          <w:sz w:val="32"/>
          <w:szCs w:val="32"/>
          <w:lang w:val="en-US" w:eastAsia="zh-CN"/>
        </w:rPr>
        <w:t>119.5</w:t>
      </w:r>
      <w:r>
        <w:rPr>
          <w:rFonts w:hAnsi="楷体_GB2312" w:cs="楷体_GB2312"/>
          <w:sz w:val="32"/>
          <w:szCs w:val="32"/>
        </w:rPr>
        <w:t>万元，主要用于反映财政部门集中安排的事业单位基本医疗保险缴费经费，未参加医疗保险的事业单位的公费医疗经费，按国家规定享受离休人员待遇的医疗经费。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（六）关于德清县地理信息小镇中心学校2024年一般公共预算基本支出情况说明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德清县地理信息小镇中心学校2024年一般公共预算基本支出2095.42万元，其中：</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人员经费1880.21万元，主要包括：基本工资、津贴补贴、奖金、</w:t>
      </w:r>
      <w:r>
        <w:rPr>
          <w:rFonts w:hint="eastAsia" w:ascii="仿宋_GB2312" w:eastAsia="仿宋_GB2312"/>
          <w:color w:val="000000"/>
          <w:sz w:val="32"/>
          <w:szCs w:val="32"/>
          <w:lang w:val="en-US" w:eastAsia="zh-CN"/>
        </w:rPr>
        <w:t>伙食补助费、</w:t>
      </w:r>
      <w:r>
        <w:rPr>
          <w:rFonts w:hint="eastAsia" w:ascii="仿宋_GB2312" w:eastAsia="仿宋_GB2312"/>
          <w:color w:val="000000"/>
          <w:sz w:val="32"/>
          <w:szCs w:val="32"/>
        </w:rPr>
        <w:t>绩效工资、机关事业单位基本养老保险缴费、职业年金缴费、职工基本医疗保险缴费、公务员医疗补助缴费、其他社会保障缴费、住房公积金、其他工资福利支出、退休费、其他对个人和家庭的补助</w:t>
      </w:r>
      <w:r>
        <w:rPr>
          <w:rFonts w:hint="eastAsia" w:ascii="仿宋_GB2312" w:eastAsia="仿宋_GB2312"/>
          <w:color w:val="000000"/>
          <w:sz w:val="32"/>
          <w:szCs w:val="32"/>
          <w:lang w:eastAsia="zh-CN"/>
        </w:rPr>
        <w:t>；</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公用经费215.22万元，主要包括：办公费、印刷费、水费、电费、邮电费、物业管理费、差旅费、维修（护）费、租赁费、培训费、公务接待费、专用材料费、劳务费、工会经费、其他交通费用、其他商品和服务支出、办公设备购置</w:t>
      </w:r>
      <w:r>
        <w:rPr>
          <w:rFonts w:hint="eastAsia" w:ascii="仿宋_GB2312" w:eastAsia="仿宋_GB2312"/>
          <w:color w:val="000000"/>
          <w:sz w:val="32"/>
          <w:szCs w:val="32"/>
          <w:lang w:eastAsia="zh-CN"/>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（七）关于德清县地理信息小镇中心学校2024年政府性基金预算支出情况说明</w:t>
      </w:r>
    </w:p>
    <w:p>
      <w:pPr>
        <w:ind w:firstLine="640" w:firstLineChars="200"/>
        <w:rPr>
          <w:rFonts w:hint="eastAsia" w:eastAsia="仿宋_GB2312"/>
          <w:lang w:eastAsia="zh-CN"/>
        </w:rPr>
      </w:pPr>
      <w:r>
        <w:rPr>
          <w:rFonts w:hint="eastAsia" w:ascii="仿宋_GB2312" w:hAnsi="仿宋_GB2312" w:eastAsia="仿宋_GB2312" w:cs="仿宋_GB2312"/>
          <w:color w:val="000000"/>
          <w:sz w:val="32"/>
          <w:szCs w:val="32"/>
        </w:rPr>
        <w:t>德清县地理信息小镇中心学校2024年没有使用政府性基金预算拨款安排的支出</w:t>
      </w:r>
      <w:r>
        <w:rPr>
          <w:rFonts w:hint="eastAsia" w:ascii="仿宋_GB2312" w:eastAsia="仿宋_GB2312"/>
          <w:color w:val="000000"/>
          <w:sz w:val="32"/>
          <w:szCs w:val="32"/>
        </w:rPr>
        <w:t>，与上年持平</w:t>
      </w:r>
      <w:r>
        <w:rPr>
          <w:rFonts w:hint="eastAsia" w:ascii="仿宋_GB2312" w:eastAsia="仿宋_GB2312"/>
          <w:color w:val="000000"/>
          <w:sz w:val="32"/>
          <w:szCs w:val="32"/>
          <w:lang w:eastAsia="zh-CN"/>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德清县地理信息小镇中心学校</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40" w:firstLineChars="200"/>
        <w:rPr>
          <w:rFonts w:hint="eastAsia" w:eastAsia="仿宋_GB2312"/>
          <w:b/>
          <w:sz w:val="20"/>
          <w:highlight w:val="none"/>
          <w:lang w:eastAsia="zh-CN"/>
        </w:rPr>
      </w:pPr>
      <w:r>
        <w:rPr>
          <w:rFonts w:hint="eastAsia" w:ascii="仿宋_GB2312" w:hAnsi="仿宋_GB2312" w:eastAsia="仿宋_GB2312" w:cs="仿宋_GB2312"/>
          <w:color w:val="000000"/>
          <w:sz w:val="32"/>
          <w:szCs w:val="32"/>
          <w:highlight w:val="none"/>
        </w:rPr>
        <w:t>德清县地理信息小镇中心学校2024年没有使用国有资本经营预算拨款安排的支出，与上年持平</w:t>
      </w:r>
      <w:r>
        <w:rPr>
          <w:rFonts w:hint="eastAsia" w:ascii="仿宋_GB2312" w:hAnsi="仿宋_GB2312" w:eastAsia="仿宋_GB2312" w:cs="仿宋_GB2312"/>
          <w:color w:val="000000"/>
          <w:sz w:val="32"/>
          <w:szCs w:val="32"/>
          <w:highlight w:val="none"/>
          <w:lang w:eastAsia="zh-CN"/>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（九）关于德清县地理信息小镇中心学校2024年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德清县地理信息小镇中心学校2024年“三公”经费预算数为0.90万元，</w:t>
      </w:r>
      <w:r>
        <w:rPr>
          <w:rFonts w:hint="eastAsia" w:ascii="仿宋_GB2312" w:hAnsi="仿宋_GB2312" w:eastAsia="仿宋_GB2312"/>
          <w:sz w:val="32"/>
          <w:shd w:val="clear" w:color="auto" w:fill="FFFFFF"/>
        </w:rPr>
        <w:t>比上年预算数</w:t>
      </w:r>
      <w:r>
        <w:rPr>
          <w:rFonts w:hint="eastAsia" w:ascii="仿宋_GB2312" w:hAnsi="仿宋_GB2312" w:eastAsia="仿宋_GB2312"/>
          <w:sz w:val="32"/>
          <w:shd w:val="clear" w:color="auto" w:fill="FFFFFF"/>
          <w:lang w:val="en-US" w:eastAsia="zh-CN"/>
        </w:rPr>
        <w:t>0.10</w:t>
      </w:r>
      <w:r>
        <w:rPr>
          <w:rFonts w:hint="eastAsia" w:ascii="仿宋_GB2312" w:hAnsi="仿宋_GB2312" w:eastAsia="仿宋_GB2312"/>
          <w:sz w:val="32"/>
          <w:shd w:val="clear" w:color="auto" w:fill="FFFFFF"/>
        </w:rPr>
        <w:t xml:space="preserve">万元，下降 </w:t>
      </w:r>
      <w:r>
        <w:rPr>
          <w:rFonts w:hint="eastAsia" w:ascii="仿宋_GB2312" w:hAnsi="仿宋_GB2312" w:eastAsia="仿宋_GB2312"/>
          <w:sz w:val="32"/>
          <w:shd w:val="clear" w:color="auto" w:fill="FFFFFF"/>
          <w:lang w:val="en-US" w:eastAsia="zh-CN"/>
        </w:rPr>
        <w:t>10.0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根据因公出国计划和实际工作需要，2024年安排因公出国（境）费用预算0.00万元，</w:t>
      </w:r>
      <w:r>
        <w:rPr>
          <w:rFonts w:hint="eastAsia" w:ascii="仿宋_GB2312" w:hAnsi="仿宋_GB2312" w:eastAsia="仿宋_GB2312" w:cs="仿宋_GB2312"/>
          <w:sz w:val="32"/>
          <w:szCs w:val="32"/>
          <w:lang w:val="en-US" w:eastAsia="zh-CN"/>
        </w:rPr>
        <w:t>与上年持平</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2.公务接待费：2024年安排公务接待费预算0.90万元，比上年预算数</w:t>
      </w:r>
      <w:r>
        <w:rPr>
          <w:rFonts w:hint="eastAsia" w:ascii="仿宋_GB2312" w:hAnsi="仿宋_GB2312" w:eastAsia="仿宋_GB2312"/>
          <w:sz w:val="32"/>
          <w:shd w:val="clear" w:color="auto" w:fill="FFFFFF"/>
        </w:rPr>
        <w:t>减少</w:t>
      </w:r>
      <w:r>
        <w:rPr>
          <w:rFonts w:hint="eastAsia" w:ascii="仿宋_GB2312" w:hAnsi="仿宋_GB2312" w:eastAsia="仿宋_GB2312"/>
          <w:sz w:val="32"/>
          <w:shd w:val="clear" w:color="auto" w:fill="FFFFFF"/>
          <w:lang w:val="en-US" w:eastAsia="zh-CN"/>
        </w:rPr>
        <w:t>0.10</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%。主要用于接待</w:t>
      </w:r>
      <w:r>
        <w:rPr>
          <w:rFonts w:hint="eastAsia" w:ascii="仿宋_GB2312" w:eastAsia="仿宋_GB2312"/>
          <w:kern w:val="0"/>
          <w:sz w:val="32"/>
          <w:szCs w:val="32"/>
        </w:rPr>
        <w:t>上级及兄弟学校等来校进行重大政策调研、指导、交流等接待支出。</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根据上年支出情况，减少预算，</w:t>
      </w:r>
      <w:r>
        <w:rPr>
          <w:rFonts w:hint="eastAsia" w:ascii="仿宋_GB2312" w:eastAsia="仿宋_GB2312"/>
          <w:kern w:val="0"/>
          <w:sz w:val="32"/>
          <w:szCs w:val="32"/>
        </w:rPr>
        <w:t>我们始终按照“过紧日子”和坚持厉行节约反对浪费的要求，大力压减公务接待支出</w:t>
      </w:r>
      <w:r>
        <w:rPr>
          <w:rFonts w:hint="eastAsia" w:ascii="仿宋_GB2312" w:hAnsi="仿宋_GB2312" w:eastAsia="仿宋_GB2312" w:cs="仿宋_GB2312"/>
          <w:sz w:val="32"/>
          <w:szCs w:val="32"/>
        </w:rPr>
        <w:t>。</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eastAsia="仿宋_GB2312"/>
          <w:sz w:val="32"/>
          <w:szCs w:val="32"/>
          <w:lang w:val="en-US" w:eastAsia="zh-CN"/>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eastAsia="仿宋_GB2312"/>
          <w:sz w:val="32"/>
          <w:szCs w:val="32"/>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eastAsia="仿宋_GB2312"/>
          <w:sz w:val="32"/>
          <w:szCs w:val="32"/>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2024年德清县地理信息小镇中心学校</w:t>
      </w:r>
      <w:r>
        <w:rPr>
          <w:rFonts w:hint="eastAsia" w:ascii="仿宋_GB2312" w:eastAsia="仿宋_GB2312"/>
          <w:color w:val="000000"/>
          <w:sz w:val="32"/>
          <w:szCs w:val="32"/>
        </w:rPr>
        <w:t>各单位政府采购预算总额</w:t>
      </w:r>
      <w:r>
        <w:rPr>
          <w:rFonts w:ascii="仿宋_GB2312" w:eastAsia="仿宋_GB2312"/>
          <w:color w:val="000000"/>
          <w:sz w:val="32"/>
          <w:szCs w:val="32"/>
        </w:rPr>
        <w:t>122.61</w:t>
      </w:r>
      <w:r>
        <w:rPr>
          <w:rFonts w:hint="eastAsia" w:ascii="仿宋_GB2312" w:eastAsia="仿宋_GB2312"/>
          <w:color w:val="000000"/>
          <w:sz w:val="32"/>
          <w:szCs w:val="32"/>
        </w:rPr>
        <w:t>万元，其中：政府采购货物预算87.73万元、政府采购工程预算0.00万元、政府采购服务预算</w:t>
      </w:r>
      <w:r>
        <w:rPr>
          <w:rFonts w:ascii="仿宋_GB2312" w:eastAsia="仿宋_GB2312"/>
          <w:color w:val="000000"/>
          <w:sz w:val="32"/>
          <w:szCs w:val="32"/>
        </w:rPr>
        <w:t>34.88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截至2023年12月31日，所属各预算单位共有车辆</w:t>
      </w:r>
      <w:r>
        <w:rPr>
          <w:rFonts w:hint="eastAsia" w:ascii="仿宋_GB2312" w:hAnsi="仿宋_GB2312" w:eastAsia="仿宋_GB2312" w:cs="仿宋_GB2312"/>
          <w:sz w:val="32"/>
          <w:szCs w:val="32"/>
        </w:rPr>
        <w:t>X</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2024年部门预算安排购置车辆</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辆。2024年部门预算安排购置单位价值50万元以上通用设备</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台（套）。</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2024年德清县地理信息小镇中心学校其他运转类项目和特定目标类项目均实行绩效目标管理，共计1个一级项目，涉及当年资金163.73万元。同时，将按照相关制度规定开展绩效自评。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eastAsia="仿宋_GB2312"/>
          <w:bCs/>
          <w:color w:val="000000"/>
          <w:sz w:val="32"/>
          <w:szCs w:val="32"/>
        </w:rPr>
        <w:t>事业单位离退休：指事业单位开支的离退休经费。</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eastAsia="仿宋_GB2312"/>
          <w:bCs/>
          <w:color w:val="000000"/>
          <w:sz w:val="32"/>
          <w:szCs w:val="32"/>
        </w:rPr>
        <w:t>机关事业单位基本养老保险缴费支出：指机关事业单位实施养老保险制度由单位缴纳的基本养老保险费支出。</w:t>
      </w:r>
    </w:p>
    <w:p>
      <w:pPr>
        <w:spacing w:line="520" w:lineRule="exact"/>
        <w:ind w:firstLine="640" w:firstLineChars="200"/>
        <w:rPr>
          <w:rFonts w:hint="eastAsia" w:ascii="仿宋_GB2312" w:eastAsia="仿宋_GB2312"/>
          <w:bCs/>
          <w:color w:val="000000"/>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eastAsia="仿宋_GB2312"/>
          <w:bCs/>
          <w:color w:val="000000"/>
          <w:sz w:val="32"/>
          <w:szCs w:val="32"/>
        </w:rPr>
        <w:t>机关事业单位职业年金缴费支出：指机关事业单位实施养老保险制度由单位实际缴纳的职业年金支出。</w:t>
      </w:r>
    </w:p>
    <w:p>
      <w:pPr>
        <w:pStyle w:val="2"/>
        <w:ind w:firstLine="640"/>
        <w:rPr>
          <w:rFonts w:hint="eastAsia" w:ascii="仿宋_GB2312" w:eastAsia="仿宋_GB2312"/>
          <w:bCs/>
          <w:color w:val="000000"/>
          <w:sz w:val="32"/>
          <w:szCs w:val="32"/>
        </w:rPr>
      </w:pPr>
      <w:r>
        <w:rPr>
          <w:rFonts w:hint="eastAsia"/>
          <w:bCs/>
          <w:color w:val="000000"/>
          <w:sz w:val="32"/>
          <w:szCs w:val="32"/>
          <w:lang w:val="en-US" w:eastAsia="zh-CN"/>
        </w:rPr>
        <w:t>14.</w:t>
      </w:r>
      <w:r>
        <w:rPr>
          <w:rFonts w:hint="eastAsia" w:ascii="仿宋_GB2312" w:eastAsia="仿宋_GB2312"/>
          <w:bCs/>
          <w:color w:val="000000"/>
          <w:sz w:val="32"/>
          <w:szCs w:val="32"/>
        </w:rPr>
        <w:t>事业单位医疗：反映财政部门安排的事业单位基本医疗保险缴费经费，未参加医疗保险的事业单位的公费医疗经费，按国家规定享受离休人员待遇的医疗经费。</w:t>
      </w:r>
    </w:p>
    <w:p>
      <w:pPr>
        <w:spacing w:line="276" w:lineRule="auto"/>
        <w:ind w:firstLine="640" w:firstLineChars="200"/>
        <w:rPr>
          <w:rFonts w:ascii="仿宋_GB2312" w:eastAsia="仿宋_GB2312"/>
          <w:bCs/>
          <w:color w:val="000000"/>
          <w:sz w:val="32"/>
          <w:szCs w:val="32"/>
        </w:rPr>
      </w:pPr>
      <w:r>
        <w:rPr>
          <w:rFonts w:hint="eastAsia" w:ascii="仿宋_GB2312" w:hAnsi="仿宋_GB2312" w:eastAsia="仿宋_GB2312" w:cs="Times New Roman"/>
          <w:bCs/>
          <w:color w:val="000000"/>
          <w:kern w:val="0"/>
          <w:sz w:val="32"/>
          <w:szCs w:val="32"/>
          <w:lang w:val="en-US" w:eastAsia="zh-CN" w:bidi="ar-SA"/>
        </w:rPr>
        <w:t>15.</w:t>
      </w:r>
      <w:r>
        <w:rPr>
          <w:rFonts w:hint="eastAsia" w:ascii="仿宋_GB2312" w:eastAsia="仿宋_GB2312"/>
          <w:bCs/>
          <w:color w:val="000000"/>
          <w:sz w:val="32"/>
          <w:szCs w:val="32"/>
        </w:rPr>
        <w:t>公务员医疗补助：指财政部门安排的公务员医疗补助经费。</w:t>
      </w:r>
    </w:p>
    <w:p>
      <w:pPr>
        <w:pStyle w:val="2"/>
        <w:ind w:firstLine="640" w:firstLineChars="200"/>
        <w:rPr>
          <w:sz w:val="32"/>
          <w:szCs w:val="32"/>
        </w:rPr>
      </w:pPr>
      <w:r>
        <w:rPr>
          <w:rFonts w:hint="eastAsia" w:cs="Times New Roman"/>
          <w:bCs/>
          <w:color w:val="000000"/>
          <w:kern w:val="0"/>
          <w:sz w:val="32"/>
          <w:szCs w:val="32"/>
          <w:lang w:val="en-US" w:eastAsia="zh-CN" w:bidi="ar-SA"/>
        </w:rPr>
        <w:t>16.</w:t>
      </w:r>
      <w:r>
        <w:rPr>
          <w:sz w:val="32"/>
          <w:szCs w:val="32"/>
        </w:rPr>
        <w:t>教育支出(类)普通教育(款)小学教育(项)，主要用于各部门举办小学教育的支出。</w:t>
      </w:r>
    </w:p>
    <w:p>
      <w:pPr>
        <w:pStyle w:val="2"/>
        <w:ind w:firstLine="640" w:firstLineChars="200"/>
        <w:rPr>
          <w:sz w:val="32"/>
          <w:szCs w:val="32"/>
        </w:rPr>
      </w:pPr>
      <w:r>
        <w:rPr>
          <w:rFonts w:hint="eastAsia"/>
          <w:sz w:val="32"/>
          <w:szCs w:val="32"/>
          <w:lang w:val="en-US" w:eastAsia="zh-CN"/>
        </w:rPr>
        <w:t>17.</w:t>
      </w:r>
      <w:r>
        <w:rPr>
          <w:sz w:val="32"/>
          <w:szCs w:val="32"/>
        </w:rPr>
        <w:t>教育支出(类)普通教育(款)初中教育(项)，主要用于各部门举办初中教育的支出。</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四、2024年德清县地理信息小镇中心学校单位预算表</w:t>
      </w:r>
    </w:p>
    <w:p>
      <w:pPr>
        <w:pStyle w:val="2"/>
        <w:ind w:firstLine="640" w:firstLineChars="200"/>
        <w:rPr>
          <w:sz w:val="32"/>
          <w:szCs w:val="32"/>
        </w:rPr>
        <w:sectPr>
          <w:footerReference r:id="rId3" w:type="default"/>
          <w:pgSz w:w="11906" w:h="16838"/>
          <w:pgMar w:top="2098" w:right="1474" w:bottom="1985" w:left="1588" w:header="1474" w:footer="1588" w:gutter="0"/>
          <w:cols w:space="720" w:num="1"/>
          <w:titlePg/>
          <w:docGrid w:linePitch="602" w:charSpace="0"/>
        </w:sectPr>
      </w:pPr>
    </w:p>
    <w:tbl>
      <w:tblPr>
        <w:tblStyle w:val="6"/>
        <w:tblpPr w:leftFromText="180" w:rightFromText="180" w:vertAnchor="text" w:horzAnchor="page" w:tblpXSpec="center" w:tblpY="606"/>
        <w:tblOverlap w:val="never"/>
        <w:tblW w:w="131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83"/>
        <w:gridCol w:w="2738"/>
        <w:gridCol w:w="5753"/>
        <w:gridCol w:w="15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jc w:val="center"/>
        </w:trPr>
        <w:tc>
          <w:tcPr>
            <w:tcW w:w="3083" w:type="dxa"/>
            <w:tcBorders>
              <w:top w:val="nil"/>
              <w:left w:val="nil"/>
              <w:bottom w:val="nil"/>
              <w:right w:val="nil"/>
            </w:tcBorders>
            <w:shd w:val="clear" w:color="auto" w:fill="auto"/>
            <w:noWrap/>
            <w:vAlign w:val="bottom"/>
          </w:tcPr>
          <w:p>
            <w:pPr>
              <w:jc w:val="center"/>
              <w:rPr>
                <w:rFonts w:hint="eastAsia" w:ascii="Calibri" w:hAnsi="Calibri" w:cs="Calibri"/>
                <w:i w:val="0"/>
                <w:iCs w:val="0"/>
                <w:color w:val="000000"/>
                <w:sz w:val="22"/>
                <w:szCs w:val="22"/>
                <w:u w:val="none"/>
              </w:rPr>
            </w:pPr>
          </w:p>
        </w:tc>
        <w:tc>
          <w:tcPr>
            <w:tcW w:w="2738"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5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64"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jc w:val="center"/>
        </w:trPr>
        <w:tc>
          <w:tcPr>
            <w:tcW w:w="30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738"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5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64"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jc w:val="center"/>
        </w:trPr>
        <w:tc>
          <w:tcPr>
            <w:tcW w:w="13138"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4" w:hRule="atLeast"/>
          <w:jc w:val="center"/>
        </w:trPr>
        <w:tc>
          <w:tcPr>
            <w:tcW w:w="308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2738"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5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64"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58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731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2253.99</w:t>
            </w: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2127.59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2253.99</w:t>
            </w: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2127.59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162.17</w:t>
            </w: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r>
    </w:tbl>
    <w:p>
      <w:pPr>
        <w:pStyle w:val="2"/>
        <w:keepNext w:val="0"/>
        <w:keepLines w:val="0"/>
        <w:pageBreakBefore w:val="0"/>
        <w:widowControl w:val="0"/>
        <w:kinsoku/>
        <w:wordWrap/>
        <w:overflowPunct/>
        <w:topLinePunct w:val="0"/>
        <w:autoSpaceDE w:val="0"/>
        <w:autoSpaceDN w:val="0"/>
        <w:bidi w:val="0"/>
        <w:adjustRightInd w:val="0"/>
        <w:snapToGrid/>
        <w:textAlignment w:val="auto"/>
        <w:rPr>
          <w:rFonts w:hint="default" w:ascii="仿宋_GB2312" w:eastAsia="仿宋_GB2312"/>
          <w:bCs/>
          <w:color w:val="000000"/>
          <w:sz w:val="32"/>
          <w:szCs w:val="32"/>
          <w:lang w:val="en-US" w:eastAsia="zh-CN"/>
        </w:rPr>
      </w:pPr>
    </w:p>
    <w:tbl>
      <w:tblPr>
        <w:tblStyle w:val="6"/>
        <w:tblW w:w="163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916"/>
        <w:gridCol w:w="916"/>
        <w:gridCol w:w="916"/>
        <w:gridCol w:w="482"/>
        <w:gridCol w:w="483"/>
        <w:gridCol w:w="816"/>
        <w:gridCol w:w="483"/>
        <w:gridCol w:w="483"/>
        <w:gridCol w:w="483"/>
        <w:gridCol w:w="803"/>
        <w:gridCol w:w="803"/>
        <w:gridCol w:w="803"/>
        <w:gridCol w:w="803"/>
        <w:gridCol w:w="803"/>
        <w:gridCol w:w="803"/>
        <w:gridCol w:w="803"/>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35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03"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16"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5" w:hRule="atLeast"/>
          <w:jc w:val="center"/>
        </w:trPr>
        <w:tc>
          <w:tcPr>
            <w:tcW w:w="16331"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35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9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80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216"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351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6668"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523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4" w:hRule="atLeast"/>
          <w:jc w:val="center"/>
        </w:trPr>
        <w:tc>
          <w:tcPr>
            <w:tcW w:w="3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1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8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8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8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0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80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80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2417.33</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2417.33</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2253.99</w:t>
            </w:r>
          </w:p>
        </w:tc>
        <w:tc>
          <w:tcPr>
            <w:tcW w:w="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162.17</w:t>
            </w: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2417.33</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2417.33</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2253.99</w:t>
            </w:r>
          </w:p>
        </w:tc>
        <w:tc>
          <w:tcPr>
            <w:tcW w:w="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162.17</w:t>
            </w: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德清县地理信息小镇中心学校</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2417.33</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2417.33</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2253.99</w:t>
            </w:r>
          </w:p>
        </w:tc>
        <w:tc>
          <w:tcPr>
            <w:tcW w:w="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162.17</w:t>
            </w: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spacing w:line="520" w:lineRule="exact"/>
        <w:jc w:val="center"/>
      </w:pPr>
    </w:p>
    <w:p/>
    <w:p>
      <w:pPr>
        <w:pStyle w:val="2"/>
      </w:pPr>
    </w:p>
    <w:p>
      <w:pPr>
        <w:pStyle w:val="2"/>
      </w:pPr>
    </w:p>
    <w:p>
      <w:pPr>
        <w:pStyle w:val="2"/>
      </w:pPr>
    </w:p>
    <w:tbl>
      <w:tblPr>
        <w:tblStyle w:val="6"/>
        <w:tblW w:w="1459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3816"/>
        <w:gridCol w:w="970"/>
        <w:gridCol w:w="970"/>
        <w:gridCol w:w="884"/>
        <w:gridCol w:w="1490"/>
        <w:gridCol w:w="916"/>
        <w:gridCol w:w="916"/>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49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916"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16"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16"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4594"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38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49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16"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16"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16"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9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8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2417.33</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2038.38</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215.22</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163.73</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2127.59</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1748.64</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215.22</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163.73</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2127.59</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1748.64</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215.22</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163.73</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2050202</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1217.14</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1213.41</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3.74</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2050203</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910.45</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535.23</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215.22</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102.05</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102.05</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jc w:val="center"/>
      </w:pPr>
    </w:p>
    <w:p>
      <w:pPr>
        <w:pStyle w:val="2"/>
      </w:pPr>
    </w:p>
    <w:p>
      <w:pPr>
        <w:pStyle w:val="2"/>
      </w:pPr>
    </w:p>
    <w:p>
      <w:pPr>
        <w:pStyle w:val="2"/>
      </w:pPr>
    </w:p>
    <w:tbl>
      <w:tblPr>
        <w:tblStyle w:val="6"/>
        <w:tblW w:w="141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2955"/>
        <w:gridCol w:w="6208"/>
        <w:gridCol w:w="14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3516"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95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08"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99"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35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08"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9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jc w:val="center"/>
        </w:trPr>
        <w:tc>
          <w:tcPr>
            <w:tcW w:w="14178"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35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29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62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499"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jc w:val="center"/>
        </w:trPr>
        <w:tc>
          <w:tcPr>
            <w:tcW w:w="64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770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2253.99</w:t>
            </w: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2253.99</w:t>
            </w: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1108.09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r>
    </w:tbl>
    <w:p>
      <w:pPr>
        <w:pStyle w:val="2"/>
        <w:jc w:val="center"/>
      </w:pPr>
    </w:p>
    <w:tbl>
      <w:tblPr>
        <w:tblStyle w:val="6"/>
        <w:tblW w:w="128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2959"/>
        <w:gridCol w:w="1258"/>
        <w:gridCol w:w="1258"/>
        <w:gridCol w:w="1258"/>
        <w:gridCol w:w="1233"/>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5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59"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5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5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3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36"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818"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2959"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25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5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5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3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36"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2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37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95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5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2253.99</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2095.42</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1880.21</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215.22</w:t>
            </w: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1964.25</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1805.68</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1590.47</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215.22</w:t>
            </w: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1964.25</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1805.68</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1590.47</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215.22</w:t>
            </w: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2050202</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1108.09</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1104.35</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1104.35</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2050203</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856.16</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701.33</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486.11</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215.22</w:t>
            </w: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170.23</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102.05</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102.05</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102.05</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29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125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119.50</w:t>
            </w:r>
          </w:p>
        </w:tc>
        <w:tc>
          <w:tcPr>
            <w:tcW w:w="1233"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jc w:val="center"/>
      </w:pPr>
    </w:p>
    <w:p>
      <w:pPr>
        <w:pStyle w:val="2"/>
      </w:pPr>
    </w:p>
    <w:p>
      <w:pPr>
        <w:pStyle w:val="2"/>
      </w:pPr>
    </w:p>
    <w:tbl>
      <w:tblPr>
        <w:tblStyle w:val="6"/>
        <w:tblW w:w="1335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3706"/>
        <w:gridCol w:w="2171"/>
        <w:gridCol w:w="1959"/>
        <w:gridCol w:w="2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0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71"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95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3357"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3706"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171"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95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6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2095.42</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1880.21</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1839.25</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1839.25</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311.80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311.80</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0.37</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0.37</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488.40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488.40</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59.23</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59.23</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347.20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347.20</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102.05</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102.05</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53.58</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53.58</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65.93</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65.93</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8.90</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174.85</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174.85</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175.92</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175.92</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215.04</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12.84</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17.58</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30217</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公务接待费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43.72</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40.96</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40.96</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23.80</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23.80</w:t>
            </w: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31002</w:t>
            </w:r>
          </w:p>
        </w:tc>
        <w:tc>
          <w:tcPr>
            <w:tcW w:w="370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办公设备购置</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36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16"/>
        <w:gridCol w:w="1470"/>
        <w:gridCol w:w="1470"/>
        <w:gridCol w:w="1470"/>
        <w:gridCol w:w="1470"/>
        <w:gridCol w:w="147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13636"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147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7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7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7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7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441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德清县地理信息小镇中心学校</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8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14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3870"/>
        <w:gridCol w:w="2468"/>
        <w:gridCol w:w="2468"/>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516"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387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6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6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603"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925"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38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46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6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60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75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8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46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6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spacing w:line="560" w:lineRule="exact"/>
        <w:rPr>
          <w:rFonts w:asciiTheme="majorEastAsia" w:hAnsiTheme="majorEastAsia" w:eastAsiaTheme="majorEastAsia"/>
          <w:b w:val="0"/>
          <w:bCs/>
          <w:sz w:val="28"/>
          <w:szCs w:val="28"/>
          <w:u w:val="none"/>
        </w:rPr>
      </w:pPr>
      <w:r>
        <w:rPr>
          <w:rFonts w:hint="eastAsia" w:asciiTheme="majorEastAsia" w:hAnsiTheme="majorEastAsia" w:eastAsiaTheme="majorEastAsia"/>
          <w:b w:val="0"/>
          <w:bCs/>
          <w:sz w:val="28"/>
          <w:szCs w:val="28"/>
          <w:u w:val="none"/>
          <w:lang w:val="en-US" w:eastAsia="zh-CN"/>
        </w:rPr>
        <w:t>德清县地理信息小镇中心学校</w:t>
      </w:r>
      <w:r>
        <w:rPr>
          <w:rFonts w:hint="eastAsia" w:asciiTheme="majorEastAsia" w:hAnsiTheme="majorEastAsia" w:eastAsiaTheme="majorEastAsia"/>
          <w:b w:val="0"/>
          <w:bCs/>
          <w:sz w:val="28"/>
          <w:szCs w:val="28"/>
          <w:u w:val="none"/>
        </w:rPr>
        <w:t>当年</w:t>
      </w:r>
      <w:r>
        <w:rPr>
          <w:rFonts w:hint="eastAsia" w:ascii="宋体" w:hAnsi="宋体"/>
          <w:b w:val="0"/>
          <w:bCs/>
          <w:sz w:val="28"/>
          <w:szCs w:val="28"/>
          <w:u w:val="none"/>
        </w:rPr>
        <w:t>没有政府性基金拨款安排的支出，故本表无数据。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532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6795"/>
        <w:gridCol w:w="5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51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67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01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5321"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35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6795" w:type="dxa"/>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01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51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67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50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5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7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6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jc w:val="both"/>
        <w:rPr>
          <w:rFonts w:hint="eastAsia" w:ascii="宋体" w:hAnsi="宋体"/>
          <w:b w:val="0"/>
          <w:bCs/>
          <w:sz w:val="28"/>
          <w:szCs w:val="28"/>
          <w:u w:val="none"/>
        </w:rPr>
      </w:pPr>
      <w:r>
        <w:rPr>
          <w:rFonts w:hint="eastAsia" w:asciiTheme="majorEastAsia" w:hAnsiTheme="majorEastAsia" w:eastAsiaTheme="majorEastAsia"/>
          <w:b w:val="0"/>
          <w:bCs/>
          <w:sz w:val="28"/>
          <w:szCs w:val="28"/>
          <w:u w:val="none"/>
          <w:lang w:val="en-US" w:eastAsia="zh-CN"/>
        </w:rPr>
        <w:t>德清县地理信息小镇中心学校</w:t>
      </w:r>
      <w:r>
        <w:rPr>
          <w:rFonts w:hint="eastAsia" w:asciiTheme="majorEastAsia" w:hAnsiTheme="majorEastAsia" w:eastAsiaTheme="majorEastAsia"/>
          <w:b w:val="0"/>
          <w:bCs/>
          <w:sz w:val="28"/>
          <w:szCs w:val="28"/>
          <w:u w:val="none"/>
        </w:rPr>
        <w:t>当年</w:t>
      </w:r>
      <w:r>
        <w:rPr>
          <w:rFonts w:hint="eastAsia" w:ascii="宋体" w:hAnsi="宋体"/>
          <w:b w:val="0"/>
          <w:bCs/>
          <w:sz w:val="28"/>
          <w:szCs w:val="28"/>
          <w:u w:val="none"/>
        </w:rPr>
        <w:t>没有国有资本经营预算安排的支出，故本表无数据</w:t>
      </w:r>
    </w:p>
    <w:p>
      <w:pPr>
        <w:pStyle w:val="2"/>
        <w:jc w:val="both"/>
        <w:rPr>
          <w:rFonts w:hint="eastAsia" w:ascii="宋体" w:hAnsi="宋体"/>
          <w:b w:val="0"/>
          <w:bCs/>
          <w:sz w:val="28"/>
          <w:szCs w:val="28"/>
          <w:u w:val="none"/>
        </w:rPr>
      </w:pPr>
    </w:p>
    <w:p>
      <w:pPr>
        <w:pStyle w:val="2"/>
        <w:jc w:val="both"/>
        <w:rPr>
          <w:rFonts w:hint="eastAsia" w:ascii="宋体" w:hAnsi="宋体"/>
          <w:b w:val="0"/>
          <w:bCs/>
          <w:sz w:val="28"/>
          <w:szCs w:val="28"/>
          <w:u w:val="none"/>
        </w:rPr>
      </w:pPr>
    </w:p>
    <w:p>
      <w:pPr>
        <w:pStyle w:val="2"/>
        <w:jc w:val="both"/>
        <w:rPr>
          <w:rFonts w:hint="eastAsia" w:ascii="宋体" w:hAnsi="宋体"/>
          <w:b w:val="0"/>
          <w:bCs/>
          <w:sz w:val="28"/>
          <w:szCs w:val="28"/>
          <w:u w:val="none"/>
        </w:rPr>
      </w:pPr>
    </w:p>
    <w:tbl>
      <w:tblPr>
        <w:tblStyle w:val="6"/>
        <w:tblW w:w="162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45"/>
        <w:gridCol w:w="3525"/>
        <w:gridCol w:w="1665"/>
        <w:gridCol w:w="1755"/>
        <w:gridCol w:w="1335"/>
        <w:gridCol w:w="1335"/>
        <w:gridCol w:w="1335"/>
        <w:gridCol w:w="13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394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352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6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7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623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394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352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66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7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3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3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3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5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163.73</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158.56</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德清县地理信息小镇中心学校</w:t>
            </w:r>
          </w:p>
        </w:tc>
        <w:tc>
          <w:tcPr>
            <w:tcW w:w="35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义务教育管理与服务</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163.73</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158.56</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r>
    </w:tbl>
    <w:p>
      <w:pPr>
        <w:pStyle w:val="2"/>
        <w:jc w:val="center"/>
        <w:rPr>
          <w:rFonts w:hint="eastAsia" w:ascii="宋体" w:hAnsi="宋体"/>
          <w:b w:val="0"/>
          <w:bCs/>
          <w:sz w:val="28"/>
          <w:szCs w:val="28"/>
          <w:u w:val="none"/>
        </w:rPr>
      </w:pPr>
    </w:p>
    <w:p>
      <w:pPr>
        <w:pStyle w:val="2"/>
        <w:jc w:val="center"/>
        <w:rPr>
          <w:rFonts w:hint="eastAsia" w:ascii="宋体" w:hAnsi="宋体"/>
          <w:b w:val="0"/>
          <w:bCs/>
          <w:sz w:val="28"/>
          <w:szCs w:val="28"/>
          <w:u w:val="none"/>
        </w:rPr>
      </w:pPr>
    </w:p>
    <w:p>
      <w:pPr>
        <w:pStyle w:val="2"/>
        <w:jc w:val="center"/>
        <w:rPr>
          <w:rFonts w:hint="eastAsia" w:ascii="宋体" w:hAnsi="宋体"/>
          <w:b w:val="0"/>
          <w:bCs/>
          <w:sz w:val="28"/>
          <w:szCs w:val="28"/>
          <w:u w:val="none"/>
        </w:rPr>
      </w:pPr>
    </w:p>
    <w:p>
      <w:pPr>
        <w:pStyle w:val="2"/>
        <w:jc w:val="center"/>
        <w:rPr>
          <w:rFonts w:hint="eastAsia" w:ascii="宋体" w:hAnsi="宋体"/>
          <w:b w:val="0"/>
          <w:bCs/>
          <w:sz w:val="28"/>
          <w:szCs w:val="28"/>
          <w:u w:val="none"/>
        </w:rPr>
      </w:pPr>
    </w:p>
    <w:p>
      <w:pPr>
        <w:pStyle w:val="2"/>
        <w:jc w:val="center"/>
        <w:rPr>
          <w:rFonts w:hint="eastAsia" w:ascii="宋体" w:hAnsi="宋体"/>
          <w:b w:val="0"/>
          <w:bCs/>
          <w:sz w:val="28"/>
          <w:szCs w:val="28"/>
          <w:u w:val="none"/>
        </w:rPr>
      </w:pPr>
    </w:p>
    <w:tbl>
      <w:tblPr>
        <w:tblStyle w:val="6"/>
        <w:tblW w:w="162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45"/>
        <w:gridCol w:w="3525"/>
        <w:gridCol w:w="1665"/>
        <w:gridCol w:w="1755"/>
        <w:gridCol w:w="1335"/>
        <w:gridCol w:w="1335"/>
        <w:gridCol w:w="1335"/>
        <w:gridCol w:w="13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394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352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6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7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623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350077-德清县地理信息小镇中心学校</w:t>
            </w:r>
          </w:p>
        </w:tc>
        <w:tc>
          <w:tcPr>
            <w:tcW w:w="352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66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7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3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5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163.73</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158.56</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德清县地理信息小镇中心学校</w:t>
            </w:r>
          </w:p>
        </w:tc>
        <w:tc>
          <w:tcPr>
            <w:tcW w:w="35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中小学校教育装备采购</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95.55</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95.55</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德清县地理信息小镇中心学校</w:t>
            </w:r>
          </w:p>
        </w:tc>
        <w:tc>
          <w:tcPr>
            <w:tcW w:w="35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58.67</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53.50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德清县地理信息小镇中心学校</w:t>
            </w:r>
          </w:p>
        </w:tc>
        <w:tc>
          <w:tcPr>
            <w:tcW w:w="35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教师教育培训经费</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德清县地理信息小镇中心学校</w:t>
            </w:r>
          </w:p>
        </w:tc>
        <w:tc>
          <w:tcPr>
            <w:tcW w:w="35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学生资助</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0.09</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0.09</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德清县地理信息小镇中心学校</w:t>
            </w:r>
          </w:p>
        </w:tc>
        <w:tc>
          <w:tcPr>
            <w:tcW w:w="35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家庭经济困难学生生活补助</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0.03</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0.03</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jc w:val="both"/>
        <w:rPr>
          <w:rFonts w:hint="eastAsia" w:ascii="宋体" w:hAnsi="宋体"/>
          <w:b w:val="0"/>
          <w:bCs/>
          <w:sz w:val="28"/>
          <w:szCs w:val="28"/>
          <w:u w:val="none"/>
        </w:rPr>
      </w:pPr>
    </w:p>
    <w:p>
      <w:pPr>
        <w:pStyle w:val="2"/>
        <w:jc w:val="both"/>
        <w:rPr>
          <w:rFonts w:hint="eastAsia" w:ascii="宋体" w:hAnsi="宋体"/>
          <w:b w:val="0"/>
          <w:bCs/>
          <w:sz w:val="28"/>
          <w:szCs w:val="28"/>
          <w:u w:val="none"/>
        </w:rPr>
      </w:pPr>
    </w:p>
    <w:p>
      <w:pPr>
        <w:pStyle w:val="2"/>
        <w:jc w:val="both"/>
        <w:rPr>
          <w:rFonts w:hint="eastAsia" w:ascii="宋体" w:hAnsi="宋体"/>
          <w:b w:val="0"/>
          <w:bCs/>
          <w:sz w:val="28"/>
          <w:szCs w:val="28"/>
          <w:u w:val="none"/>
        </w:rPr>
      </w:pPr>
    </w:p>
    <w:p>
      <w:pPr>
        <w:pStyle w:val="2"/>
        <w:jc w:val="both"/>
        <w:rPr>
          <w:rFonts w:hint="eastAsia" w:ascii="宋体" w:hAnsi="宋体"/>
          <w:b w:val="0"/>
          <w:bCs/>
          <w:sz w:val="28"/>
          <w:szCs w:val="28"/>
          <w:u w:val="none"/>
        </w:rPr>
      </w:pPr>
    </w:p>
    <w:p>
      <w:pPr>
        <w:pStyle w:val="2"/>
        <w:jc w:val="both"/>
        <w:rPr>
          <w:rFonts w:hint="eastAsia" w:ascii="宋体" w:hAnsi="宋体"/>
          <w:b w:val="0"/>
          <w:bCs/>
          <w:sz w:val="28"/>
          <w:szCs w:val="28"/>
          <w:u w:val="none"/>
        </w:rPr>
      </w:pPr>
      <w:bookmarkStart w:id="0" w:name="_GoBack"/>
      <w:bookmarkEnd w:id="0"/>
    </w:p>
    <w:p>
      <w:pPr>
        <w:pStyle w:val="2"/>
        <w:jc w:val="both"/>
        <w:rPr>
          <w:rFonts w:hint="eastAsia" w:ascii="宋体" w:hAnsi="宋体"/>
          <w:b w:val="0"/>
          <w:bCs/>
          <w:sz w:val="28"/>
          <w:szCs w:val="28"/>
          <w:u w:val="none"/>
        </w:rPr>
      </w:pPr>
    </w:p>
    <w:sectPr>
      <w:headerReference r:id="rId6" w:type="first"/>
      <w:footerReference r:id="rId9" w:type="first"/>
      <w:headerReference r:id="rId4" w:type="default"/>
      <w:footerReference r:id="rId7" w:type="default"/>
      <w:headerReference r:id="rId5" w:type="even"/>
      <w:footerReference r:id="rId8" w:type="even"/>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lang w:eastAsia="zh-CN"/>
      </w:rPr>
    </w:pPr>
    <w:r>
      <w:fldChar w:fldCharType="begin"/>
    </w:r>
    <w:r>
      <w:instrText xml:space="preserve"> PAGE   \* MERGEFORMAT </w:instrText>
    </w:r>
    <w:r>
      <w:fldChar w:fldCharType="separate"/>
    </w:r>
    <w:r>
      <w:rPr>
        <w:lang w:val="zh-CN"/>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lMTU2MTUxZjg1Mjc0YzNiZGZiMTkyYjM5MWMwMTA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928DD"/>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90A5265"/>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BBE2DDF"/>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7D92929"/>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566F0C"/>
    <w:rsid w:val="3C6C37E2"/>
    <w:rsid w:val="3C7D1C3F"/>
    <w:rsid w:val="3CEA3E5A"/>
    <w:rsid w:val="3CFD6A0C"/>
    <w:rsid w:val="3DDA1E4D"/>
    <w:rsid w:val="3DE67C26"/>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B85952"/>
    <w:rsid w:val="4DC87963"/>
    <w:rsid w:val="4E0626FD"/>
    <w:rsid w:val="4EA45B39"/>
    <w:rsid w:val="4EED2017"/>
    <w:rsid w:val="4F2E2211"/>
    <w:rsid w:val="4F4E78CD"/>
    <w:rsid w:val="4FA62E1E"/>
    <w:rsid w:val="4FAC0AB2"/>
    <w:rsid w:val="4FC459EF"/>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35AAF"/>
    <w:rsid w:val="661D7FD4"/>
    <w:rsid w:val="665A45AE"/>
    <w:rsid w:val="66A662C4"/>
    <w:rsid w:val="66DE2D4E"/>
    <w:rsid w:val="67222B8A"/>
    <w:rsid w:val="679D182D"/>
    <w:rsid w:val="67BB6396"/>
    <w:rsid w:val="68794E30"/>
    <w:rsid w:val="687B5327"/>
    <w:rsid w:val="688621C1"/>
    <w:rsid w:val="68C15BDE"/>
    <w:rsid w:val="6A0C05DA"/>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092638B"/>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9B8188C"/>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E885162"/>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9627</Words>
  <Characters>17492</Characters>
  <Lines>145</Lines>
  <Paragraphs>54</Paragraphs>
  <TotalTime>2</TotalTime>
  <ScaleCrop>false</ScaleCrop>
  <LinksUpToDate>false</LinksUpToDate>
  <CharactersWithSpaces>27065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2024-03-11T11:31:36Z</dcterms:modified>
  <dc:title>关于2019年部门预算的批复</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7123BD2FB5AC4C6792F56968C725EC49_13</vt:lpwstr>
  </property>
</Properties>
</file>