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德清县东风小学</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二、2024年德清县东风小学单位预算安排情况说明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（一）关于德清县东风小学2024年收支预算情况的总体说明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（二）关于德清县东风小学2024年收入预算情况说明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（三）关于德清县东风小学2024年支出预算情况说明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（四）关于德清县东风小学2024年财政拨款收支预算情况的总体说明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（五）关于德清县东风小学2024年一般公共预算拨款情况说明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（六）关于德清县东风小学2024年一般公共预算基本支出情况说明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（七）关于德清县东风小学2024年政府性基金预算支出情况说明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（八）关于德清县东风小学2024年国有资本经营预算支出情况说明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（九）关于德清县东风小学2024年一般公共预算“三公”经费预算情况说明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四、2024年德清县东风小学单位预算表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520" w:lineRule="exact"/>
        <w:ind w:firstLine="627" w:firstLineChars="196"/>
        <w:rPr>
          <w:rFonts w:hint="eastAsia" w:ascii="仿宋_GB2312" w:eastAsia="仿宋_GB2312"/>
          <w:bCs/>
          <w:sz w:val="32"/>
          <w:szCs w:val="32"/>
          <w:highlight w:val="none"/>
        </w:rPr>
      </w:pPr>
      <w:r>
        <w:rPr>
          <w:rFonts w:hint="eastAsia" w:ascii="仿宋_GB2312" w:eastAsia="仿宋_GB2312"/>
          <w:bCs/>
          <w:sz w:val="32"/>
          <w:szCs w:val="32"/>
          <w:highlight w:val="none"/>
        </w:rPr>
        <w:t>1. 承担基础教育小学阶段的教学任务。</w:t>
      </w:r>
    </w:p>
    <w:p>
      <w:pPr>
        <w:spacing w:line="520" w:lineRule="exact"/>
        <w:ind w:firstLine="627" w:firstLineChars="196"/>
        <w:rPr>
          <w:rFonts w:hint="eastAsia" w:ascii="仿宋_GB2312" w:eastAsia="仿宋_GB2312"/>
          <w:bCs/>
          <w:sz w:val="32"/>
          <w:szCs w:val="32"/>
          <w:highlight w:val="none"/>
        </w:rPr>
      </w:pPr>
      <w:r>
        <w:rPr>
          <w:rFonts w:hint="eastAsia" w:ascii="仿宋_GB2312" w:eastAsia="仿宋_GB2312"/>
          <w:bCs/>
          <w:sz w:val="32"/>
          <w:szCs w:val="32"/>
          <w:highlight w:val="none"/>
        </w:rPr>
        <w:t>2.按照国家颁布实施的教学大纲对在本校学生实施规范教学。</w:t>
      </w:r>
    </w:p>
    <w:p>
      <w:pPr>
        <w:spacing w:line="520" w:lineRule="exact"/>
        <w:ind w:firstLine="627" w:firstLineChars="196"/>
        <w:rPr>
          <w:rFonts w:hint="eastAsia" w:ascii="仿宋_GB2312" w:eastAsia="仿宋_GB2312"/>
          <w:bCs/>
          <w:sz w:val="32"/>
          <w:szCs w:val="32"/>
          <w:highlight w:val="none"/>
        </w:rPr>
      </w:pPr>
      <w:r>
        <w:rPr>
          <w:rFonts w:hint="eastAsia" w:ascii="仿宋_GB2312" w:eastAsia="仿宋_GB2312"/>
          <w:bCs/>
          <w:sz w:val="32"/>
          <w:szCs w:val="32"/>
          <w:highlight w:val="none"/>
        </w:rPr>
        <w:t>3.全面提高学生素质,促进学校德.智.体.美.劳等全面发展。</w:t>
      </w:r>
    </w:p>
    <w:p>
      <w:pPr>
        <w:spacing w:line="520" w:lineRule="exact"/>
        <w:ind w:firstLine="640" w:firstLineChars="200"/>
        <w:rPr>
          <w:rFonts w:ascii="仿宋_GB2312" w:eastAsia="仿宋_GB2312"/>
          <w:bCs/>
          <w:sz w:val="32"/>
          <w:szCs w:val="32"/>
          <w:highlight w:val="none"/>
        </w:rPr>
      </w:pPr>
      <w:r>
        <w:rPr>
          <w:rFonts w:hint="eastAsia" w:ascii="仿宋_GB2312" w:eastAsia="仿宋_GB2312"/>
          <w:bCs/>
          <w:sz w:val="32"/>
          <w:szCs w:val="32"/>
          <w:highlight w:val="none"/>
        </w:rPr>
        <w:t>4.承担县教育局交办的其他工作。</w:t>
      </w:r>
    </w:p>
    <w:p>
      <w:pPr>
        <w:pStyle w:val="2"/>
      </w:pPr>
    </w:p>
    <w:p>
      <w:pPr>
        <w:numPr>
          <w:ilvl w:val="0"/>
          <w:numId w:val="1"/>
        </w:numPr>
        <w:spacing w:line="520" w:lineRule="exact"/>
        <w:ind w:firstLine="627" w:firstLineChars="196"/>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单位机构设置情况</w:t>
      </w:r>
    </w:p>
    <w:p>
      <w:pPr>
        <w:spacing w:line="520" w:lineRule="exact"/>
        <w:ind w:firstLine="640" w:firstLineChars="200"/>
        <w:rPr>
          <w:rFonts w:hint="eastAsia" w:ascii="仿宋_GB2312" w:eastAsia="仿宋_GB2312"/>
          <w:bCs/>
          <w:sz w:val="32"/>
          <w:szCs w:val="32"/>
          <w:highlight w:val="none"/>
        </w:rPr>
      </w:pPr>
      <w:r>
        <w:rPr>
          <w:rFonts w:hint="eastAsia" w:ascii="仿宋_GB2312" w:eastAsia="仿宋_GB2312"/>
          <w:bCs/>
          <w:sz w:val="32"/>
          <w:szCs w:val="32"/>
          <w:highlight w:val="none"/>
        </w:rPr>
        <w:t>从预算单位构成看，本单位内设：校长书记室、教务处、政教处、总务处、财务室、图书室、阅览室、心理健康辅导室等。</w:t>
      </w:r>
    </w:p>
    <w:p>
      <w:pPr>
        <w:pStyle w:val="2"/>
        <w:numPr>
          <w:ilvl w:val="0"/>
          <w:numId w:val="0"/>
        </w:numPr>
      </w:pP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二、2024年德清县东风小学单位预算安排情况说明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（一）关于德清县东风小学</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综合预算的原则，德清县东风小学</w:t>
      </w:r>
      <w:r>
        <w:rPr>
          <w:rFonts w:hint="eastAsia" w:ascii="仿宋_GB2312" w:eastAsia="仿宋_GB2312"/>
          <w:color w:val="000000"/>
          <w:sz w:val="32"/>
          <w:szCs w:val="32"/>
        </w:rPr>
        <w:t>所有收入和支出均纳入部门预算管理。收入包括：一般公共预算拨款收入、财政专户管理资金收入、事业收入；支出包括：教育支出、社会保障和就业支出、卫生健康支出</w:t>
      </w:r>
      <w:r>
        <w:rPr>
          <w:rFonts w:hint="eastAsia" w:ascii="仿宋_GB2312" w:eastAsia="仿宋_GB2312"/>
          <w:color w:val="000000"/>
          <w:sz w:val="32"/>
          <w:szCs w:val="32"/>
          <w:lang w:eastAsia="zh-CN"/>
        </w:rPr>
        <w:t>。</w:t>
      </w:r>
      <w:r>
        <w:rPr>
          <w:rFonts w:hint="eastAsia" w:ascii="仿宋_GB2312" w:eastAsia="仿宋_GB2312"/>
          <w:color w:val="000000"/>
          <w:sz w:val="32"/>
          <w:szCs w:val="32"/>
        </w:rPr>
        <w:t>德清县东风小学2024年收支总预算560.44万元。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（二）关于德清县东风小学2024年收入预算情况说明</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000000"/>
          <w:sz w:val="32"/>
          <w:szCs w:val="32"/>
        </w:rPr>
        <w:t>德清县东风小学2024年收入预算560.44万元，比上年执行数增加</w:t>
      </w:r>
      <w:r>
        <w:rPr>
          <w:rFonts w:hint="eastAsia" w:ascii="仿宋_GB2312" w:eastAsia="仿宋_GB2312"/>
          <w:color w:val="000000"/>
          <w:sz w:val="32"/>
          <w:szCs w:val="32"/>
          <w:lang w:val="en-US" w:eastAsia="zh-CN"/>
        </w:rPr>
        <w:t>6.01</w:t>
      </w:r>
      <w:r>
        <w:rPr>
          <w:rFonts w:hint="eastAsia" w:ascii="仿宋_GB2312" w:eastAsia="仿宋_GB2312"/>
          <w:color w:val="000000"/>
          <w:sz w:val="32"/>
          <w:szCs w:val="32"/>
        </w:rPr>
        <w:t>万元，增长</w:t>
      </w:r>
      <w:r>
        <w:rPr>
          <w:rFonts w:hint="eastAsia" w:ascii="仿宋_GB2312" w:eastAsia="仿宋_GB2312"/>
          <w:color w:val="000000"/>
          <w:sz w:val="32"/>
          <w:szCs w:val="32"/>
          <w:lang w:val="en-US" w:eastAsia="zh-CN"/>
        </w:rPr>
        <w:t>1.07%</w:t>
      </w:r>
      <w:r>
        <w:rPr>
          <w:rFonts w:hint="eastAsia" w:ascii="仿宋_GB2312" w:eastAsia="仿宋_GB2312"/>
          <w:color w:val="000000"/>
          <w:sz w:val="32"/>
          <w:szCs w:val="32"/>
        </w:rPr>
        <w:t>，主要是</w:t>
      </w:r>
      <w:r>
        <w:rPr>
          <w:rFonts w:hint="eastAsia" w:ascii="仿宋_GB2312" w:eastAsia="仿宋_GB2312"/>
          <w:color w:val="000000"/>
          <w:sz w:val="32"/>
          <w:szCs w:val="32"/>
          <w:lang w:eastAsia="zh-CN"/>
        </w:rPr>
        <w:t>其他收入增加和人员正常经费增加。</w:t>
      </w:r>
    </w:p>
    <w:p>
      <w:pPr>
        <w:spacing w:line="520" w:lineRule="exact"/>
        <w:ind w:firstLine="642"/>
        <w:rPr>
          <w:rFonts w:hint="eastAsia" w:ascii="楷体_GB2312" w:hAnsi="楷体_GB2312" w:eastAsia="楷体_GB2312" w:cs="楷体_GB2312"/>
          <w:bCs/>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530.12</w:t>
      </w:r>
      <w:r>
        <w:rPr>
          <w:rFonts w:hint="eastAsia" w:ascii="仿宋_GB2312" w:eastAsia="仿宋_GB2312"/>
          <w:color w:val="000000"/>
          <w:sz w:val="32"/>
          <w:szCs w:val="32"/>
        </w:rPr>
        <w:t>万元（上年结转0.59万元），占94.6%；专户资金20.32万元，占3.6%；其他收入10.00万元，占1.8%；</w:t>
      </w:r>
      <w:r>
        <w:rPr>
          <w:rFonts w:hint="eastAsia" w:ascii="楷体_GB2312" w:hAnsi="楷体_GB2312" w:eastAsia="楷体_GB2312" w:cs="楷体_GB2312"/>
          <w:bCs/>
          <w:color w:val="000000"/>
          <w:sz w:val="32"/>
          <w:szCs w:val="32"/>
        </w:rPr>
        <w:t>　</w:t>
      </w:r>
    </w:p>
    <w:p>
      <w:pPr>
        <w:spacing w:line="520" w:lineRule="exact"/>
        <w:ind w:firstLine="640" w:firstLineChars="200"/>
        <w:rPr>
          <w:rFonts w:hint="eastAsia" w:ascii="仿宋_GB2312" w:eastAsia="仿宋_GB2312"/>
          <w:color w:val="000000"/>
          <w:sz w:val="32"/>
          <w:szCs w:val="32"/>
        </w:rPr>
      </w:pPr>
      <w:r>
        <w:rPr>
          <w:rFonts w:hint="eastAsia" w:ascii="楷体_GB2312" w:hAnsi="楷体_GB2312" w:eastAsia="楷体_GB2312" w:cs="楷体_GB2312"/>
          <w:bCs/>
          <w:color w:val="000000"/>
          <w:sz w:val="32"/>
          <w:szCs w:val="32"/>
        </w:rPr>
        <w:t>（三）关于德清县东风小学2024年支出预算情况说明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w:t>
      </w:r>
      <w:r>
        <w:rPr>
          <w:rFonts w:hint="eastAsia" w:ascii="仿宋_GB2312" w:eastAsia="仿宋_GB2312"/>
          <w:color w:val="000000"/>
          <w:sz w:val="32"/>
          <w:szCs w:val="32"/>
        </w:rPr>
        <w:t>德清县东风小学2024年支出预算560.44万元，比上年执行数增加</w:t>
      </w:r>
      <w:r>
        <w:rPr>
          <w:rFonts w:hint="eastAsia" w:ascii="仿宋_GB2312" w:eastAsia="仿宋_GB2312"/>
          <w:color w:val="000000"/>
          <w:sz w:val="32"/>
          <w:szCs w:val="32"/>
          <w:lang w:val="en-US" w:eastAsia="zh-CN"/>
        </w:rPr>
        <w:t>6.01</w:t>
      </w:r>
      <w:r>
        <w:rPr>
          <w:rFonts w:hint="eastAsia" w:ascii="仿宋_GB2312" w:eastAsia="仿宋_GB2312"/>
          <w:color w:val="000000"/>
          <w:sz w:val="32"/>
          <w:szCs w:val="32"/>
        </w:rPr>
        <w:t>万元，增长</w:t>
      </w:r>
      <w:r>
        <w:rPr>
          <w:rFonts w:hint="eastAsia" w:ascii="仿宋_GB2312" w:eastAsia="仿宋_GB2312"/>
          <w:color w:val="000000"/>
          <w:sz w:val="32"/>
          <w:szCs w:val="32"/>
          <w:lang w:val="en-US" w:eastAsia="zh-CN"/>
        </w:rPr>
        <w:t>1.07</w:t>
      </w:r>
      <w:r>
        <w:rPr>
          <w:rFonts w:hint="eastAsia" w:ascii="仿宋_GB2312" w:eastAsia="仿宋_GB2312"/>
          <w:color w:val="000000"/>
          <w:sz w:val="32"/>
          <w:szCs w:val="32"/>
        </w:rPr>
        <w:t>%，主要是</w:t>
      </w:r>
      <w:r>
        <w:rPr>
          <w:rFonts w:hint="eastAsia" w:ascii="仿宋_GB2312" w:eastAsia="仿宋_GB2312"/>
          <w:color w:val="000000"/>
          <w:sz w:val="32"/>
          <w:szCs w:val="32"/>
          <w:lang w:eastAsia="zh-CN"/>
        </w:rPr>
        <w:t>人员正常经费增加。</w:t>
      </w:r>
    </w:p>
    <w:p>
      <w:pPr>
        <w:spacing w:line="520" w:lineRule="exact"/>
        <w:ind w:firstLine="630"/>
        <w:rPr>
          <w:rFonts w:hint="eastAsia" w:ascii="仿宋_GB2312" w:eastAsia="仿宋_GB2312"/>
          <w:color w:val="000000"/>
          <w:sz w:val="32"/>
          <w:szCs w:val="32"/>
          <w:lang w:eastAsia="zh-CN"/>
        </w:rPr>
      </w:pPr>
      <w:r>
        <w:rPr>
          <w:rFonts w:hint="eastAsia" w:ascii="仿宋_GB2312" w:eastAsia="仿宋_GB2312"/>
          <w:color w:val="000000"/>
          <w:sz w:val="32"/>
          <w:szCs w:val="32"/>
        </w:rPr>
        <w:t>1.按支出功能分类，包括教育支出449.07万元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社会保障和就业支出72.99万元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卫生健康支出38.39万元</w:t>
      </w:r>
      <w:r>
        <w:rPr>
          <w:rFonts w:hint="eastAsia" w:ascii="仿宋_GB2312" w:eastAsia="仿宋_GB2312"/>
          <w:color w:val="000000"/>
          <w:sz w:val="32"/>
          <w:szCs w:val="32"/>
          <w:lang w:eastAsia="zh-CN"/>
        </w:rPr>
        <w:t>。</w:t>
      </w:r>
    </w:p>
    <w:p>
      <w:pPr>
        <w:spacing w:line="520" w:lineRule="exact"/>
        <w:ind w:firstLine="642"/>
        <w:rPr>
          <w:rFonts w:hint="eastAsia" w:ascii="仿宋_GB2312" w:eastAsia="仿宋_GB2312"/>
          <w:color w:val="000000"/>
          <w:sz w:val="32"/>
          <w:szCs w:val="32"/>
        </w:rPr>
      </w:pPr>
      <w:r>
        <w:rPr>
          <w:rFonts w:hint="eastAsia" w:ascii="仿宋_GB2312" w:eastAsia="仿宋_GB2312"/>
          <w:color w:val="000000"/>
          <w:sz w:val="32"/>
          <w:szCs w:val="32"/>
        </w:rPr>
        <w:t>2.按支出用途分类，包括人员支出481.08万元，占85.8%；日常公用支出35.21万元，占6.3%；项目支出44.15万元，占7.9%；</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（四）关于德清县东风小学2024年财政拨款收支预算情况的总体说明</w:t>
      </w:r>
    </w:p>
    <w:p>
      <w:pPr>
        <w:spacing w:line="520" w:lineRule="exact"/>
        <w:ind w:firstLine="640"/>
        <w:rPr>
          <w:rFonts w:hint="eastAsia" w:ascii="仿宋_GB2312" w:eastAsia="仿宋_GB2312"/>
          <w:color w:val="000000"/>
          <w:sz w:val="32"/>
          <w:szCs w:val="32"/>
          <w:lang w:eastAsia="zh-CN"/>
        </w:rPr>
      </w:pPr>
      <w:r>
        <w:rPr>
          <w:rFonts w:hint="eastAsia" w:ascii="仿宋_GB2312" w:eastAsia="仿宋_GB2312"/>
          <w:color w:val="000000"/>
          <w:sz w:val="32"/>
          <w:szCs w:val="32"/>
        </w:rPr>
        <w:t>德清县东风小学2024年财政拨款收支总预算530.12万元。收入包括：一般公共预算530.12万元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支出包括：教育支出418.75万元、社会保障和就业支出72.99万元、卫生健康支出38.39万元</w:t>
      </w:r>
      <w:r>
        <w:rPr>
          <w:rFonts w:hint="eastAsia" w:ascii="仿宋_GB2312" w:eastAsia="仿宋_GB2312"/>
          <w:color w:val="000000"/>
          <w:sz w:val="32"/>
          <w:szCs w:val="32"/>
          <w:lang w:eastAsia="zh-CN"/>
        </w:rPr>
        <w:t>。</w:t>
      </w:r>
    </w:p>
    <w:p>
      <w:pPr>
        <w:numPr>
          <w:ilvl w:val="0"/>
          <w:numId w:val="2"/>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关于德清县东风小学2024年一般公共预算拨款情况说明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德清县东风小学2024年一般公共预算拨款530.12万元，比上年执行数</w:t>
      </w:r>
      <w:r>
        <w:rPr>
          <w:rFonts w:hint="eastAsia" w:ascii="仿宋_GB2312" w:hAnsi="仿宋_GB2312" w:eastAsia="仿宋_GB2312" w:cs="仿宋_GB2312"/>
          <w:color w:val="000000"/>
          <w:sz w:val="32"/>
          <w:szCs w:val="32"/>
          <w:lang w:eastAsia="zh-CN"/>
        </w:rPr>
        <w:t>增加</w:t>
      </w:r>
      <w:r>
        <w:rPr>
          <w:rFonts w:hint="eastAsia" w:ascii="仿宋_GB2312" w:hAnsi="仿宋_GB2312" w:eastAsia="仿宋_GB2312" w:cs="仿宋_GB2312"/>
          <w:color w:val="000000"/>
          <w:sz w:val="32"/>
          <w:szCs w:val="32"/>
          <w:lang w:val="en-US" w:eastAsia="zh-CN"/>
        </w:rPr>
        <w:t>3.49</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增长</w:t>
      </w:r>
      <w:r>
        <w:rPr>
          <w:rFonts w:hint="eastAsia" w:ascii="仿宋_GB2312" w:hAnsi="仿宋_GB2312" w:eastAsia="仿宋_GB2312" w:cs="仿宋_GB2312"/>
          <w:color w:val="000000"/>
          <w:sz w:val="32"/>
          <w:szCs w:val="32"/>
          <w:lang w:val="en-US" w:eastAsia="zh-CN"/>
        </w:rPr>
        <w:t>0.65</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主要是人员正常经费增加。</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教育支出418.75万元，占79.0%；社会保障和就业支出72.99万元，占13.8%；卫生健康支出38.39万元，占7.2%；</w:t>
      </w:r>
    </w:p>
    <w:p>
      <w:pPr>
        <w:numPr>
          <w:ilvl w:val="0"/>
          <w:numId w:val="3"/>
        </w:numPr>
        <w:spacing w:line="520" w:lineRule="exact"/>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一般公共预算拨款具体使用情况。</w:t>
      </w:r>
    </w:p>
    <w:p>
      <w:pPr>
        <w:spacing w:line="276" w:lineRule="auto"/>
        <w:ind w:firstLine="640"/>
        <w:jc w:val="left"/>
        <w:rPr>
          <w:rFonts w:ascii="仿宋_GB2312" w:eastAsia="仿宋_GB2312"/>
          <w:color w:val="000000"/>
          <w:sz w:val="32"/>
          <w:szCs w:val="32"/>
        </w:rPr>
      </w:pPr>
      <w:r>
        <w:rPr>
          <w:rFonts w:hint="eastAsia" w:ascii="仿宋_GB2312" w:eastAsia="仿宋_GB2312"/>
          <w:color w:val="000000"/>
          <w:sz w:val="32"/>
          <w:szCs w:val="32"/>
        </w:rPr>
        <w:t>（1）</w:t>
      </w:r>
      <w:r>
        <w:rPr>
          <w:rFonts w:hint="eastAsia" w:ascii="仿宋" w:hAnsi="仿宋" w:eastAsia="仿宋" w:cs="Arial"/>
          <w:sz w:val="32"/>
          <w:szCs w:val="32"/>
        </w:rPr>
        <w:t>教育支出（类）普通教育（款）小学教育（项）</w:t>
      </w:r>
      <w:r>
        <w:rPr>
          <w:rFonts w:hint="eastAsia" w:ascii="仿宋_GB2312" w:eastAsia="仿宋_GB2312"/>
          <w:color w:val="000000"/>
          <w:sz w:val="32"/>
          <w:szCs w:val="32"/>
          <w:lang w:val="en-US" w:eastAsia="zh-CN"/>
        </w:rPr>
        <w:t>418.75</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所属学校小学教育的支出</w:t>
      </w:r>
      <w:r>
        <w:rPr>
          <w:rFonts w:hint="eastAsia" w:ascii="仿宋_GB2312" w:eastAsia="仿宋_GB2312"/>
          <w:color w:val="000000"/>
          <w:sz w:val="32"/>
          <w:szCs w:val="32"/>
        </w:rPr>
        <w:t>。</w:t>
      </w:r>
    </w:p>
    <w:p>
      <w:pPr>
        <w:spacing w:line="276" w:lineRule="auto"/>
        <w:ind w:firstLine="640"/>
        <w:jc w:val="left"/>
        <w:rPr>
          <w:rFonts w:hint="eastAsia" w:ascii="仿宋_GB2312" w:eastAsia="仿宋_GB2312"/>
          <w:color w:val="000000"/>
          <w:sz w:val="32"/>
          <w:szCs w:val="32"/>
        </w:rPr>
      </w:pPr>
      <w:r>
        <w:rPr>
          <w:rFonts w:hint="eastAsia" w:ascii="仿宋_GB2312" w:eastAsia="仿宋_GB2312"/>
          <w:color w:val="000000"/>
          <w:sz w:val="32"/>
          <w:szCs w:val="32"/>
        </w:rPr>
        <w:t>（2）</w:t>
      </w:r>
      <w:r>
        <w:rPr>
          <w:rFonts w:hint="eastAsia" w:ascii="仿宋" w:hAnsi="仿宋" w:eastAsia="仿宋" w:cs="Arial"/>
          <w:sz w:val="32"/>
          <w:szCs w:val="32"/>
        </w:rPr>
        <w:t>社会保障和就业支出（类）行政事业单位养老支出（款）机关事业单位基本养老保险缴费支出（项）</w:t>
      </w:r>
      <w:r>
        <w:rPr>
          <w:rFonts w:hint="eastAsia" w:ascii="仿宋_GB2312" w:eastAsia="仿宋_GB2312"/>
          <w:color w:val="000000"/>
          <w:sz w:val="32"/>
          <w:szCs w:val="32"/>
          <w:lang w:val="en-US" w:eastAsia="zh-CN"/>
        </w:rPr>
        <w:t>25.66</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机关事业单位实施养老保险制度由单位缴纳的基本养老保险费的支出</w:t>
      </w:r>
      <w:r>
        <w:rPr>
          <w:rFonts w:hint="eastAsia" w:ascii="仿宋_GB2312" w:eastAsia="仿宋_GB2312"/>
          <w:color w:val="000000"/>
          <w:sz w:val="32"/>
          <w:szCs w:val="32"/>
        </w:rPr>
        <w:t>。</w:t>
      </w:r>
    </w:p>
    <w:p>
      <w:pPr>
        <w:spacing w:line="276" w:lineRule="auto"/>
        <w:ind w:firstLine="640"/>
        <w:jc w:val="left"/>
        <w:rPr>
          <w:rFonts w:hint="eastAsia" w:ascii="仿宋_GB2312" w:eastAsia="仿宋_GB2312"/>
          <w:color w:val="000000"/>
          <w:sz w:val="32"/>
          <w:szCs w:val="32"/>
        </w:rPr>
      </w:pPr>
      <w:r>
        <w:rPr>
          <w:rFonts w:hint="eastAsia" w:ascii="仿宋_GB2312" w:eastAsia="仿宋_GB2312"/>
          <w:color w:val="000000"/>
          <w:sz w:val="32"/>
          <w:szCs w:val="32"/>
        </w:rPr>
        <w:t>（3）</w:t>
      </w:r>
      <w:r>
        <w:rPr>
          <w:rFonts w:hint="eastAsia" w:ascii="仿宋" w:hAnsi="仿宋" w:eastAsia="仿宋" w:cs="Arial"/>
          <w:sz w:val="32"/>
          <w:szCs w:val="32"/>
        </w:rPr>
        <w:t>社会保障和就业支出（类）行政事业单位养老支出（款）机关事业单位职业年金缴费支出（项）</w:t>
      </w:r>
      <w:r>
        <w:rPr>
          <w:rFonts w:hint="eastAsia" w:ascii="仿宋_GB2312" w:eastAsia="仿宋_GB2312"/>
          <w:color w:val="000000"/>
          <w:sz w:val="32"/>
          <w:szCs w:val="32"/>
          <w:lang w:val="en-US" w:eastAsia="zh-CN"/>
        </w:rPr>
        <w:t>12.83</w:t>
      </w:r>
      <w:r>
        <w:rPr>
          <w:rFonts w:hint="eastAsia" w:ascii="仿宋_GB2312" w:eastAsia="仿宋_GB2312"/>
          <w:color w:val="000000"/>
          <w:sz w:val="32"/>
          <w:szCs w:val="32"/>
        </w:rPr>
        <w:t>元，主要用于</w:t>
      </w:r>
      <w:r>
        <w:rPr>
          <w:rFonts w:hint="eastAsia" w:ascii="仿宋_GB2312" w:hAnsi="楷体_GB2312" w:eastAsia="仿宋_GB2312" w:cs="楷体_GB2312"/>
          <w:sz w:val="32"/>
          <w:szCs w:val="32"/>
        </w:rPr>
        <w:t>机关事业单位实施养老保险制度由单位实际缴纳的职业年金支出</w:t>
      </w:r>
      <w:r>
        <w:rPr>
          <w:rFonts w:hint="eastAsia" w:ascii="仿宋_GB2312" w:eastAsia="仿宋_GB2312"/>
          <w:color w:val="000000"/>
          <w:sz w:val="32"/>
          <w:szCs w:val="32"/>
        </w:rPr>
        <w:t>。</w:t>
      </w:r>
    </w:p>
    <w:p>
      <w:pPr>
        <w:spacing w:line="520" w:lineRule="exact"/>
        <w:ind w:firstLine="627" w:firstLineChars="196"/>
        <w:rPr>
          <w:rFonts w:hint="eastAsia" w:ascii="仿宋_GB2312" w:hAnsi="楷体_GB2312" w:eastAsia="仿宋_GB2312" w:cs="楷体_GB2312"/>
          <w:sz w:val="32"/>
          <w:szCs w:val="32"/>
        </w:rPr>
      </w:pPr>
      <w:r>
        <w:rPr>
          <w:rFonts w:hint="eastAsia" w:ascii="仿宋_GB2312" w:eastAsia="仿宋_GB2312"/>
          <w:color w:val="000000"/>
          <w:sz w:val="32"/>
          <w:szCs w:val="32"/>
        </w:rPr>
        <w:t>（4）</w:t>
      </w:r>
      <w:r>
        <w:rPr>
          <w:rFonts w:hint="eastAsia" w:ascii="仿宋" w:hAnsi="仿宋" w:eastAsia="仿宋" w:cs="Arial"/>
          <w:sz w:val="32"/>
          <w:szCs w:val="32"/>
        </w:rPr>
        <w:t>社会保障和就业支出（类）行政事业单位养老支出（款）事业单位离退休（项）</w:t>
      </w:r>
      <w:r>
        <w:rPr>
          <w:rFonts w:hint="eastAsia" w:ascii="仿宋" w:hAnsi="仿宋" w:eastAsia="仿宋" w:cs="Arial"/>
          <w:sz w:val="32"/>
          <w:szCs w:val="32"/>
          <w:lang w:val="en-US" w:eastAsia="zh-CN"/>
        </w:rPr>
        <w:t>34.5</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离退休干部职工退休福利费支出。</w:t>
      </w:r>
    </w:p>
    <w:p>
      <w:pPr>
        <w:spacing w:line="276" w:lineRule="auto"/>
        <w:ind w:firstLine="640"/>
        <w:jc w:val="left"/>
        <w:rPr>
          <w:rFonts w:ascii="仿宋_GB2312" w:eastAsia="仿宋_GB2312"/>
          <w:color w:val="auto"/>
          <w:sz w:val="32"/>
          <w:szCs w:val="32"/>
        </w:rPr>
      </w:pPr>
      <w:r>
        <w:rPr>
          <w:rFonts w:hint="eastAsia" w:ascii="仿宋_GB2312" w:eastAsia="仿宋_GB2312"/>
          <w:color w:val="000000"/>
          <w:sz w:val="32"/>
          <w:szCs w:val="32"/>
        </w:rPr>
        <w:t>（5）</w:t>
      </w:r>
      <w:r>
        <w:rPr>
          <w:rFonts w:hint="eastAsia" w:ascii="仿宋" w:hAnsi="仿宋" w:eastAsia="仿宋" w:cs="Arial"/>
          <w:sz w:val="32"/>
          <w:szCs w:val="32"/>
        </w:rPr>
        <w:t>卫生健康支出（类）行政事业单位医疗（款）事</w:t>
      </w:r>
      <w:r>
        <w:rPr>
          <w:rFonts w:hint="eastAsia" w:ascii="仿宋" w:hAnsi="仿宋" w:eastAsia="仿宋" w:cs="Arial"/>
          <w:color w:val="auto"/>
          <w:sz w:val="32"/>
          <w:szCs w:val="32"/>
        </w:rPr>
        <w:t>业单位医疗（项）</w:t>
      </w:r>
      <w:r>
        <w:rPr>
          <w:rFonts w:hint="eastAsia" w:ascii="仿宋_GB2312" w:eastAsia="仿宋_GB2312"/>
          <w:color w:val="auto"/>
          <w:sz w:val="32"/>
          <w:szCs w:val="32"/>
          <w:lang w:val="en-US" w:eastAsia="zh-CN"/>
        </w:rPr>
        <w:t>38.39</w:t>
      </w:r>
      <w:r>
        <w:rPr>
          <w:rFonts w:hint="eastAsia" w:ascii="仿宋_GB2312" w:eastAsia="仿宋_GB2312"/>
          <w:color w:val="auto"/>
          <w:sz w:val="32"/>
          <w:szCs w:val="32"/>
        </w:rPr>
        <w:t>万元，主要用于</w:t>
      </w:r>
      <w:r>
        <w:rPr>
          <w:rFonts w:hint="eastAsia" w:ascii="仿宋_GB2312" w:hAnsi="楷体_GB2312" w:eastAsia="仿宋_GB2312" w:cs="楷体_GB2312"/>
          <w:color w:val="auto"/>
          <w:sz w:val="32"/>
          <w:szCs w:val="32"/>
        </w:rPr>
        <w:t>反映财政部门集中安排的行政单位基本医疗保险缴费经费</w:t>
      </w:r>
      <w:r>
        <w:rPr>
          <w:rFonts w:hint="eastAsia" w:ascii="仿宋_GB2312" w:eastAsia="仿宋_GB2312"/>
          <w:color w:val="auto"/>
          <w:sz w:val="32"/>
          <w:szCs w:val="32"/>
        </w:rPr>
        <w:t>。</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（六）关于德清县东风小学2024年一般公共预算基本支出情况说明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德清县东风小学2024年一般公共预算基本支出498.29万元，其中：</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000000"/>
          <w:sz w:val="32"/>
          <w:szCs w:val="32"/>
        </w:rPr>
        <w:t>人员经费463.08万元，主要包括：基本工资、津贴补贴、奖金、绩效工资、机关事业单位基本养老保险缴费、职业年金缴费、职工基本医疗保险缴费、公务员医疗补助缴费、其他社会保障缴费、住房公积金、医疗费、其他工资福利支出、退休费、生活补助、其他对个人和家庭的补助</w:t>
      </w:r>
      <w:r>
        <w:rPr>
          <w:rFonts w:hint="eastAsia" w:ascii="仿宋_GB2312" w:eastAsia="仿宋_GB2312"/>
          <w:color w:val="000000"/>
          <w:sz w:val="32"/>
          <w:szCs w:val="32"/>
          <w:lang w:eastAsia="zh-CN"/>
        </w:rPr>
        <w:t>；</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000000"/>
          <w:sz w:val="32"/>
          <w:szCs w:val="32"/>
        </w:rPr>
        <w:t>公用经费35.21万元，主要包括：办公费、印刷费、电费、邮电费、物业管理费、差旅费、维修（护）费、租赁费、培训费、公务接待费、专用材料费</w:t>
      </w:r>
      <w:r>
        <w:rPr>
          <w:rFonts w:hint="eastAsia" w:ascii="仿宋_GB2312" w:eastAsia="仿宋_GB2312"/>
          <w:color w:val="000000"/>
          <w:sz w:val="32"/>
          <w:szCs w:val="32"/>
          <w:lang w:eastAsia="zh-CN"/>
        </w:rPr>
        <w:t>、</w:t>
      </w:r>
      <w:r>
        <w:rPr>
          <w:rFonts w:hint="eastAsia" w:ascii="仿宋_GB2312" w:eastAsia="仿宋_GB2312"/>
          <w:color w:val="000000"/>
          <w:sz w:val="32"/>
          <w:szCs w:val="32"/>
        </w:rPr>
        <w:t>劳务费、工会经费、其他交通费用、其他商品和服务支出</w:t>
      </w:r>
      <w:r>
        <w:rPr>
          <w:rFonts w:hint="eastAsia" w:ascii="仿宋_GB2312" w:eastAsia="仿宋_GB2312"/>
          <w:color w:val="000000"/>
          <w:sz w:val="32"/>
          <w:szCs w:val="32"/>
          <w:lang w:eastAsia="zh-CN"/>
        </w:rPr>
        <w:t>。</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（七）关于德清县东风小学2024年政府性基金预算支出情况说明</w:t>
      </w:r>
    </w:p>
    <w:p>
      <w:pPr>
        <w:spacing w:line="276" w:lineRule="auto"/>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德清县东风小学202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年没有使用政府性基金预算拨款安排的支出。</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德清县东风小学</w:t>
      </w:r>
      <w:r>
        <w:rPr>
          <w:rFonts w:hint="eastAsia" w:ascii="楷体_GB2312" w:hAnsi="楷体_GB2312" w:eastAsia="楷体_GB2312" w:cs="楷体_GB2312"/>
          <w:bCs/>
          <w:color w:val="000000"/>
          <w:sz w:val="32"/>
          <w:szCs w:val="32"/>
          <w:highlight w:val="none"/>
        </w:rPr>
        <w:t>国有资本经营预算支出情况说明</w:t>
      </w:r>
    </w:p>
    <w:p>
      <w:pPr>
        <w:spacing w:line="276" w:lineRule="auto"/>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德清县东风小学202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（九）关于德清县东风小学2024年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德清县东风小学2024年“三公”经费预算数为0.67万元，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shd w:val="clear" w:color="auto" w:fill="FFFFFF"/>
          <w:lang w:val="en-US" w:eastAsia="zh-CN"/>
        </w:rPr>
        <w:t>0.08</w:t>
      </w:r>
      <w:r>
        <w:rPr>
          <w:rFonts w:hint="eastAsia" w:ascii="仿宋_GB2312" w:hAnsi="仿宋_GB2312" w:eastAsia="仿宋_GB2312"/>
          <w:sz w:val="32"/>
          <w:shd w:val="clear" w:color="auto" w:fill="FFFFFF"/>
        </w:rPr>
        <w:t xml:space="preserve">万元，下降 </w:t>
      </w:r>
      <w:r>
        <w:rPr>
          <w:rFonts w:hint="eastAsia" w:ascii="仿宋_GB2312" w:hAnsi="仿宋_GB2312" w:eastAsia="仿宋_GB2312"/>
          <w:sz w:val="32"/>
          <w:shd w:val="clear" w:color="auto" w:fill="FFFFFF"/>
          <w:lang w:val="en-US" w:eastAsia="zh-CN"/>
        </w:rPr>
        <w:t>11.9</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1.因公出国（境）费用：</w:t>
      </w:r>
      <w:r>
        <w:rPr>
          <w:rFonts w:hint="eastAsia" w:ascii="仿宋_GB2312" w:hAnsi="仿宋_GB2312" w:eastAsia="仿宋_GB2312" w:cs="仿宋_GB2312"/>
          <w:color w:val="auto"/>
          <w:sz w:val="32"/>
          <w:szCs w:val="32"/>
        </w:rPr>
        <w:t>根据因公出国计划和实际工作需要，20</w:t>
      </w: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rPr>
        <w:t>年安排因公出国（境）费用预算</w:t>
      </w:r>
      <w:r>
        <w:rPr>
          <w:rFonts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MERGEFIELD ${page777094869.ds444739888_ExpandCol1230910081}</w:instrText>
      </w:r>
      <w:r>
        <w:rPr>
          <w:rFonts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0.00</w:t>
      </w:r>
      <w:r>
        <w:rPr>
          <w:color w:val="auto"/>
        </w:rPr>
        <w:fldChar w:fldCharType="end"/>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与上年预算数持平</w:t>
      </w:r>
      <w:r>
        <w:rPr>
          <w:rFonts w:hint="eastAsia" w:ascii="仿宋_GB2312" w:hAnsi="仿宋_GB2312" w:eastAsia="仿宋_GB2312" w:cs="仿宋_GB2312"/>
          <w:color w:val="auto"/>
          <w:sz w:val="32"/>
          <w:szCs w:val="32"/>
        </w:rPr>
        <w:t>。主要原因是</w:t>
      </w:r>
      <w:r>
        <w:rPr>
          <w:rFonts w:ascii="仿宋_GB2312" w:hAnsi="仿宋_GB2312" w:eastAsia="仿宋_GB2312" w:cs="仿宋_GB2312"/>
          <w:color w:val="auto"/>
          <w:kern w:val="0"/>
          <w:sz w:val="32"/>
          <w:szCs w:val="32"/>
        </w:rPr>
        <w:t>由相关部门从严审批控制，根据实际情况调整，年初未纳入部门预算</w:t>
      </w:r>
      <w:r>
        <w:rPr>
          <w:rFonts w:hint="eastAsia" w:ascii="仿宋_GB2312" w:hAnsi="仿宋_GB2312" w:eastAsia="仿宋_GB2312" w:cs="仿宋_GB2312"/>
          <w:color w:val="auto"/>
          <w:sz w:val="32"/>
          <w:szCs w:val="32"/>
        </w:rPr>
        <w:t>。</w:t>
      </w:r>
    </w:p>
    <w:p>
      <w:pPr>
        <w:spacing w:line="52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2.公务接待费：2</w:t>
      </w:r>
      <w:r>
        <w:rPr>
          <w:rFonts w:hint="eastAsia" w:ascii="仿宋_GB2312" w:hAnsi="仿宋_GB2312" w:eastAsia="仿宋_GB2312" w:cs="仿宋_GB2312"/>
          <w:color w:val="auto"/>
          <w:sz w:val="32"/>
          <w:szCs w:val="32"/>
          <w:lang w:val="en-US" w:eastAsia="zh-CN"/>
        </w:rPr>
        <w:t>024</w:t>
      </w:r>
      <w:r>
        <w:rPr>
          <w:rFonts w:hint="eastAsia" w:ascii="仿宋_GB2312" w:hAnsi="仿宋_GB2312" w:eastAsia="仿宋_GB2312" w:cs="仿宋_GB2312"/>
          <w:color w:val="auto"/>
          <w:sz w:val="32"/>
          <w:szCs w:val="32"/>
        </w:rPr>
        <w:t>年安排公务接待费预算</w:t>
      </w:r>
      <w:r>
        <w:rPr>
          <w:rFonts w:hint="eastAsia" w:ascii="仿宋_GB2312" w:hAnsi="仿宋_GB2312" w:eastAsia="仿宋_GB2312" w:cs="仿宋_GB2312"/>
          <w:color w:val="auto"/>
          <w:sz w:val="32"/>
          <w:szCs w:val="32"/>
          <w:lang w:val="en-US" w:eastAsia="zh-CN"/>
        </w:rPr>
        <w:t>0.67</w:t>
      </w:r>
      <w:r>
        <w:rPr>
          <w:rFonts w:hint="eastAsia" w:ascii="仿宋_GB2312" w:hAnsi="仿宋_GB2312" w:eastAsia="仿宋_GB2312" w:cs="仿宋_GB2312"/>
          <w:color w:val="auto"/>
          <w:sz w:val="32"/>
          <w:szCs w:val="32"/>
        </w:rPr>
        <w:t>万元，比上年预算数</w:t>
      </w:r>
      <w:r>
        <w:rPr>
          <w:rFonts w:hint="eastAsia" w:ascii="仿宋_GB2312" w:hAnsi="仿宋_GB2312" w:eastAsia="仿宋_GB2312" w:cs="仿宋_GB2312"/>
          <w:color w:val="auto"/>
          <w:sz w:val="32"/>
          <w:szCs w:val="32"/>
          <w:lang w:val="en-US" w:eastAsia="zh-CN"/>
        </w:rPr>
        <w:t>减少11.9</w:t>
      </w:r>
      <w:r>
        <w:rPr>
          <w:rFonts w:hint="eastAsia" w:ascii="仿宋_GB2312" w:hAnsi="仿宋_GB2312" w:eastAsia="仿宋_GB2312" w:cs="仿宋_GB2312"/>
          <w:color w:val="auto"/>
          <w:sz w:val="32"/>
          <w:szCs w:val="32"/>
        </w:rPr>
        <w:t>%。主要用于</w:t>
      </w:r>
      <w:r>
        <w:rPr>
          <w:rFonts w:hint="eastAsia" w:ascii="仿宋" w:hAnsi="仿宋" w:eastAsia="仿宋" w:cs="Arial"/>
          <w:color w:val="auto"/>
          <w:sz w:val="32"/>
          <w:szCs w:val="32"/>
        </w:rPr>
        <w:t>接待兄弟学校等来我校进行调研、指导、交流等支出</w:t>
      </w:r>
      <w:r>
        <w:rPr>
          <w:rFonts w:hint="eastAsia" w:ascii="仿宋_GB2312" w:hAnsi="仿宋_GB2312" w:eastAsia="仿宋_GB2312" w:cs="仿宋_GB2312"/>
          <w:color w:val="auto"/>
          <w:sz w:val="32"/>
          <w:szCs w:val="32"/>
        </w:rPr>
        <w:t>。</w:t>
      </w:r>
    </w:p>
    <w:p>
      <w:pPr>
        <w:pStyle w:val="14"/>
        <w:spacing w:line="520" w:lineRule="exact"/>
        <w:ind w:firstLine="640" w:firstLineChars="200"/>
        <w:rPr>
          <w:rFonts w:ascii="仿宋_GB2312" w:eastAsia="仿宋_GB2312"/>
          <w:b/>
          <w:bCs/>
          <w:color w:val="auto"/>
          <w:sz w:val="32"/>
          <w:szCs w:val="32"/>
        </w:rPr>
      </w:pPr>
      <w:r>
        <w:rPr>
          <w:rFonts w:hint="eastAsia" w:ascii="仿宋_GB2312" w:eastAsia="仿宋_GB2312"/>
          <w:color w:val="auto"/>
          <w:sz w:val="32"/>
          <w:szCs w:val="32"/>
        </w:rPr>
        <w:t>3.公务用车购置</w:t>
      </w:r>
      <w:r>
        <w:rPr>
          <w:rFonts w:ascii="仿宋_GB2312" w:eastAsia="仿宋_GB2312"/>
          <w:color w:val="auto"/>
          <w:sz w:val="32"/>
          <w:szCs w:val="32"/>
        </w:rPr>
        <w:t>及</w:t>
      </w:r>
      <w:r>
        <w:rPr>
          <w:rFonts w:hint="eastAsia" w:ascii="仿宋_GB2312" w:eastAsia="仿宋_GB2312"/>
          <w:color w:val="auto"/>
          <w:sz w:val="32"/>
          <w:szCs w:val="32"/>
        </w:rPr>
        <w:t>运行维护费：</w:t>
      </w:r>
      <w:r>
        <w:rPr>
          <w:rFonts w:hint="eastAsia" w:ascii="仿宋_GB2312" w:eastAsia="仿宋_GB2312"/>
          <w:sz w:val="32"/>
          <w:szCs w:val="32"/>
        </w:rPr>
        <w:t>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与上年预算数持平</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hAnsi="仿宋_GB2312" w:eastAsia="仿宋_GB2312" w:cs="仿宋_GB2312"/>
          <w:color w:val="auto"/>
          <w:sz w:val="32"/>
          <w:szCs w:val="32"/>
          <w:lang w:val="en-US" w:eastAsia="zh-CN"/>
        </w:rPr>
        <w:t>与上年预算数持平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color w:val="auto"/>
          <w:sz w:val="32"/>
          <w:szCs w:val="32"/>
          <w:lang w:val="en-US" w:eastAsia="zh-CN"/>
        </w:rPr>
        <w:t>与上年预算数持平</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2024年德清县东风小学</w:t>
      </w:r>
      <w:r>
        <w:rPr>
          <w:rFonts w:hint="eastAsia" w:ascii="仿宋_GB2312" w:eastAsia="仿宋_GB2312"/>
          <w:color w:val="000000"/>
          <w:sz w:val="32"/>
          <w:szCs w:val="32"/>
        </w:rPr>
        <w:t>各单位政府采购预算总额</w:t>
      </w:r>
      <w:r>
        <w:rPr>
          <w:rFonts w:ascii="仿宋_GB2312" w:eastAsia="仿宋_GB2312"/>
          <w:color w:val="000000"/>
          <w:sz w:val="32"/>
          <w:szCs w:val="32"/>
        </w:rPr>
        <w:t>10.23</w:t>
      </w:r>
      <w:r>
        <w:rPr>
          <w:rFonts w:hint="eastAsia" w:ascii="仿宋_GB2312" w:eastAsia="仿宋_GB2312"/>
          <w:color w:val="000000"/>
          <w:sz w:val="32"/>
          <w:szCs w:val="32"/>
        </w:rPr>
        <w:t>万元，其中：政府采购货物预算5.90万元、政府采购工程预算0.00万元、政府采购服务预算</w:t>
      </w:r>
      <w:r>
        <w:rPr>
          <w:rFonts w:ascii="仿宋_GB2312" w:eastAsia="仿宋_GB2312"/>
          <w:color w:val="000000"/>
          <w:sz w:val="32"/>
          <w:szCs w:val="32"/>
        </w:rPr>
        <w:t>4.33</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截至2023年12月31日，所属各预算单位共有车辆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2024年部门预算安排购置车辆</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辆。2024年部门预算安排购置单位价值50万元以上通用设备</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台（套）。</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w:t>
      </w:r>
      <w:r>
        <w:rPr>
          <w:rFonts w:hint="eastAsia" w:ascii="仿宋_GB2312" w:eastAsia="仿宋_GB2312"/>
          <w:b/>
          <w:bCs/>
          <w:sz w:val="32"/>
          <w:szCs w:val="32"/>
          <w:lang w:val="en-US" w:eastAsia="zh-CN"/>
        </w:rPr>
        <w:t>3.</w:t>
      </w:r>
      <w:r>
        <w:rPr>
          <w:rFonts w:hint="eastAsia" w:ascii="仿宋_GB2312" w:eastAsia="仿宋_GB2312"/>
          <w:b/>
          <w:bCs/>
          <w:sz w:val="32"/>
          <w:szCs w:val="32"/>
        </w:rPr>
        <w:t>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2024年德清县东风小学其他运转类项目和特定目标类项目均实行绩效目标管理，共计1个一级项目，涉及当年资金44.15万元。同时，将按照相关制度规定开展绩效自评。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．社会保障和就业支出(类) 行政事业单位养老支出(款)行政单位离退休(项)，主要用于反映未实行归口管理的行政单位开支的离退休支出。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．社会保障和就业支出(类) 行政事业单位养老支出(款)机关事业单位基本养老金保险缴费支出(项)，主要用于机关事业单位实施养老保险制度由单位缴纳的基本养老保险费的支出。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．社会保障和就业支出(类) 行政事业单位养老支出(款)机关事业单位职业年金缴费支出(项)，主要用于机关事业单位实施养老保险制度由单位实际缴纳的职业年金支出。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卫生健康支出(类)行政事业单位医疗（款）事业单位医疗(项)，主要用于反映财政部门集中安排的事业单位基本医疗保险缴费经费，未参加医疗保险的事业单位的公费医疗经费，按国家规定享受离休人员待遇的医疗医疗经费。</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 xml:space="preserve">．卫生健康支出(类)行政事业单位医疗（款）公务员医疗补助（项），主要用于财政部门集中安排的公务员医疗补助经费。 </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四、2024年德清县东风小学单位预算表</w:t>
      </w:r>
    </w:p>
    <w:p>
      <w:pPr>
        <w:pStyle w:val="2"/>
      </w:pPr>
    </w:p>
    <w:p>
      <w:pPr>
        <w:keepNext w:val="0"/>
        <w:keepLines w:val="0"/>
        <w:pageBreakBefore w:val="0"/>
        <w:widowControl w:val="0"/>
        <w:kinsoku/>
        <w:wordWrap/>
        <w:overflowPunct/>
        <w:topLinePunct w:val="0"/>
        <w:autoSpaceDE/>
        <w:autoSpaceDN/>
        <w:bidi w:val="0"/>
        <w:adjustRightInd/>
        <w:snapToGrid/>
        <w:textAlignment w:val="auto"/>
      </w:pPr>
      <w:r>
        <w:object>
          <v:shape id="_x0000_i1025" o:spt="75" type="#_x0000_t75" style="height:150.3pt;width:415.25pt;" o:ole="t" filled="f" o:preferrelative="t" stroked="f" coordsize="21600,21600">
            <v:path/>
            <v:fill on="f" focussize="0,0"/>
            <v:stroke on="f"/>
            <v:imagedata r:id="rId6" o:title=""/>
            <o:lock v:ext="edit" aspectratio="f"/>
            <w10:wrap type="none"/>
            <w10:anchorlock/>
          </v:shape>
          <o:OLEObject Type="Embed" ProgID="Excel.Sheet.8" ShapeID="_x0000_i1025" DrawAspect="Content" ObjectID="_1468075725" r:id="rId5">
            <o:LockedField>false</o:LockedField>
          </o:OLEObject>
        </w:object>
      </w:r>
    </w:p>
    <w:p>
      <w:pPr>
        <w:pStyle w:val="2"/>
      </w:pPr>
    </w:p>
    <w:p>
      <w:pPr>
        <w:pStyle w:val="2"/>
      </w:pPr>
      <w:r>
        <w:object>
          <v:shape id="_x0000_i1026" o:spt="75" type="#_x0000_t75" style="height:70.45pt;width:414.75pt;" o:ole="t" filled="f" o:preferrelative="t" stroked="f" coordsize="21600,21600">
            <v:path/>
            <v:fill on="f" focussize="0,0"/>
            <v:stroke on="f"/>
            <v:imagedata r:id="rId8" o:title=""/>
            <o:lock v:ext="edit" aspectratio="f"/>
            <w10:wrap type="none"/>
            <w10:anchorlock/>
          </v:shape>
          <o:OLEObject Type="Embed" ProgID="Excel.Sheet.8" ShapeID="_x0000_i1026" DrawAspect="Content" ObjectID="_1468075726" r:id="rId7">
            <o:LockedField>false</o:LockedField>
          </o:OLEObject>
        </w:object>
      </w:r>
    </w:p>
    <w:p>
      <w:pPr>
        <w:pStyle w:val="2"/>
      </w:pPr>
    </w:p>
    <w:p>
      <w:pPr>
        <w:pStyle w:val="2"/>
      </w:pPr>
      <w:r>
        <w:object>
          <v:shape id="_x0000_i1027" o:spt="75" type="#_x0000_t75" style="height:204.45pt;width:415.05pt;" o:ole="t" filled="f" o:preferrelative="t" stroked="f" coordsize="21600,21600">
            <v:path/>
            <v:fill on="f" focussize="0,0"/>
            <v:stroke on="f"/>
            <v:imagedata r:id="rId10" o:title=""/>
            <o:lock v:ext="edit" aspectratio="f"/>
            <w10:wrap type="none"/>
            <w10:anchorlock/>
          </v:shape>
          <o:OLEObject Type="Embed" ProgID="Excel.Sheet.8" ShapeID="_x0000_i1027" DrawAspect="Content" ObjectID="_1468075727" r:id="rId9">
            <o:LockedField>false</o:LockedField>
          </o:OLEObject>
        </w:object>
      </w:r>
    </w:p>
    <w:p>
      <w:pPr>
        <w:pStyle w:val="2"/>
      </w:pPr>
    </w:p>
    <w:p>
      <w:pPr>
        <w:pStyle w:val="2"/>
      </w:pPr>
    </w:p>
    <w:p>
      <w:pPr>
        <w:pStyle w:val="2"/>
      </w:pPr>
    </w:p>
    <w:p>
      <w:pPr>
        <w:pStyle w:val="2"/>
      </w:pPr>
      <w:r>
        <w:object>
          <v:shape id="_x0000_i1028" o:spt="75" type="#_x0000_t75" style="height:163pt;width:415.25pt;" o:ole="t" filled="f" o:preferrelative="t" stroked="f" coordsize="21600,21600">
            <v:path/>
            <v:fill on="f" focussize="0,0"/>
            <v:stroke on="f"/>
            <v:imagedata r:id="rId12" o:title=""/>
            <o:lock v:ext="edit" aspectratio="f"/>
            <w10:wrap type="none"/>
            <w10:anchorlock/>
          </v:shape>
          <o:OLEObject Type="Embed" ProgID="Excel.Sheet.8" ShapeID="_x0000_i1028" DrawAspect="Content" ObjectID="_1468075728" r:id="rId11">
            <o:LockedField>false</o:LockedField>
          </o:OLEObject>
        </w:object>
      </w:r>
    </w:p>
    <w:p>
      <w:pPr>
        <w:pStyle w:val="2"/>
      </w:pPr>
    </w:p>
    <w:p>
      <w:pPr>
        <w:pStyle w:val="2"/>
      </w:pPr>
    </w:p>
    <w:p>
      <w:pPr>
        <w:pStyle w:val="2"/>
      </w:pPr>
    </w:p>
    <w:p>
      <w:pPr>
        <w:pStyle w:val="2"/>
      </w:pPr>
    </w:p>
    <w:p>
      <w:pPr>
        <w:pStyle w:val="2"/>
      </w:pPr>
    </w:p>
    <w:p>
      <w:pPr>
        <w:pStyle w:val="2"/>
      </w:pPr>
      <w:r>
        <w:object>
          <v:shape id="_x0000_i1029" o:spt="75" type="#_x0000_t75" style="height:214.1pt;width:414.6pt;" o:ole="t" filled="f" o:preferrelative="t" stroked="f" coordsize="21600,21600">
            <v:path/>
            <v:fill on="f" focussize="0,0"/>
            <v:stroke on="f"/>
            <v:imagedata r:id="rId14" o:title=""/>
            <o:lock v:ext="edit" aspectratio="f"/>
            <w10:wrap type="none"/>
            <w10:anchorlock/>
          </v:shape>
          <o:OLEObject Type="Embed" ProgID="Excel.Sheet.8" ShapeID="_x0000_i1029" DrawAspect="Content" ObjectID="_1468075729" r:id="rId13">
            <o:LockedField>false</o:LockedField>
          </o:OLEObject>
        </w:object>
      </w:r>
    </w:p>
    <w:p>
      <w:pPr>
        <w:pStyle w:val="2"/>
      </w:pPr>
    </w:p>
    <w:p>
      <w:pPr>
        <w:pStyle w:val="2"/>
      </w:pPr>
      <w:r>
        <w:object>
          <v:shape id="_x0000_i1030" o:spt="75" type="#_x0000_t75" style="height:441.1pt;width:414.95pt;" o:ole="t" filled="f" o:preferrelative="t" stroked="f" coordsize="21600,21600">
            <v:path/>
            <v:fill on="f" focussize="0,0"/>
            <v:stroke on="f"/>
            <v:imagedata r:id="rId16" o:title=""/>
            <o:lock v:ext="edit" aspectratio="f"/>
            <w10:wrap type="none"/>
            <w10:anchorlock/>
          </v:shape>
          <o:OLEObject Type="Embed" ProgID="Excel.Sheet.8" ShapeID="_x0000_i1030" DrawAspect="Content" ObjectID="_1468075730" r:id="rId15">
            <o:LockedField>false</o:LockedField>
          </o:OLEObject>
        </w:object>
      </w:r>
    </w:p>
    <w:p>
      <w:pPr>
        <w:pStyle w:val="2"/>
      </w:pPr>
    </w:p>
    <w:p>
      <w:pPr>
        <w:pStyle w:val="2"/>
      </w:pPr>
      <w:r>
        <w:object>
          <v:shape id="_x0000_i1031" o:spt="75" type="#_x0000_t75" style="height:144.35pt;width:415.15pt;" o:ole="t" filled="f" o:preferrelative="t" stroked="f" coordsize="21600,21600">
            <v:path/>
            <v:fill on="f" focussize="0,0"/>
            <v:stroke on="f"/>
            <v:imagedata r:id="rId18" o:title=""/>
            <o:lock v:ext="edit" aspectratio="f"/>
            <w10:wrap type="none"/>
            <w10:anchorlock/>
          </v:shape>
          <o:OLEObject Type="Embed" ProgID="Excel.Sheet.8" ShapeID="_x0000_i1031" DrawAspect="Content" ObjectID="_1468075731" r:id="rId17">
            <o:LockedField>false</o:LockedField>
          </o:OLEObject>
        </w:object>
      </w:r>
    </w:p>
    <w:p>
      <w:pPr>
        <w:pStyle w:val="2"/>
      </w:pPr>
    </w:p>
    <w:p>
      <w:pPr>
        <w:pStyle w:val="2"/>
      </w:pPr>
    </w:p>
    <w:p>
      <w:pPr>
        <w:pStyle w:val="2"/>
      </w:pPr>
    </w:p>
    <w:p>
      <w:pPr>
        <w:pStyle w:val="2"/>
      </w:pPr>
    </w:p>
    <w:p>
      <w:pPr>
        <w:pStyle w:val="2"/>
      </w:pPr>
    </w:p>
    <w:p>
      <w:pPr>
        <w:pStyle w:val="2"/>
      </w:pPr>
      <w:r>
        <w:object>
          <v:shape id="_x0000_i1032" o:spt="75" type="#_x0000_t75" style="height:90.35pt;width:415pt;" o:ole="t" filled="f" o:preferrelative="t" stroked="f" coordsize="21600,21600">
            <v:path/>
            <v:fill on="f" focussize="0,0"/>
            <v:stroke on="f"/>
            <v:imagedata r:id="rId20" o:title=""/>
            <o:lock v:ext="edit" aspectratio="f"/>
            <w10:wrap type="none"/>
            <w10:anchorlock/>
          </v:shape>
          <o:OLEObject Type="Embed" ProgID="Excel.Sheet.8" ShapeID="_x0000_i1032" DrawAspect="Content" ObjectID="_1468075732" r:id="rId19">
            <o:LockedField>false</o:LockedField>
          </o:OLEObject>
        </w:object>
      </w:r>
    </w:p>
    <w:p>
      <w:pPr>
        <w:pStyle w:val="2"/>
        <w:ind w:left="-850" w:leftChars="-405" w:firstLine="1648" w:firstLineChars="746"/>
        <w:rPr>
          <w:sz w:val="21"/>
        </w:rPr>
      </w:pPr>
      <w:r>
        <w:rPr>
          <w:rFonts w:hint="eastAsia" w:ascii="宋体" w:hAnsi="宋体" w:cs="Arial"/>
          <w:b/>
          <w:sz w:val="22"/>
          <w:lang w:eastAsia="zh-CN"/>
        </w:rPr>
        <w:t>德清县东风小学</w:t>
      </w:r>
      <w:r>
        <w:rPr>
          <w:rFonts w:ascii="宋体" w:hAnsi="宋体" w:cs="Arial"/>
          <w:b/>
          <w:sz w:val="22"/>
        </w:rPr>
        <w:t>当年没有政府性基金拨款安排的支出，故本表无数据。</w:t>
      </w:r>
    </w:p>
    <w:p>
      <w:pPr>
        <w:pStyle w:val="2"/>
        <w:ind w:left="-850" w:leftChars="-405" w:firstLine="743" w:firstLineChars="354"/>
        <w:rPr>
          <w:sz w:val="21"/>
        </w:rPr>
      </w:pPr>
    </w:p>
    <w:p>
      <w:pPr>
        <w:pStyle w:val="2"/>
      </w:pPr>
    </w:p>
    <w:p>
      <w:pPr>
        <w:pStyle w:val="2"/>
      </w:pPr>
      <w:r>
        <w:object>
          <v:shape id="_x0000_i1033" o:spt="75" type="#_x0000_t75" style="height:73.15pt;width:415.1pt;" o:ole="t" filled="f" o:preferrelative="t" stroked="f" coordsize="21600,21600">
            <v:path/>
            <v:fill on="f" focussize="0,0"/>
            <v:stroke on="f"/>
            <v:imagedata r:id="rId22" o:title=""/>
            <o:lock v:ext="edit" aspectratio="f"/>
            <w10:wrap type="none"/>
            <w10:anchorlock/>
          </v:shape>
          <o:OLEObject Type="Embed" ProgID="Excel.Sheet.8" ShapeID="_x0000_i1033" DrawAspect="Content" ObjectID="_1468075733" r:id="rId21">
            <o:LockedField>false</o:LockedField>
          </o:OLEObject>
        </w:object>
      </w:r>
    </w:p>
    <w:p>
      <w:pPr>
        <w:pStyle w:val="2"/>
        <w:rPr>
          <w:sz w:val="21"/>
        </w:rPr>
      </w:pPr>
      <w:bookmarkStart w:id="0" w:name="_GoBack"/>
      <w:bookmarkEnd w:id="0"/>
      <w:r>
        <w:rPr>
          <w:rFonts w:hint="eastAsia" w:ascii="宋体" w:hAnsi="宋体" w:cs="Arial"/>
          <w:b/>
          <w:color w:val="000000"/>
          <w:kern w:val="0"/>
          <w:sz w:val="24"/>
          <w:lang w:eastAsia="zh-CN"/>
        </w:rPr>
        <w:t>德清县东风小学</w:t>
      </w:r>
      <w:r>
        <w:rPr>
          <w:rFonts w:hint="eastAsia" w:ascii="宋体" w:hAnsi="宋体" w:cs="Arial"/>
          <w:b/>
          <w:color w:val="000000"/>
          <w:kern w:val="0"/>
          <w:sz w:val="24"/>
        </w:rPr>
        <w:t>当年没有国有资本经营预算拨款安排的支出，故本表无数据。</w:t>
      </w:r>
    </w:p>
    <w:p>
      <w:pPr>
        <w:pStyle w:val="2"/>
      </w:pPr>
    </w:p>
    <w:p>
      <w:pPr>
        <w:pStyle w:val="2"/>
      </w:pPr>
      <w:r>
        <w:object>
          <v:shape id="_x0000_i1034" o:spt="75" type="#_x0000_t75" style="height:95.65pt;width:415pt;" o:ole="t" filled="f" o:preferrelative="t" stroked="f" coordsize="21600,21600">
            <v:path/>
            <v:fill on="f" focussize="0,0"/>
            <v:stroke on="f"/>
            <v:imagedata r:id="rId24" o:title=""/>
            <o:lock v:ext="edit" aspectratio="f"/>
            <w10:wrap type="none"/>
            <w10:anchorlock/>
          </v:shape>
          <o:OLEObject Type="Embed" ProgID="Excel.Sheet.8" ShapeID="_x0000_i1034" DrawAspect="Content" ObjectID="_1468075734" r:id="rId23">
            <o:LockedField>false</o:LockedField>
          </o:OLEObject>
        </w:object>
      </w:r>
    </w:p>
    <w:p>
      <w:pPr>
        <w:pStyle w:val="2"/>
      </w:pPr>
    </w:p>
    <w:p>
      <w:pPr>
        <w:pStyle w:val="2"/>
      </w:pPr>
      <w:r>
        <w:object>
          <v:shape id="_x0000_i1035" o:spt="75" type="#_x0000_t75" style="height:147.25pt;width:415pt;" o:ole="t" filled="f" o:preferrelative="t" stroked="f" coordsize="21600,21600">
            <v:path/>
            <v:fill on="f" focussize="0,0"/>
            <v:stroke on="f"/>
            <v:imagedata r:id="rId26" o:title=""/>
            <o:lock v:ext="edit" aspectratio="f"/>
            <w10:wrap type="none"/>
            <w10:anchorlock/>
          </v:shape>
          <o:OLEObject Type="Embed" ProgID="Excel.Sheet.8" ShapeID="_x0000_i1035" DrawAspect="Content" ObjectID="_1468075735" r:id="rId25">
            <o:LockedField>false</o:LockedField>
          </o:OLEObject>
        </w:object>
      </w:r>
    </w:p>
    <w:p>
      <w:pPr>
        <w:pStyle w:val="2"/>
      </w:pPr>
    </w:p>
    <w:p>
      <w:pPr>
        <w:pStyle w:val="2"/>
      </w:pPr>
    </w:p>
    <w:sectPr>
      <w:headerReference r:id="rId3" w:type="default"/>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3861B0"/>
    <w:multiLevelType w:val="singleLevel"/>
    <w:tmpl w:val="143861B0"/>
    <w:lvl w:ilvl="0" w:tentative="0">
      <w:start w:val="3"/>
      <w:numFmt w:val="decimal"/>
      <w:lvlText w:val="%1."/>
      <w:lvlJc w:val="left"/>
      <w:pPr>
        <w:tabs>
          <w:tab w:val="left" w:pos="312"/>
        </w:tabs>
        <w:ind w:left="963" w:firstLine="0"/>
      </w:pPr>
    </w:lvl>
  </w:abstractNum>
  <w:abstractNum w:abstractNumId="1">
    <w:nsid w:val="34969084"/>
    <w:multiLevelType w:val="singleLevel"/>
    <w:tmpl w:val="34969084"/>
    <w:lvl w:ilvl="0" w:tentative="0">
      <w:start w:val="2"/>
      <w:numFmt w:val="chineseCounting"/>
      <w:suff w:val="nothing"/>
      <w:lvlText w:val="（%1）"/>
      <w:lvlJc w:val="left"/>
      <w:rPr>
        <w:rFonts w:hint="eastAsia"/>
      </w:rPr>
    </w:lvl>
  </w:abstractNum>
  <w:abstractNum w:abstractNumId="2">
    <w:nsid w:val="5895A99C"/>
    <w:multiLevelType w:val="singleLevel"/>
    <w:tmpl w:val="5895A99C"/>
    <w:lvl w:ilvl="0" w:tentative="0">
      <w:start w:val="5"/>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5Y2Q4OGM3NDU1MWUyOTRlNTA1MTU2NDhmNmFiNWE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5531C"/>
    <w:rsid w:val="00372A55"/>
    <w:rsid w:val="003A54FF"/>
    <w:rsid w:val="003E68CE"/>
    <w:rsid w:val="0040484C"/>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72287"/>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61E40"/>
    <w:rsid w:val="00E925CD"/>
    <w:rsid w:val="00E95C9E"/>
    <w:rsid w:val="00ED0384"/>
    <w:rsid w:val="00F23B56"/>
    <w:rsid w:val="00F56A05"/>
    <w:rsid w:val="00F7116F"/>
    <w:rsid w:val="01405C62"/>
    <w:rsid w:val="01F263DB"/>
    <w:rsid w:val="01F648EB"/>
    <w:rsid w:val="023A4C2D"/>
    <w:rsid w:val="024C6702"/>
    <w:rsid w:val="026505B4"/>
    <w:rsid w:val="028630A1"/>
    <w:rsid w:val="02FD4879"/>
    <w:rsid w:val="038C7FF1"/>
    <w:rsid w:val="03AA3E3B"/>
    <w:rsid w:val="03EA5C50"/>
    <w:rsid w:val="04600135"/>
    <w:rsid w:val="0466617C"/>
    <w:rsid w:val="05054F3D"/>
    <w:rsid w:val="05F46152"/>
    <w:rsid w:val="05F835B0"/>
    <w:rsid w:val="06113422"/>
    <w:rsid w:val="063B27DE"/>
    <w:rsid w:val="065E25EC"/>
    <w:rsid w:val="06835E42"/>
    <w:rsid w:val="07487AC1"/>
    <w:rsid w:val="07623DA7"/>
    <w:rsid w:val="081119C7"/>
    <w:rsid w:val="08DE4DFD"/>
    <w:rsid w:val="0A1D1E06"/>
    <w:rsid w:val="0A4C7CCD"/>
    <w:rsid w:val="0B107FB5"/>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E81318"/>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3C0132"/>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020E1"/>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411DA2"/>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image" Target="media/image11.emf"/><Relationship Id="rId25" Type="http://schemas.openxmlformats.org/officeDocument/2006/relationships/oleObject" Target="embeddings/oleObject11.bin"/><Relationship Id="rId24" Type="http://schemas.openxmlformats.org/officeDocument/2006/relationships/image" Target="media/image10.emf"/><Relationship Id="rId23" Type="http://schemas.openxmlformats.org/officeDocument/2006/relationships/oleObject" Target="embeddings/oleObject10.bin"/><Relationship Id="rId22" Type="http://schemas.openxmlformats.org/officeDocument/2006/relationships/image" Target="media/image9.emf"/><Relationship Id="rId21" Type="http://schemas.openxmlformats.org/officeDocument/2006/relationships/oleObject" Target="embeddings/oleObject9.bin"/><Relationship Id="rId20" Type="http://schemas.openxmlformats.org/officeDocument/2006/relationships/image" Target="media/image8.e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emf"/><Relationship Id="rId17" Type="http://schemas.openxmlformats.org/officeDocument/2006/relationships/oleObject" Target="embeddings/oleObject7.bin"/><Relationship Id="rId16" Type="http://schemas.openxmlformats.org/officeDocument/2006/relationships/image" Target="media/image6.emf"/><Relationship Id="rId15" Type="http://schemas.openxmlformats.org/officeDocument/2006/relationships/oleObject" Target="embeddings/oleObject6.bin"/><Relationship Id="rId14" Type="http://schemas.openxmlformats.org/officeDocument/2006/relationships/image" Target="media/image5.emf"/><Relationship Id="rId13" Type="http://schemas.openxmlformats.org/officeDocument/2006/relationships/oleObject" Target="embeddings/oleObject5.bin"/><Relationship Id="rId12" Type="http://schemas.openxmlformats.org/officeDocument/2006/relationships/image" Target="media/image4.emf"/><Relationship Id="rId11" Type="http://schemas.openxmlformats.org/officeDocument/2006/relationships/oleObject" Target="embeddings/oleObject4.bin"/><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14</Pages>
  <Words>1102</Words>
  <Characters>6286</Characters>
  <Lines>52</Lines>
  <Paragraphs>14</Paragraphs>
  <TotalTime>0</TotalTime>
  <ScaleCrop>false</ScaleCrop>
  <LinksUpToDate>false</LinksUpToDate>
  <CharactersWithSpaces>7374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2024-02-27T07:59:00Z</dcterms:created>
  <dc:creator>dsx</dc:creator>
  <cp:lastModifiedBy>Administrator</cp:lastModifiedBy>
  <dcterms:modified xsi:type="dcterms:W3CDTF">2024-03-12T06:22:41Z</dcterms:modified>
  <dc:title>关于2019年部门预算的批复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3B54855449CC454B92B0045998A5A96B_13</vt:lpwstr>
  </property>
</Properties>
</file>