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lang w:val="en-US" w:eastAsia="zh-CN"/>
        </w:rPr>
        <w:t>德清县乾元镇清溪小学</w:t>
      </w:r>
      <w:r>
        <w:rPr>
          <w:rFonts w:hint="eastAsia" w:ascii="方正小标宋简体" w:hAnsi="方正小标宋简体" w:eastAsia="方正小标宋简体" w:cs="方正小标宋简体"/>
          <w:bCs/>
          <w:spacing w:val="15"/>
          <w:sz w:val="44"/>
          <w:szCs w:val="44"/>
        </w:rPr>
        <w:t>2024年</w:t>
      </w:r>
      <w:r>
        <w:rPr>
          <w:rFonts w:hint="eastAsia" w:ascii="方正小标宋简体" w:hAnsi="方正小标宋简体" w:eastAsia="方正小标宋简体" w:cs="方正小标宋简体"/>
          <w:bCs/>
          <w:spacing w:val="15"/>
          <w:sz w:val="44"/>
          <w:szCs w:val="44"/>
          <w:lang w:val="en-US" w:eastAsia="zh-CN"/>
        </w:rPr>
        <w:t>单位</w:t>
      </w:r>
      <w:r>
        <w:rPr>
          <w:rFonts w:hint="eastAsia" w:ascii="方正小标宋简体" w:hAnsi="方正小标宋简体" w:eastAsia="方正小标宋简体" w:cs="方正小标宋简体"/>
          <w:bCs/>
          <w:spacing w:val="15"/>
          <w:sz w:val="44"/>
          <w:szCs w:val="44"/>
        </w:rPr>
        <w:t>预算</w:t>
      </w:r>
    </w:p>
    <w:p>
      <w:pPr>
        <w:spacing w:line="560" w:lineRule="exact"/>
        <w:ind w:firstLine="590" w:firstLineChars="196"/>
        <w:rPr>
          <w:rStyle w:val="10"/>
          <w:color w:val="000000"/>
          <w:sz w:val="30"/>
          <w:szCs w:val="30"/>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r>
        <w:rPr>
          <w:rStyle w:val="10"/>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机构设置情况</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二、2024年</w:t>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val="en-US" w:eastAsia="zh-CN"/>
        </w:rPr>
        <w:t>德清县乾元镇清溪小学</w:t>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10"/>
          <w:rFonts w:ascii="黑体" w:hAnsi="Calibri" w:eastAsia="黑体"/>
          <w:b w:val="0"/>
          <w:color w:val="000000"/>
          <w:kern w:val="2"/>
          <w:sz w:val="32"/>
          <w:szCs w:val="32"/>
        </w:rPr>
      </w:pPr>
      <w:r>
        <w:rPr>
          <w:rStyle w:val="10"/>
          <w:rFonts w:hint="eastAsia" w:ascii="黑体" w:hAnsi="Calibri" w:eastAsia="黑体"/>
          <w:b w:val="0"/>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四、2024年</w:t>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项目支出预算表</w:t>
      </w:r>
    </w:p>
    <w:p>
      <w:pPr>
        <w:spacing w:line="520" w:lineRule="exact"/>
        <w:ind w:firstLine="627" w:firstLineChars="196"/>
        <w:rPr>
          <w:rStyle w:val="10"/>
          <w:rFonts w:ascii="黑体" w:eastAsia="黑体"/>
          <w:b w:val="0"/>
          <w:color w:val="000000"/>
          <w:sz w:val="32"/>
          <w:szCs w:val="32"/>
        </w:rPr>
      </w:pPr>
    </w:p>
    <w:p>
      <w:pPr>
        <w:pStyle w:val="2"/>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tabs>
          <w:tab w:val="left" w:pos="2608"/>
        </w:tabs>
        <w:rPr>
          <w:rStyle w:val="10"/>
          <w:rFonts w:hint="default" w:ascii="黑体" w:eastAsia="黑体"/>
          <w:b w:val="0"/>
          <w:sz w:val="32"/>
          <w:szCs w:val="32"/>
        </w:rPr>
      </w:pPr>
    </w:p>
    <w:p>
      <w:pPr>
        <w:spacing w:line="520" w:lineRule="exact"/>
        <w:ind w:firstLine="627" w:firstLineChars="196"/>
        <w:rPr>
          <w:rStyle w:val="10"/>
          <w:rFonts w:ascii="黑体" w:eastAsia="黑体"/>
          <w:b w:val="0"/>
          <w:color w:val="000000"/>
          <w:sz w:val="32"/>
          <w:szCs w:val="32"/>
        </w:rPr>
      </w:pPr>
      <w:r>
        <w:rPr>
          <w:rStyle w:val="10"/>
          <w:rFonts w:hint="eastAsia" w:ascii="黑体" w:eastAsia="黑体"/>
          <w:b w:val="0"/>
          <w:color w:val="000000"/>
          <w:sz w:val="32"/>
          <w:szCs w:val="32"/>
        </w:rPr>
        <w:t>一、</w:t>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实施小学义务教育，促进基础教育发展，小学学历教育。</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机构设置情况</w:t>
      </w:r>
    </w:p>
    <w:p>
      <w:pPr>
        <w:spacing w:line="52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从预算单位构成看，</w:t>
      </w:r>
      <w:r>
        <w:rPr>
          <w:rFonts w:hint="eastAsia" w:ascii="仿宋_GB2312" w:hAnsi="仿宋_GB2312" w:eastAsia="仿宋_GB2312" w:cs="仿宋_GB2312"/>
          <w:bCs/>
          <w:sz w:val="32"/>
          <w:szCs w:val="32"/>
          <w:lang w:val="en-US" w:eastAsia="zh-CN"/>
        </w:rPr>
        <w:t>本单位</w:t>
      </w:r>
      <w:r>
        <w:rPr>
          <w:rFonts w:hint="eastAsia" w:ascii="仿宋_GB2312" w:hAnsi="仿宋_GB2312" w:eastAsia="仿宋_GB2312" w:cs="仿宋_GB2312"/>
          <w:bCs/>
          <w:sz w:val="32"/>
          <w:szCs w:val="32"/>
        </w:rPr>
        <w:t>预算包括：</w:t>
      </w:r>
      <w:r>
        <w:rPr>
          <w:rFonts w:hint="eastAsia" w:ascii="仿宋_GB2312" w:hAnsi="仿宋_GB2312" w:eastAsia="仿宋_GB2312" w:cs="仿宋_GB2312"/>
          <w:sz w:val="32"/>
          <w:szCs w:val="32"/>
        </w:rPr>
        <w:t>行政办公室、教务处、政教处、教科室、总务处、大队部等职能部门。</w:t>
      </w:r>
    </w:p>
    <w:p>
      <w:pPr>
        <w:spacing w:line="520" w:lineRule="exact"/>
        <w:ind w:firstLine="640" w:firstLineChars="200"/>
        <w:rPr>
          <w:rFonts w:ascii="楷体_GB2312" w:hAnsi="楷体_GB2312" w:eastAsia="楷体_GB2312" w:cs="楷体_GB2312"/>
          <w:color w:val="auto"/>
          <w:sz w:val="32"/>
          <w:szCs w:val="32"/>
        </w:rPr>
      </w:pPr>
      <w:r>
        <w:rPr>
          <w:rStyle w:val="10"/>
          <w:rFonts w:hint="eastAsia" w:ascii="黑体" w:eastAsia="黑体"/>
          <w:b w:val="0"/>
          <w:color w:val="000000"/>
          <w:sz w:val="32"/>
          <w:szCs w:val="32"/>
        </w:rPr>
        <w:t>二、2024年</w:t>
      </w:r>
      <w:r>
        <w:rPr>
          <w:rStyle w:val="10"/>
          <w:rFonts w:hint="eastAsia" w:ascii="黑体" w:eastAsia="黑体"/>
          <w:b w:val="0"/>
          <w:color w:val="000000"/>
          <w:sz w:val="32"/>
          <w:szCs w:val="32"/>
          <w:lang w:val="en-US" w:eastAsia="zh-CN"/>
        </w:rPr>
        <w:t>德清县乾元镇清溪小学单位</w:t>
      </w:r>
      <w:r>
        <w:rPr>
          <w:rStyle w:val="10"/>
          <w:rFonts w:hint="eastAsia" w:ascii="黑体" w:eastAsia="黑体"/>
          <w:b w:val="0"/>
          <w:color w:val="000000"/>
          <w:sz w:val="32"/>
          <w:szCs w:val="32"/>
        </w:rPr>
        <w:t>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仿宋_GB2312" w:eastAsia="仿宋_GB2312"/>
          <w:b/>
          <w:bCs/>
          <w:color w:val="FF0000"/>
          <w:sz w:val="32"/>
          <w:szCs w:val="32"/>
        </w:rPr>
        <w:t>　</w:t>
      </w:r>
      <w:r>
        <w:rPr>
          <w:rFonts w:hint="eastAsia" w:ascii="楷体_GB2312" w:hAnsi="楷体_GB2312" w:eastAsia="楷体_GB2312" w:cs="楷体_GB2312"/>
          <w:color w:val="auto"/>
          <w:sz w:val="32"/>
          <w:szCs w:val="32"/>
        </w:rPr>
        <w:t>（一）关于</w:t>
      </w:r>
      <w:r>
        <w:rPr>
          <w:rFonts w:hint="eastAsia" w:ascii="楷体_GB2312" w:hAnsi="楷体_GB2312" w:eastAsia="楷体_GB2312" w:cs="楷体_GB2312"/>
          <w:color w:val="auto"/>
          <w:sz w:val="32"/>
          <w:szCs w:val="32"/>
          <w:lang w:val="en-US" w:eastAsia="zh-CN"/>
        </w:rPr>
        <w:t>德清县乾元镇清溪小学</w:t>
      </w:r>
      <w:r>
        <w:rPr>
          <w:rStyle w:val="10"/>
          <w:rFonts w:hint="eastAsia" w:ascii="楷体_GB2312" w:hAnsi="楷体_GB2312" w:eastAsia="楷体_GB2312" w:cs="楷体_GB2312"/>
          <w:b w:val="0"/>
          <w:bCs w:val="0"/>
          <w:color w:val="auto"/>
          <w:sz w:val="32"/>
          <w:szCs w:val="32"/>
        </w:rPr>
        <w:t>2024年收支预算情况的总体说明</w:t>
      </w:r>
    </w:p>
    <w:p>
      <w:pPr>
        <w:spacing w:line="520" w:lineRule="exact"/>
        <w:ind w:firstLine="640" w:firstLineChars="200"/>
        <w:rPr>
          <w:rFonts w:ascii="楷体_GB2312" w:hAnsi="楷体_GB2312" w:eastAsia="楷体_GB2312" w:cs="楷体_GB2312"/>
          <w:b/>
          <w:color w:val="auto"/>
          <w:sz w:val="32"/>
          <w:szCs w:val="32"/>
        </w:rPr>
      </w:pPr>
      <w:r>
        <w:rPr>
          <w:rFonts w:hint="eastAsia" w:ascii="仿宋_GB2312" w:eastAsia="仿宋_GB2312"/>
          <w:bCs/>
          <w:color w:val="auto"/>
          <w:sz w:val="32"/>
          <w:szCs w:val="32"/>
        </w:rPr>
        <w:t xml:space="preserve"> 按照综合预算的原则，</w:t>
      </w:r>
      <w:r>
        <w:rPr>
          <w:rFonts w:hint="eastAsia" w:ascii="仿宋_GB2312" w:eastAsia="仿宋_GB2312"/>
          <w:bCs/>
          <w:color w:val="auto"/>
          <w:sz w:val="32"/>
          <w:szCs w:val="32"/>
          <w:lang w:val="en-US" w:eastAsia="zh-CN"/>
        </w:rPr>
        <w:t>德清县乾元镇清溪小学</w:t>
      </w:r>
      <w:r>
        <w:rPr>
          <w:rFonts w:hint="eastAsia" w:ascii="仿宋_GB2312" w:eastAsia="仿宋_GB2312"/>
          <w:color w:val="auto"/>
          <w:sz w:val="32"/>
          <w:szCs w:val="32"/>
        </w:rPr>
        <w:t>所有收入和支出均纳入部门预算管理。收入包括：一般公共预算拨款收入、财政专户管理资金收入、其他收入；支出包括：教育支出、社会保障和就业支出、卫生健康支出。</w:t>
      </w:r>
      <w:r>
        <w:rPr>
          <w:rFonts w:hint="eastAsia" w:ascii="仿宋_GB2312" w:eastAsia="仿宋_GB2312"/>
          <w:color w:val="auto"/>
          <w:sz w:val="32"/>
          <w:szCs w:val="32"/>
          <w:lang w:val="en-US" w:eastAsia="zh-CN"/>
        </w:rPr>
        <w:t>德清县乾元镇清溪小学</w:t>
      </w:r>
      <w:r>
        <w:rPr>
          <w:rFonts w:hint="eastAsia" w:ascii="仿宋_GB2312" w:eastAsia="仿宋_GB2312"/>
          <w:color w:val="auto"/>
          <w:sz w:val="32"/>
          <w:szCs w:val="32"/>
        </w:rPr>
        <w:t>2024年收支总预算</w:t>
      </w:r>
      <w:r>
        <w:rPr>
          <w:rFonts w:hint="eastAsia" w:ascii="仿宋_GB2312" w:eastAsia="仿宋_GB2312"/>
          <w:color w:val="auto"/>
          <w:sz w:val="32"/>
          <w:szCs w:val="32"/>
          <w:lang w:val="en-US" w:eastAsia="zh-CN"/>
        </w:rPr>
        <w:t>2260.08</w:t>
      </w:r>
      <w:r>
        <w:rPr>
          <w:rFonts w:hint="eastAsia" w:ascii="仿宋_GB2312" w:eastAsia="仿宋_GB2312"/>
          <w:color w:val="auto"/>
          <w:sz w:val="32"/>
          <w:szCs w:val="32"/>
        </w:rPr>
        <w:t>万元。</w:t>
      </w:r>
    </w:p>
    <w:p>
      <w:pPr>
        <w:spacing w:line="520" w:lineRule="exact"/>
        <w:ind w:firstLine="642"/>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（二）关于</w:t>
      </w:r>
      <w:r>
        <w:rPr>
          <w:rFonts w:hint="eastAsia" w:ascii="楷体_GB2312" w:hAnsi="楷体_GB2312" w:eastAsia="楷体_GB2312" w:cs="楷体_GB2312"/>
          <w:bCs/>
          <w:color w:val="auto"/>
          <w:sz w:val="32"/>
          <w:szCs w:val="32"/>
          <w:lang w:val="en-US" w:eastAsia="zh-CN"/>
        </w:rPr>
        <w:t>德清县乾元镇清溪小学</w:t>
      </w:r>
      <w:r>
        <w:rPr>
          <w:rFonts w:hint="eastAsia" w:ascii="楷体_GB2312" w:hAnsi="楷体_GB2312" w:eastAsia="楷体_GB2312" w:cs="楷体_GB2312"/>
          <w:bCs/>
          <w:color w:val="auto"/>
          <w:sz w:val="32"/>
          <w:szCs w:val="32"/>
        </w:rPr>
        <w:t>2024年收入预算情况说明</w:t>
      </w:r>
    </w:p>
    <w:p>
      <w:pPr>
        <w:spacing w:line="520" w:lineRule="exact"/>
        <w:ind w:firstLine="642"/>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德清县乾元镇清溪小学</w:t>
      </w:r>
      <w:r>
        <w:rPr>
          <w:rFonts w:hint="eastAsia" w:ascii="仿宋_GB2312" w:hAnsi="仿宋_GB2312" w:eastAsia="仿宋_GB2312" w:cs="仿宋_GB2312"/>
          <w:color w:val="auto"/>
          <w:sz w:val="32"/>
          <w:szCs w:val="32"/>
          <w:highlight w:val="none"/>
        </w:rPr>
        <w:t>2024年收入预算</w:t>
      </w:r>
      <w:r>
        <w:rPr>
          <w:rFonts w:hint="eastAsia" w:ascii="仿宋_GB2312" w:hAnsi="仿宋_GB2312" w:eastAsia="仿宋_GB2312" w:cs="仿宋_GB2312"/>
          <w:color w:val="auto"/>
          <w:sz w:val="32"/>
          <w:szCs w:val="32"/>
          <w:highlight w:val="none"/>
          <w:lang w:val="en-US" w:eastAsia="zh-CN"/>
        </w:rPr>
        <w:t>2260.08</w:t>
      </w:r>
      <w:r>
        <w:rPr>
          <w:rFonts w:hint="eastAsia" w:ascii="仿宋_GB2312" w:hAnsi="仿宋_GB2312" w:eastAsia="仿宋_GB2312" w:cs="仿宋_GB2312"/>
          <w:color w:val="auto"/>
          <w:sz w:val="32"/>
          <w:szCs w:val="32"/>
          <w:highlight w:val="none"/>
        </w:rPr>
        <w:t>万元，比上年执行数减少</w:t>
      </w:r>
      <w:r>
        <w:rPr>
          <w:rFonts w:hint="eastAsia" w:ascii="仿宋_GB2312" w:hAnsi="仿宋_GB2312" w:eastAsia="仿宋_GB2312" w:cs="仿宋_GB2312"/>
          <w:color w:val="auto"/>
          <w:sz w:val="32"/>
          <w:szCs w:val="32"/>
          <w:highlight w:val="none"/>
          <w:lang w:val="en-US" w:eastAsia="zh-CN"/>
        </w:rPr>
        <w:t>56.69</w:t>
      </w:r>
      <w:r>
        <w:rPr>
          <w:rFonts w:hint="eastAsia" w:ascii="仿宋_GB2312" w:hAnsi="仿宋_GB2312" w:eastAsia="仿宋_GB2312" w:cs="仿宋_GB2312"/>
          <w:color w:val="auto"/>
          <w:sz w:val="32"/>
          <w:szCs w:val="32"/>
          <w:highlight w:val="none"/>
        </w:rPr>
        <w:t>万元，下</w:t>
      </w:r>
      <w:r>
        <w:rPr>
          <w:rFonts w:hint="eastAsia" w:ascii="仿宋_GB2312" w:hAnsi="仿宋_GB2312" w:eastAsia="仿宋_GB2312" w:cs="仿宋_GB2312"/>
          <w:color w:val="auto"/>
          <w:sz w:val="32"/>
          <w:highlight w:val="none"/>
        </w:rPr>
        <w:t>降</w:t>
      </w:r>
      <w:r>
        <w:rPr>
          <w:rFonts w:hint="eastAsia" w:ascii="仿宋_GB2312" w:hAnsi="仿宋_GB2312" w:eastAsia="仿宋_GB2312" w:cs="仿宋_GB2312"/>
          <w:color w:val="auto"/>
          <w:sz w:val="32"/>
          <w:highlight w:val="none"/>
          <w:lang w:val="en-US" w:eastAsia="zh-CN"/>
        </w:rPr>
        <w:t>2.4</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val="en-US" w:eastAsia="zh-CN"/>
        </w:rPr>
        <w:t>上级补助未分配下达，专项资金安排减少</w:t>
      </w:r>
      <w:r>
        <w:rPr>
          <w:rFonts w:hint="eastAsia" w:ascii="仿宋_GB2312" w:hAnsi="仿宋_GB2312" w:eastAsia="仿宋_GB2312" w:cs="仿宋_GB2312"/>
          <w:color w:val="auto"/>
          <w:sz w:val="32"/>
          <w:szCs w:val="32"/>
          <w:highlight w:val="none"/>
        </w:rPr>
        <w:t>。</w:t>
      </w:r>
    </w:p>
    <w:p>
      <w:pPr>
        <w:spacing w:line="520" w:lineRule="exact"/>
        <w:ind w:firstLine="642"/>
        <w:rPr>
          <w:rFonts w:hint="eastAsia" w:ascii="仿宋_GB2312" w:eastAsia="仿宋_GB2312"/>
          <w:color w:val="auto"/>
          <w:sz w:val="32"/>
          <w:szCs w:val="32"/>
          <w:highlight w:val="none"/>
          <w:lang w:eastAsia="zh-CN"/>
        </w:rPr>
      </w:pPr>
      <w:r>
        <w:rPr>
          <w:rFonts w:hint="eastAsia" w:ascii="仿宋_GB2312" w:eastAsia="仿宋_GB2312"/>
          <w:color w:val="auto"/>
          <w:sz w:val="32"/>
          <w:szCs w:val="32"/>
        </w:rPr>
        <w:t>其中：上年结转</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${page855778723.ds388518707_V_REP_BGT_DEP_INCOME_SNJZXJ}</w:instrText>
      </w:r>
      <w:r>
        <w:rPr>
          <w:rFonts w:ascii="仿宋_GB2312" w:eastAsia="仿宋_GB2312"/>
          <w:color w:val="auto"/>
          <w:sz w:val="32"/>
          <w:szCs w:val="32"/>
        </w:rPr>
        <w:fldChar w:fldCharType="separate"/>
      </w:r>
      <w:r>
        <w:rPr>
          <w:rFonts w:hint="eastAsia" w:ascii="仿宋_GB2312" w:eastAsia="仿宋_GB2312"/>
          <w:color w:val="auto"/>
          <w:sz w:val="32"/>
          <w:szCs w:val="32"/>
        </w:rPr>
        <w:t>0.00</w:t>
      </w:r>
      <w:r>
        <w:rPr>
          <w:color w:val="auto"/>
        </w:rPr>
        <w:fldChar w:fldCharType="end"/>
      </w:r>
      <w:r>
        <w:rPr>
          <w:rFonts w:hint="eastAsia" w:ascii="仿宋_GB2312" w:eastAsia="仿宋_GB2312"/>
          <w:color w:val="auto"/>
          <w:sz w:val="32"/>
          <w:szCs w:val="32"/>
        </w:rPr>
        <w:t>万元，占</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${page855778723.ds388518707_ComputeCol20220214210359}</w:instrText>
      </w:r>
      <w:r>
        <w:rPr>
          <w:rFonts w:ascii="仿宋_GB2312" w:eastAsia="仿宋_GB2312"/>
          <w:color w:val="auto"/>
          <w:sz w:val="32"/>
          <w:szCs w:val="32"/>
        </w:rPr>
        <w:fldChar w:fldCharType="separate"/>
      </w:r>
      <w:r>
        <w:rPr>
          <w:rFonts w:hint="eastAsia" w:ascii="仿宋_GB2312" w:eastAsia="仿宋_GB2312"/>
          <w:color w:val="auto"/>
          <w:sz w:val="32"/>
          <w:szCs w:val="32"/>
        </w:rPr>
        <w:t>0.0</w:t>
      </w:r>
      <w:r>
        <w:rPr>
          <w:color w:val="auto"/>
        </w:rPr>
        <w:fldChar w:fldCharType="end"/>
      </w:r>
      <w:r>
        <w:rPr>
          <w:rFonts w:hint="eastAsia" w:ascii="仿宋_GB2312" w:eastAsia="仿宋_GB2312"/>
          <w:color w:val="auto"/>
          <w:sz w:val="32"/>
          <w:szCs w:val="32"/>
        </w:rPr>
        <w:t>%；一般公共预算拨款收入</w:t>
      </w:r>
      <w:r>
        <w:rPr>
          <w:rFonts w:hint="eastAsia" w:ascii="仿宋_GB2312" w:eastAsia="仿宋_GB2312"/>
          <w:color w:val="auto"/>
          <w:sz w:val="32"/>
          <w:szCs w:val="32"/>
          <w:lang w:val="en-US" w:eastAsia="zh-CN"/>
        </w:rPr>
        <w:t>2124.08</w:t>
      </w:r>
      <w:r>
        <w:rPr>
          <w:rFonts w:hint="eastAsia" w:ascii="仿宋_GB2312" w:eastAsia="仿宋_GB2312"/>
          <w:color w:val="auto"/>
          <w:sz w:val="32"/>
          <w:szCs w:val="32"/>
        </w:rPr>
        <w:t>万元，占</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${page928547437.ds208165674_ComputeCol20220214184956}</w:instrText>
      </w:r>
      <w:r>
        <w:rPr>
          <w:rFonts w:ascii="仿宋_GB2312" w:eastAsia="仿宋_GB2312"/>
          <w:color w:val="auto"/>
          <w:sz w:val="32"/>
          <w:szCs w:val="32"/>
        </w:rPr>
        <w:fldChar w:fldCharType="separate"/>
      </w:r>
      <w:r>
        <w:rPr>
          <w:rFonts w:hint="eastAsia" w:ascii="仿宋_GB2312" w:eastAsia="仿宋_GB2312"/>
          <w:color w:val="auto"/>
          <w:sz w:val="32"/>
          <w:szCs w:val="32"/>
          <w:lang w:val="en-US" w:eastAsia="zh-CN"/>
        </w:rPr>
        <w:t>94</w:t>
      </w:r>
      <w:r>
        <w:rPr>
          <w:rFonts w:hint="eastAsia" w:ascii="仿宋_GB2312" w:eastAsia="仿宋_GB2312"/>
          <w:color w:val="auto"/>
          <w:sz w:val="32"/>
          <w:szCs w:val="32"/>
        </w:rPr>
        <w:t>.0</w:t>
      </w:r>
      <w:r>
        <w:rPr>
          <w:color w:val="auto"/>
        </w:rPr>
        <w:fldChar w:fldCharType="end"/>
      </w:r>
      <w:r>
        <w:rPr>
          <w:rFonts w:hint="eastAsia" w:ascii="仿宋_GB2312" w:eastAsia="仿宋_GB2312"/>
          <w:color w:val="auto"/>
          <w:sz w:val="32"/>
          <w:szCs w:val="32"/>
        </w:rPr>
        <w:t>%；专户资金</w:t>
      </w:r>
      <w:r>
        <w:rPr>
          <w:rFonts w:hint="eastAsia" w:ascii="仿宋_GB2312" w:eastAsia="仿宋_GB2312"/>
          <w:color w:val="auto"/>
          <w:sz w:val="32"/>
          <w:szCs w:val="32"/>
          <w:lang w:val="en-US" w:eastAsia="zh-CN"/>
        </w:rPr>
        <w:t>123</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5.4</w:t>
      </w:r>
      <w:r>
        <w:rPr>
          <w:rFonts w:hint="eastAsia" w:ascii="仿宋_GB2312" w:eastAsia="仿宋_GB2312"/>
          <w:color w:val="auto"/>
          <w:sz w:val="32"/>
          <w:szCs w:val="32"/>
        </w:rPr>
        <w:t>%；其他收入</w:t>
      </w:r>
      <w:r>
        <w:rPr>
          <w:rFonts w:hint="eastAsia" w:ascii="仿宋_GB2312" w:eastAsia="仿宋_GB2312"/>
          <w:color w:val="auto"/>
          <w:sz w:val="32"/>
          <w:szCs w:val="32"/>
          <w:lang w:val="en-US" w:eastAsia="zh-CN"/>
        </w:rPr>
        <w:t>13</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0.6</w:t>
      </w:r>
      <w:r>
        <w:rPr>
          <w:rFonts w:hint="eastAsia" w:ascii="仿宋_GB2312" w:eastAsia="仿宋_GB2312"/>
          <w:color w:val="auto"/>
          <w:sz w:val="32"/>
          <w:szCs w:val="32"/>
        </w:rPr>
        <w:t>%。</w:t>
      </w:r>
      <w:r>
        <w:rPr>
          <w:rFonts w:hint="eastAsia" w:ascii="仿宋_GB2312" w:eastAsia="仿宋_GB2312"/>
          <w:color w:val="auto"/>
          <w:sz w:val="32"/>
          <w:szCs w:val="32"/>
        </w:rPr>
        <w:br w:type="textWrapping"/>
      </w:r>
      <w:r>
        <w:rPr>
          <w:rFonts w:hint="eastAsia" w:ascii="楷体_GB2312" w:hAnsi="楷体_GB2312" w:eastAsia="楷体_GB2312" w:cs="楷体_GB2312"/>
          <w:bCs/>
          <w:color w:val="auto"/>
          <w:sz w:val="32"/>
          <w:szCs w:val="32"/>
        </w:rPr>
        <w:t>　　（三）关于</w:t>
      </w:r>
      <w:r>
        <w:rPr>
          <w:rFonts w:hint="eastAsia" w:ascii="楷体_GB2312" w:hAnsi="楷体_GB2312" w:eastAsia="楷体_GB2312" w:cs="楷体_GB2312"/>
          <w:bCs/>
          <w:color w:val="auto"/>
          <w:sz w:val="32"/>
          <w:szCs w:val="32"/>
          <w:lang w:val="en-US" w:eastAsia="zh-CN"/>
        </w:rPr>
        <w:t>德清县乾元镇清溪小学</w:t>
      </w:r>
      <w:r>
        <w:rPr>
          <w:rFonts w:hint="eastAsia" w:ascii="楷体_GB2312" w:hAnsi="楷体_GB2312" w:eastAsia="楷体_GB2312" w:cs="楷体_GB2312"/>
          <w:bCs/>
          <w:color w:val="auto"/>
          <w:sz w:val="32"/>
          <w:szCs w:val="32"/>
        </w:rPr>
        <w:t>2024年支出预算情况说明</w:t>
      </w:r>
      <w:r>
        <w:rPr>
          <w:rFonts w:hint="eastAsia" w:ascii="楷体_GB2312" w:hAnsi="楷体_GB2312" w:eastAsia="楷体_GB2312" w:cs="楷体_GB2312"/>
          <w:bCs/>
          <w:color w:val="auto"/>
          <w:sz w:val="32"/>
          <w:szCs w:val="32"/>
        </w:rPr>
        <w:br w:type="textWrapping"/>
      </w:r>
      <w:r>
        <w:rPr>
          <w:rFonts w:hint="eastAsia" w:ascii="仿宋_GB2312" w:eastAsia="仿宋_GB2312"/>
          <w:color w:val="auto"/>
          <w:sz w:val="32"/>
          <w:szCs w:val="32"/>
        </w:rPr>
        <w:t>　</w:t>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highlight w:val="none"/>
          <w:lang w:val="en-US" w:eastAsia="zh-CN"/>
        </w:rPr>
        <w:t>德清县乾元镇清溪小学</w:t>
      </w:r>
      <w:r>
        <w:rPr>
          <w:rFonts w:hint="eastAsia" w:ascii="仿宋_GB2312" w:hAnsi="仿宋_GB2312" w:eastAsia="仿宋_GB2312" w:cs="仿宋_GB2312"/>
          <w:color w:val="auto"/>
          <w:sz w:val="32"/>
          <w:szCs w:val="32"/>
          <w:highlight w:val="none"/>
        </w:rPr>
        <w:t>2024年支出预算</w:t>
      </w:r>
      <w:r>
        <w:rPr>
          <w:rFonts w:hint="eastAsia" w:ascii="仿宋_GB2312" w:hAnsi="仿宋_GB2312" w:eastAsia="仿宋_GB2312" w:cs="仿宋_GB2312"/>
          <w:color w:val="auto"/>
          <w:sz w:val="32"/>
          <w:szCs w:val="32"/>
          <w:highlight w:val="none"/>
          <w:lang w:val="en-US" w:eastAsia="zh-CN"/>
        </w:rPr>
        <w:t>2260.08</w:t>
      </w:r>
      <w:r>
        <w:rPr>
          <w:rFonts w:hint="eastAsia" w:ascii="仿宋_GB2312" w:hAnsi="仿宋_GB2312" w:eastAsia="仿宋_GB2312" w:cs="仿宋_GB2312"/>
          <w:color w:val="auto"/>
          <w:sz w:val="32"/>
          <w:szCs w:val="32"/>
          <w:highlight w:val="none"/>
        </w:rPr>
        <w:t>万元，比上年执行数减少</w:t>
      </w:r>
      <w:r>
        <w:rPr>
          <w:rFonts w:hint="eastAsia" w:ascii="仿宋_GB2312" w:hAnsi="仿宋_GB2312" w:eastAsia="仿宋_GB2312" w:cs="仿宋_GB2312"/>
          <w:color w:val="auto"/>
          <w:sz w:val="32"/>
          <w:szCs w:val="32"/>
          <w:highlight w:val="none"/>
          <w:lang w:val="en-US" w:eastAsia="zh-CN"/>
        </w:rPr>
        <w:t>41.05</w:t>
      </w:r>
      <w:r>
        <w:rPr>
          <w:rFonts w:hint="eastAsia" w:ascii="仿宋_GB2312" w:hAnsi="仿宋_GB2312" w:eastAsia="仿宋_GB2312" w:cs="仿宋_GB2312"/>
          <w:color w:val="auto"/>
          <w:sz w:val="32"/>
          <w:szCs w:val="32"/>
          <w:highlight w:val="none"/>
        </w:rPr>
        <w:t>万元，下降</w:t>
      </w: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val="en-US" w:eastAsia="zh-CN"/>
        </w:rPr>
        <w:t>上级补助未分配下达，专项资金安排减少</w:t>
      </w:r>
      <w:r>
        <w:rPr>
          <w:rFonts w:hint="eastAsia" w:ascii="仿宋_GB2312" w:hAnsi="仿宋_GB2312" w:eastAsia="仿宋_GB2312" w:cs="仿宋_GB2312"/>
          <w:color w:val="auto"/>
          <w:sz w:val="32"/>
          <w:szCs w:val="32"/>
          <w:highlight w:val="none"/>
        </w:rPr>
        <w:t>。</w:t>
      </w:r>
    </w:p>
    <w:p>
      <w:pPr>
        <w:spacing w:line="520" w:lineRule="exact"/>
        <w:ind w:firstLine="630"/>
        <w:rPr>
          <w:rFonts w:ascii="仿宋_GB2312" w:eastAsia="仿宋_GB2312"/>
          <w:color w:val="auto"/>
          <w:sz w:val="32"/>
          <w:szCs w:val="32"/>
        </w:rPr>
      </w:pPr>
      <w:r>
        <w:rPr>
          <w:rFonts w:hint="eastAsia" w:ascii="仿宋_GB2312" w:eastAsia="仿宋_GB2312"/>
          <w:color w:val="auto"/>
          <w:sz w:val="32"/>
          <w:szCs w:val="32"/>
        </w:rPr>
        <w:t>1.按支出功能分类，包括教育支出</w:t>
      </w:r>
      <w:r>
        <w:rPr>
          <w:rFonts w:hint="eastAsia" w:ascii="仿宋_GB2312" w:eastAsia="仿宋_GB2312"/>
          <w:color w:val="auto"/>
          <w:sz w:val="32"/>
          <w:szCs w:val="32"/>
          <w:lang w:val="en-US" w:eastAsia="zh-CN"/>
        </w:rPr>
        <w:t>1789.17</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309.85</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161.06</w:t>
      </w:r>
      <w:r>
        <w:rPr>
          <w:rFonts w:hint="eastAsia" w:ascii="仿宋_GB2312" w:eastAsia="仿宋_GB2312"/>
          <w:color w:val="auto"/>
          <w:sz w:val="32"/>
          <w:szCs w:val="32"/>
        </w:rPr>
        <w:t>万元。</w:t>
      </w:r>
    </w:p>
    <w:p>
      <w:pPr>
        <w:spacing w:line="520" w:lineRule="exact"/>
        <w:ind w:firstLine="630"/>
        <w:rPr>
          <w:rFonts w:ascii="仿宋_GB2312" w:eastAsia="仿宋_GB2312"/>
          <w:color w:val="auto"/>
          <w:sz w:val="32"/>
          <w:szCs w:val="32"/>
        </w:rPr>
      </w:pPr>
      <w:r>
        <w:rPr>
          <w:rFonts w:hint="eastAsia" w:ascii="仿宋_GB2312" w:eastAsia="仿宋_GB2312"/>
          <w:color w:val="auto"/>
          <w:sz w:val="32"/>
          <w:szCs w:val="32"/>
        </w:rPr>
        <w:t>2.按支出用途分类，包括人员支出</w:t>
      </w:r>
      <w:r>
        <w:rPr>
          <w:rFonts w:hint="eastAsia" w:ascii="仿宋_GB2312" w:eastAsia="仿宋_GB2312"/>
          <w:color w:val="auto"/>
          <w:sz w:val="32"/>
          <w:szCs w:val="32"/>
          <w:lang w:val="en-US" w:eastAsia="zh-CN"/>
        </w:rPr>
        <w:t>2048.37</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90.6</w:t>
      </w:r>
      <w:r>
        <w:rPr>
          <w:rFonts w:hint="eastAsia" w:ascii="仿宋_GB2312" w:eastAsia="仿宋_GB2312"/>
          <w:color w:val="auto"/>
          <w:sz w:val="32"/>
          <w:szCs w:val="32"/>
        </w:rPr>
        <w:t>%；日常公用支出</w:t>
      </w:r>
      <w:r>
        <w:rPr>
          <w:rFonts w:hint="eastAsia" w:ascii="仿宋_GB2312" w:eastAsia="仿宋_GB2312"/>
          <w:color w:val="auto"/>
          <w:sz w:val="32"/>
          <w:szCs w:val="32"/>
          <w:lang w:val="en-US" w:eastAsia="zh-CN"/>
        </w:rPr>
        <w:t>141.23</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6.3</w:t>
      </w:r>
      <w:r>
        <w:rPr>
          <w:rFonts w:hint="eastAsia" w:ascii="仿宋_GB2312" w:eastAsia="仿宋_GB2312"/>
          <w:color w:val="auto"/>
          <w:sz w:val="32"/>
          <w:szCs w:val="32"/>
        </w:rPr>
        <w:t>%；项目支出</w:t>
      </w:r>
      <w:r>
        <w:rPr>
          <w:rFonts w:hint="eastAsia" w:ascii="仿宋_GB2312" w:eastAsia="仿宋_GB2312"/>
          <w:color w:val="auto"/>
          <w:sz w:val="32"/>
          <w:szCs w:val="32"/>
          <w:lang w:val="en-US" w:eastAsia="zh-CN"/>
        </w:rPr>
        <w:t>70.48</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w:t>
      </w:r>
    </w:p>
    <w:p>
      <w:pPr>
        <w:spacing w:line="520" w:lineRule="exact"/>
        <w:ind w:firstLine="642"/>
        <w:rPr>
          <w:rFonts w:ascii="仿宋_GB2312" w:eastAsia="仿宋_GB2312"/>
          <w:color w:val="auto"/>
          <w:sz w:val="32"/>
          <w:szCs w:val="32"/>
        </w:rPr>
      </w:pPr>
      <w:r>
        <w:rPr>
          <w:rFonts w:hint="eastAsia" w:ascii="仿宋_GB2312" w:eastAsia="仿宋_GB2312"/>
          <w:color w:val="auto"/>
          <w:sz w:val="32"/>
          <w:szCs w:val="32"/>
        </w:rPr>
        <w:t>结转下年</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${page855778723.ds388518707_V_REP_BGT_DEP_INCOME_JZXN}</w:instrText>
      </w:r>
      <w:r>
        <w:rPr>
          <w:rFonts w:ascii="仿宋_GB2312" w:eastAsia="仿宋_GB2312"/>
          <w:color w:val="auto"/>
          <w:sz w:val="32"/>
          <w:szCs w:val="32"/>
        </w:rPr>
        <w:fldChar w:fldCharType="separate"/>
      </w:r>
      <w:r>
        <w:rPr>
          <w:rFonts w:hint="eastAsia" w:ascii="仿宋_GB2312" w:eastAsia="仿宋_GB2312"/>
          <w:color w:val="auto"/>
          <w:sz w:val="32"/>
          <w:szCs w:val="32"/>
        </w:rPr>
        <w:t>0.00</w:t>
      </w:r>
      <w:r>
        <w:rPr>
          <w:color w:val="auto"/>
        </w:rPr>
        <w:fldChar w:fldCharType="end"/>
      </w:r>
      <w:r>
        <w:rPr>
          <w:rFonts w:hint="eastAsia" w:ascii="仿宋_GB2312" w:eastAsia="仿宋_GB2312"/>
          <w:color w:val="auto"/>
          <w:sz w:val="32"/>
          <w:szCs w:val="32"/>
        </w:rPr>
        <w:t>万元。</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（四）关于</w:t>
      </w:r>
      <w:r>
        <w:rPr>
          <w:rFonts w:hint="eastAsia" w:ascii="楷体_GB2312" w:hAnsi="楷体_GB2312" w:eastAsia="楷体_GB2312" w:cs="楷体_GB2312"/>
          <w:bCs/>
          <w:color w:val="auto"/>
          <w:sz w:val="32"/>
          <w:szCs w:val="32"/>
          <w:lang w:val="en-US" w:eastAsia="zh-CN"/>
        </w:rPr>
        <w:t>德清县乾元镇清溪小学</w:t>
      </w:r>
      <w:r>
        <w:rPr>
          <w:rFonts w:hint="eastAsia" w:ascii="楷体_GB2312" w:hAnsi="楷体_GB2312" w:eastAsia="楷体_GB2312" w:cs="楷体_GB2312"/>
          <w:bCs/>
          <w:color w:val="auto"/>
          <w:sz w:val="32"/>
          <w:szCs w:val="32"/>
        </w:rPr>
        <w:t>2024年财政拨款收支预算情况的总体说明</w:t>
      </w:r>
    </w:p>
    <w:p>
      <w:pPr>
        <w:spacing w:line="520" w:lineRule="exact"/>
        <w:ind w:firstLine="630"/>
        <w:rPr>
          <w:rFonts w:ascii="仿宋_GB2312" w:eastAsia="仿宋_GB2312"/>
          <w:color w:val="auto"/>
          <w:sz w:val="32"/>
          <w:szCs w:val="32"/>
        </w:rPr>
      </w:pPr>
      <w:r>
        <w:rPr>
          <w:rFonts w:hint="eastAsia" w:ascii="仿宋_GB2312" w:eastAsia="仿宋_GB2312"/>
          <w:color w:val="auto"/>
          <w:sz w:val="32"/>
          <w:szCs w:val="32"/>
          <w:lang w:val="en-US" w:eastAsia="zh-CN"/>
        </w:rPr>
        <w:t>德清县乾元镇清溪小学</w:t>
      </w:r>
      <w:r>
        <w:rPr>
          <w:rFonts w:hint="eastAsia" w:ascii="仿宋_GB2312" w:eastAsia="仿宋_GB2312"/>
          <w:color w:val="auto"/>
          <w:sz w:val="32"/>
          <w:szCs w:val="32"/>
        </w:rPr>
        <w:t>2024年财政拨款收支总预算</w:t>
      </w:r>
      <w:r>
        <w:rPr>
          <w:rFonts w:hint="eastAsia" w:ascii="仿宋_GB2312" w:eastAsia="仿宋_GB2312"/>
          <w:color w:val="auto"/>
          <w:sz w:val="32"/>
          <w:szCs w:val="32"/>
          <w:lang w:val="en-US" w:eastAsia="zh-CN"/>
        </w:rPr>
        <w:t>2124.08</w:t>
      </w:r>
      <w:r>
        <w:rPr>
          <w:rFonts w:hint="eastAsia" w:ascii="仿宋_GB2312" w:eastAsia="仿宋_GB2312"/>
          <w:color w:val="auto"/>
          <w:sz w:val="32"/>
          <w:szCs w:val="32"/>
        </w:rPr>
        <w:t>万元。收入包括：一般公共预算</w:t>
      </w:r>
      <w:r>
        <w:rPr>
          <w:rFonts w:hint="eastAsia" w:ascii="仿宋_GB2312" w:eastAsia="仿宋_GB2312"/>
          <w:color w:val="auto"/>
          <w:sz w:val="32"/>
          <w:szCs w:val="32"/>
          <w:lang w:val="en-US" w:eastAsia="zh-CN"/>
        </w:rPr>
        <w:t>2124.08</w:t>
      </w:r>
      <w:r>
        <w:rPr>
          <w:rFonts w:hint="eastAsia" w:ascii="仿宋_GB2312" w:eastAsia="仿宋_GB2312"/>
          <w:color w:val="auto"/>
          <w:sz w:val="32"/>
          <w:szCs w:val="32"/>
        </w:rPr>
        <w:t>万元；支出包括：教育支出</w:t>
      </w:r>
      <w:r>
        <w:rPr>
          <w:rFonts w:hint="eastAsia" w:ascii="仿宋_GB2312" w:eastAsia="仿宋_GB2312"/>
          <w:color w:val="auto"/>
          <w:sz w:val="32"/>
          <w:szCs w:val="32"/>
          <w:lang w:val="en-US" w:eastAsia="zh-CN"/>
        </w:rPr>
        <w:t>1653.17</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309.85</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161.06</w:t>
      </w:r>
      <w:r>
        <w:rPr>
          <w:rFonts w:hint="eastAsia" w:ascii="仿宋_GB2312" w:eastAsia="仿宋_GB2312"/>
          <w:color w:val="auto"/>
          <w:sz w:val="32"/>
          <w:szCs w:val="32"/>
        </w:rPr>
        <w:t>万元</w:t>
      </w:r>
      <w:r>
        <w:rPr>
          <w:rFonts w:hint="eastAsia" w:ascii="仿宋_GB2312" w:eastAsia="仿宋_GB2312"/>
          <w:b/>
          <w:color w:val="auto"/>
          <w:sz w:val="32"/>
          <w:szCs w:val="32"/>
        </w:rPr>
        <w:t>。</w:t>
      </w:r>
    </w:p>
    <w:p>
      <w:pPr>
        <w:numPr>
          <w:ilvl w:val="0"/>
          <w:numId w:val="1"/>
        </w:numPr>
        <w:spacing w:line="520" w:lineRule="exact"/>
        <w:ind w:firstLine="640"/>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关于</w:t>
      </w:r>
      <w:r>
        <w:rPr>
          <w:rFonts w:hint="eastAsia" w:ascii="楷体_GB2312" w:hAnsi="楷体_GB2312" w:eastAsia="楷体_GB2312" w:cs="楷体_GB2312"/>
          <w:bCs/>
          <w:color w:val="auto"/>
          <w:sz w:val="32"/>
          <w:szCs w:val="32"/>
          <w:lang w:val="en-US" w:eastAsia="zh-CN"/>
        </w:rPr>
        <w:t>德清县乾元镇清溪小学</w:t>
      </w:r>
      <w:r>
        <w:rPr>
          <w:rFonts w:hint="eastAsia" w:ascii="楷体_GB2312" w:hAnsi="楷体_GB2312" w:eastAsia="楷体_GB2312" w:cs="楷体_GB2312"/>
          <w:bCs/>
          <w:color w:val="auto"/>
          <w:sz w:val="32"/>
          <w:szCs w:val="32"/>
        </w:rPr>
        <w:t>2024年一般公共预算当年拨款情况说明</w:t>
      </w:r>
    </w:p>
    <w:p>
      <w:pPr>
        <w:spacing w:line="520" w:lineRule="exact"/>
        <w:ind w:firstLine="642"/>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1.一般公共预算当年拨款规模变化情况。</w:t>
      </w:r>
    </w:p>
    <w:p>
      <w:pPr>
        <w:spacing w:line="520" w:lineRule="exact"/>
        <w:ind w:firstLine="64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德清县乾元镇清溪小学</w:t>
      </w:r>
      <w:r>
        <w:rPr>
          <w:rFonts w:hint="eastAsia" w:ascii="仿宋_GB2312" w:hAnsi="仿宋_GB2312" w:eastAsia="仿宋_GB2312" w:cs="仿宋_GB2312"/>
          <w:color w:val="auto"/>
          <w:sz w:val="32"/>
          <w:szCs w:val="32"/>
          <w:highlight w:val="none"/>
        </w:rPr>
        <w:t>2024年一般公共预算当年拨款</w:t>
      </w:r>
      <w:r>
        <w:rPr>
          <w:rFonts w:hint="eastAsia" w:ascii="仿宋_GB2312" w:hAnsi="仿宋_GB2312" w:eastAsia="仿宋_GB2312" w:cs="仿宋_GB2312"/>
          <w:color w:val="auto"/>
          <w:sz w:val="32"/>
          <w:szCs w:val="32"/>
          <w:highlight w:val="none"/>
          <w:lang w:val="en-US" w:eastAsia="zh-CN"/>
        </w:rPr>
        <w:t>2124.08</w:t>
      </w:r>
      <w:r>
        <w:rPr>
          <w:rFonts w:hint="eastAsia" w:ascii="仿宋_GB2312" w:hAnsi="仿宋_GB2312" w:eastAsia="仿宋_GB2312" w:cs="仿宋_GB2312"/>
          <w:color w:val="auto"/>
          <w:sz w:val="32"/>
          <w:szCs w:val="32"/>
          <w:highlight w:val="none"/>
        </w:rPr>
        <w:t>万元，比上年执行数减少</w:t>
      </w:r>
      <w:r>
        <w:rPr>
          <w:rFonts w:hint="eastAsia" w:ascii="仿宋_GB2312" w:hAnsi="仿宋_GB2312" w:eastAsia="仿宋_GB2312" w:cs="仿宋_GB2312"/>
          <w:color w:val="auto"/>
          <w:sz w:val="32"/>
          <w:szCs w:val="32"/>
          <w:highlight w:val="none"/>
          <w:lang w:val="en-US" w:eastAsia="zh-CN"/>
        </w:rPr>
        <w:t>64.63</w:t>
      </w:r>
      <w:r>
        <w:rPr>
          <w:rFonts w:hint="eastAsia" w:ascii="仿宋_GB2312" w:hAnsi="仿宋_GB2312" w:eastAsia="仿宋_GB2312" w:cs="仿宋_GB2312"/>
          <w:color w:val="auto"/>
          <w:sz w:val="32"/>
          <w:szCs w:val="32"/>
          <w:highlight w:val="none"/>
        </w:rPr>
        <w:t>万元，下</w:t>
      </w:r>
      <w:r>
        <w:rPr>
          <w:rFonts w:hint="eastAsia" w:ascii="仿宋_GB2312" w:hAnsi="仿宋_GB2312" w:eastAsia="仿宋_GB2312" w:cs="仿宋_GB2312"/>
          <w:color w:val="auto"/>
          <w:sz w:val="32"/>
          <w:highlight w:val="none"/>
        </w:rPr>
        <w:t>降</w:t>
      </w:r>
      <w:r>
        <w:rPr>
          <w:rFonts w:hint="eastAsia" w:ascii="仿宋_GB2312" w:hAnsi="仿宋_GB2312" w:eastAsia="仿宋_GB2312" w:cs="仿宋_GB2312"/>
          <w:color w:val="auto"/>
          <w:sz w:val="32"/>
          <w:highlight w:val="none"/>
          <w:lang w:val="en-US" w:eastAsia="zh-CN"/>
        </w:rPr>
        <w:t>3.0</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val="en-US" w:eastAsia="zh-CN"/>
        </w:rPr>
        <w:t>上级补助未分配下达，专项资金安排减少</w:t>
      </w:r>
      <w:r>
        <w:rPr>
          <w:rFonts w:hint="eastAsia" w:ascii="仿宋_GB2312" w:hAnsi="仿宋_GB2312" w:eastAsia="仿宋_GB2312" w:cs="仿宋_GB2312"/>
          <w:color w:val="auto"/>
          <w:sz w:val="32"/>
          <w:szCs w:val="32"/>
          <w:highlight w:val="none"/>
        </w:rPr>
        <w:t>。</w:t>
      </w:r>
    </w:p>
    <w:p>
      <w:pPr>
        <w:spacing w:line="520" w:lineRule="exact"/>
        <w:ind w:firstLine="642"/>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2.一般公共预算当年拨款结构情况。</w:t>
      </w:r>
    </w:p>
    <w:p>
      <w:pPr>
        <w:spacing w:line="520" w:lineRule="exact"/>
        <w:ind w:firstLine="640" w:firstLineChars="200"/>
        <w:rPr>
          <w:rFonts w:hint="eastAsia" w:ascii="仿宋_GB2312" w:eastAsia="仿宋_GB2312"/>
          <w:b/>
          <w:color w:val="auto"/>
          <w:sz w:val="32"/>
          <w:szCs w:val="32"/>
          <w:lang w:eastAsia="zh-CN"/>
        </w:rPr>
      </w:pPr>
      <w:r>
        <w:rPr>
          <w:rFonts w:hint="eastAsia" w:ascii="仿宋_GB2312" w:hAnsi="仿宋_GB2312" w:eastAsia="仿宋_GB2312" w:cs="仿宋_GB2312"/>
          <w:color w:val="auto"/>
          <w:sz w:val="32"/>
          <w:szCs w:val="32"/>
        </w:rPr>
        <w:t>教育（类）支出</w:t>
      </w:r>
      <w:r>
        <w:rPr>
          <w:rFonts w:hint="eastAsia" w:ascii="仿宋_GB2312" w:hAnsi="仿宋_GB2312" w:eastAsia="仿宋_GB2312" w:cs="仿宋_GB2312"/>
          <w:color w:val="auto"/>
          <w:sz w:val="32"/>
          <w:szCs w:val="32"/>
          <w:lang w:val="en-US" w:eastAsia="zh-CN"/>
        </w:rPr>
        <w:t>1653.17</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77.8</w:t>
      </w:r>
      <w:r>
        <w:rPr>
          <w:rFonts w:hint="eastAsia" w:ascii="仿宋_GB2312" w:hAnsi="仿宋_GB2312" w:eastAsia="仿宋_GB2312" w:cs="仿宋_GB2312"/>
          <w:color w:val="auto"/>
          <w:sz w:val="32"/>
          <w:szCs w:val="32"/>
        </w:rPr>
        <w:t>%；社会保障和就业（类）支出</w:t>
      </w:r>
      <w:r>
        <w:rPr>
          <w:rFonts w:hint="eastAsia" w:ascii="仿宋_GB2312" w:hAnsi="仿宋_GB2312" w:eastAsia="仿宋_GB2312" w:cs="仿宋_GB2312"/>
          <w:color w:val="auto"/>
          <w:sz w:val="32"/>
          <w:szCs w:val="32"/>
          <w:lang w:val="en-US" w:eastAsia="zh-CN"/>
        </w:rPr>
        <w:t>309.85</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14.6</w:t>
      </w:r>
      <w:r>
        <w:rPr>
          <w:rFonts w:hint="eastAsia" w:ascii="仿宋_GB2312" w:hAnsi="仿宋_GB2312" w:eastAsia="仿宋_GB2312" w:cs="仿宋_GB2312"/>
          <w:color w:val="auto"/>
          <w:sz w:val="32"/>
          <w:szCs w:val="32"/>
        </w:rPr>
        <w:t>%；卫生健康（类）支出</w:t>
      </w:r>
      <w:r>
        <w:rPr>
          <w:rFonts w:hint="eastAsia" w:ascii="仿宋_GB2312" w:hAnsi="仿宋_GB2312" w:eastAsia="仿宋_GB2312" w:cs="仿宋_GB2312"/>
          <w:color w:val="auto"/>
          <w:sz w:val="32"/>
          <w:szCs w:val="32"/>
          <w:lang w:val="en-US" w:eastAsia="zh-CN"/>
        </w:rPr>
        <w:t>161.06</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7.6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20" w:lineRule="exact"/>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一般公共预算当年拨款具体使用情况。</w:t>
      </w:r>
    </w:p>
    <w:p>
      <w:pPr>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教育支出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普通教育</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val="en-US" w:eastAsia="zh-CN"/>
        </w:rPr>
        <w:t>小学教育</w:t>
      </w:r>
      <w:r>
        <w:rPr>
          <w:rFonts w:hint="eastAsia" w:ascii="仿宋_GB2312" w:hAnsi="仿宋_GB2312" w:eastAsia="仿宋_GB2312" w:cs="仿宋_GB2312"/>
          <w:color w:val="auto"/>
          <w:sz w:val="32"/>
          <w:szCs w:val="32"/>
        </w:rPr>
        <w:t>（项）</w:t>
      </w:r>
      <w:r>
        <w:rPr>
          <w:rFonts w:hint="eastAsia" w:ascii="仿宋_GB2312" w:hAnsi="仿宋_GB2312" w:eastAsia="仿宋_GB2312" w:cs="仿宋_GB2312"/>
          <w:color w:val="auto"/>
          <w:sz w:val="32"/>
          <w:szCs w:val="32"/>
          <w:lang w:val="en-US" w:eastAsia="zh-CN"/>
        </w:rPr>
        <w:t>1653.17</w:t>
      </w:r>
      <w:r>
        <w:rPr>
          <w:rFonts w:hint="eastAsia" w:ascii="仿宋_GB2312" w:hAnsi="仿宋_GB2312" w:eastAsia="仿宋_GB2312" w:cs="仿宋_GB2312"/>
          <w:color w:val="auto"/>
          <w:sz w:val="32"/>
          <w:szCs w:val="32"/>
        </w:rPr>
        <w:t>万元，主要用于</w:t>
      </w:r>
      <w:r>
        <w:rPr>
          <w:rFonts w:hint="eastAsia" w:ascii="仿宋_GB2312" w:hAnsi="楷体_GB2312" w:eastAsia="仿宋_GB2312" w:cs="楷体_GB2312"/>
          <w:color w:val="auto"/>
          <w:sz w:val="32"/>
          <w:szCs w:val="32"/>
        </w:rPr>
        <w:t>学校小学教育的支出</w:t>
      </w:r>
      <w:r>
        <w:rPr>
          <w:rFonts w:hint="eastAsia" w:ascii="仿宋_GB2312" w:hAnsi="仿宋_GB2312" w:eastAsia="仿宋_GB2312" w:cs="仿宋_GB2312"/>
          <w:color w:val="auto"/>
          <w:sz w:val="32"/>
          <w:szCs w:val="32"/>
        </w:rPr>
        <w:t>。</w:t>
      </w:r>
    </w:p>
    <w:p>
      <w:pPr>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（2）社会保障和就业支出（类）行政事业单位养老支出（款）事业单位离退休（项）</w:t>
      </w:r>
      <w:r>
        <w:rPr>
          <w:rFonts w:hint="eastAsia" w:ascii="仿宋_GB2312" w:hAnsi="仿宋_GB2312" w:eastAsia="仿宋_GB2312" w:cs="仿宋_GB2312"/>
          <w:color w:val="auto"/>
          <w:sz w:val="32"/>
          <w:szCs w:val="32"/>
          <w:lang w:val="en-US" w:eastAsia="zh-CN"/>
        </w:rPr>
        <w:t>150.61</w:t>
      </w:r>
      <w:r>
        <w:rPr>
          <w:rFonts w:hint="eastAsia" w:ascii="仿宋_GB2312" w:hAnsi="仿宋_GB2312" w:eastAsia="仿宋_GB2312" w:cs="仿宋_GB2312"/>
          <w:color w:val="auto"/>
          <w:sz w:val="32"/>
          <w:szCs w:val="32"/>
        </w:rPr>
        <w:t>万元，主要用于退休教师退休福利费支出。</w:t>
      </w:r>
    </w:p>
    <w:p>
      <w:pPr>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（3）社会保障和就业支出（类）行政事业单位养老支出（款）机关事业单位基本养老保险缴费支出（项）</w:t>
      </w:r>
      <w:r>
        <w:rPr>
          <w:rFonts w:hint="eastAsia" w:ascii="仿宋_GB2312" w:hAnsi="仿宋_GB2312" w:eastAsia="仿宋_GB2312" w:cs="仿宋_GB2312"/>
          <w:color w:val="auto"/>
          <w:sz w:val="32"/>
          <w:szCs w:val="32"/>
          <w:lang w:val="en-US" w:eastAsia="zh-CN"/>
        </w:rPr>
        <w:t>106.16</w:t>
      </w:r>
      <w:r>
        <w:rPr>
          <w:rFonts w:hint="eastAsia" w:ascii="仿宋_GB2312" w:hAnsi="仿宋_GB2312" w:eastAsia="仿宋_GB2312" w:cs="仿宋_GB2312"/>
          <w:color w:val="auto"/>
          <w:sz w:val="32"/>
          <w:szCs w:val="32"/>
        </w:rPr>
        <w:t>万元，主要用于主要用于</w:t>
      </w:r>
      <w:r>
        <w:rPr>
          <w:rFonts w:hint="eastAsia" w:ascii="仿宋_GB2312" w:hAnsi="楷体_GB2312" w:eastAsia="仿宋_GB2312" w:cs="楷体_GB2312"/>
          <w:color w:val="auto"/>
          <w:sz w:val="32"/>
          <w:szCs w:val="32"/>
        </w:rPr>
        <w:t>学校实施养老保险制度由学校缴纳的基本养老保险费的支出</w:t>
      </w:r>
      <w:r>
        <w:rPr>
          <w:rFonts w:hint="eastAsia" w:ascii="仿宋_GB2312" w:hAnsi="仿宋_GB2312" w:eastAsia="仿宋_GB2312" w:cs="仿宋_GB2312"/>
          <w:color w:val="auto"/>
          <w:sz w:val="32"/>
          <w:szCs w:val="32"/>
        </w:rPr>
        <w:t>。</w:t>
      </w:r>
    </w:p>
    <w:p>
      <w:pPr>
        <w:spacing w:line="520" w:lineRule="exact"/>
        <w:ind w:firstLine="640"/>
        <w:rPr>
          <w:rFonts w:hint="eastAsia" w:ascii="仿宋_GB2312" w:hAnsi="仿宋_GB2312" w:eastAsia="仿宋_GB2312" w:cs="仿宋_GB2312"/>
          <w:color w:val="auto"/>
          <w:sz w:val="32"/>
          <w:szCs w:val="32"/>
        </w:rPr>
      </w:pPr>
      <w:r>
        <w:rPr>
          <w:rFonts w:hint="eastAsia"/>
          <w:color w:val="auto"/>
          <w:lang w:val="en-US" w:eastAsia="zh-CN"/>
        </w:rPr>
        <w:t xml:space="preserve"> </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）社会保障和就业支出（类）行政事业单位养老支出（款）机关事业单位职业年金缴费支出（项）</w:t>
      </w:r>
      <w:r>
        <w:rPr>
          <w:rFonts w:hint="eastAsia" w:ascii="仿宋_GB2312" w:hAnsi="仿宋_GB2312" w:eastAsia="仿宋_GB2312" w:cs="仿宋_GB2312"/>
          <w:color w:val="auto"/>
          <w:sz w:val="32"/>
          <w:szCs w:val="32"/>
          <w:lang w:val="en-US" w:eastAsia="zh-CN"/>
        </w:rPr>
        <w:t>53.08</w:t>
      </w:r>
      <w:r>
        <w:rPr>
          <w:rFonts w:hint="eastAsia" w:ascii="仿宋_GB2312" w:hAnsi="仿宋_GB2312" w:eastAsia="仿宋_GB2312" w:cs="仿宋_GB2312"/>
          <w:color w:val="auto"/>
          <w:sz w:val="32"/>
          <w:szCs w:val="32"/>
        </w:rPr>
        <w:t>万元，主要用于</w:t>
      </w:r>
      <w:r>
        <w:rPr>
          <w:rFonts w:hint="eastAsia" w:ascii="仿宋_GB2312" w:hAnsi="楷体_GB2312" w:eastAsia="仿宋_GB2312" w:cs="楷体_GB2312"/>
          <w:color w:val="auto"/>
          <w:sz w:val="32"/>
          <w:szCs w:val="32"/>
        </w:rPr>
        <w:t>学校实施养老保险制度由学校实际缴纳的职业年金支出</w:t>
      </w:r>
      <w:r>
        <w:rPr>
          <w:rFonts w:hint="eastAsia" w:ascii="仿宋_GB2312" w:hAnsi="仿宋_GB2312" w:eastAsia="仿宋_GB2312" w:cs="仿宋_GB2312"/>
          <w:color w:val="auto"/>
          <w:sz w:val="32"/>
          <w:szCs w:val="32"/>
        </w:rPr>
        <w:t>。</w:t>
      </w:r>
    </w:p>
    <w:p>
      <w:pPr>
        <w:pStyle w:val="2"/>
        <w:ind w:firstLine="640" w:firstLineChars="200"/>
        <w:rPr>
          <w:color w:val="auto"/>
        </w:rPr>
      </w:pPr>
      <w:r>
        <w:rPr>
          <w:rFonts w:hint="eastAsia" w:cs="仿宋_GB2312"/>
          <w:color w:val="auto"/>
          <w:sz w:val="32"/>
          <w:szCs w:val="32"/>
          <w:lang w:eastAsia="zh-CN"/>
        </w:rPr>
        <w:t>（</w:t>
      </w:r>
      <w:r>
        <w:rPr>
          <w:rFonts w:hint="eastAsia" w:cs="仿宋_GB2312"/>
          <w:color w:val="auto"/>
          <w:sz w:val="32"/>
          <w:szCs w:val="32"/>
          <w:lang w:val="en-US" w:eastAsia="zh-CN"/>
        </w:rPr>
        <w:t>5</w:t>
      </w:r>
      <w:r>
        <w:rPr>
          <w:rFonts w:hint="eastAsia" w:cs="仿宋_GB2312"/>
          <w:color w:val="auto"/>
          <w:sz w:val="32"/>
          <w:szCs w:val="32"/>
          <w:lang w:eastAsia="zh-CN"/>
        </w:rPr>
        <w:t>）</w:t>
      </w:r>
      <w:r>
        <w:rPr>
          <w:rFonts w:hint="eastAsia" w:cs="仿宋_GB2312"/>
          <w:color w:val="auto"/>
          <w:sz w:val="32"/>
          <w:szCs w:val="32"/>
          <w:lang w:val="en-US" w:eastAsia="zh-CN"/>
        </w:rPr>
        <w:t>卫生健康</w:t>
      </w:r>
      <w:r>
        <w:rPr>
          <w:rFonts w:hint="eastAsia" w:ascii="仿宋_GB2312" w:hAnsi="仿宋_GB2312" w:eastAsia="仿宋_GB2312" w:cs="仿宋_GB2312"/>
          <w:color w:val="auto"/>
          <w:sz w:val="32"/>
          <w:szCs w:val="32"/>
          <w:lang w:val="en-US" w:eastAsia="zh-CN"/>
        </w:rPr>
        <w:t>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行政事业单位</w:t>
      </w:r>
      <w:r>
        <w:rPr>
          <w:rFonts w:hint="eastAsia" w:cs="仿宋_GB2312"/>
          <w:color w:val="auto"/>
          <w:sz w:val="32"/>
          <w:szCs w:val="32"/>
          <w:lang w:val="en-US" w:eastAsia="zh-CN"/>
        </w:rPr>
        <w:t>医疗</w:t>
      </w:r>
      <w:r>
        <w:rPr>
          <w:rFonts w:hint="eastAsia" w:ascii="仿宋_GB2312" w:hAnsi="仿宋_GB2312" w:eastAsia="仿宋_GB2312" w:cs="仿宋_GB2312"/>
          <w:color w:val="auto"/>
          <w:sz w:val="32"/>
          <w:szCs w:val="32"/>
        </w:rPr>
        <w:t>（款）</w:t>
      </w:r>
      <w:r>
        <w:rPr>
          <w:rFonts w:hint="eastAsia" w:cs="仿宋_GB2312"/>
          <w:color w:val="auto"/>
          <w:sz w:val="32"/>
          <w:szCs w:val="32"/>
          <w:lang w:val="en-US" w:eastAsia="zh-CN"/>
        </w:rPr>
        <w:t>事业单位医疗</w:t>
      </w:r>
      <w:r>
        <w:rPr>
          <w:rFonts w:hint="eastAsia" w:ascii="仿宋_GB2312" w:hAnsi="仿宋_GB2312" w:eastAsia="仿宋_GB2312" w:cs="仿宋_GB2312"/>
          <w:color w:val="auto"/>
          <w:sz w:val="32"/>
          <w:szCs w:val="32"/>
        </w:rPr>
        <w:t>（项）</w:t>
      </w:r>
      <w:r>
        <w:rPr>
          <w:rFonts w:hint="eastAsia" w:cs="仿宋_GB2312"/>
          <w:color w:val="auto"/>
          <w:sz w:val="32"/>
          <w:szCs w:val="32"/>
          <w:lang w:val="en-US" w:eastAsia="zh-CN"/>
        </w:rPr>
        <w:t>161.06</w:t>
      </w:r>
      <w:r>
        <w:rPr>
          <w:rFonts w:hint="eastAsia" w:ascii="仿宋_GB2312" w:hAnsi="仿宋_GB2312" w:eastAsia="仿宋_GB2312" w:cs="仿宋_GB2312"/>
          <w:color w:val="auto"/>
          <w:sz w:val="32"/>
          <w:szCs w:val="32"/>
        </w:rPr>
        <w:t>万元，主要用于</w:t>
      </w:r>
      <w:r>
        <w:rPr>
          <w:rFonts w:hint="eastAsia" w:ascii="仿宋_GB2312" w:hAnsi="楷体_GB2312" w:eastAsia="仿宋_GB2312" w:cs="楷体_GB2312"/>
          <w:color w:val="auto"/>
          <w:sz w:val="32"/>
          <w:szCs w:val="32"/>
        </w:rPr>
        <w:t>反映财政部门集中安排的事业单位基本医疗保险缴费经费，未参加医疗保险的事业单位的公费医疗经费，按国家规定享受离休人员待遇的医疗经费</w:t>
      </w:r>
      <w:r>
        <w:rPr>
          <w:rFonts w:hint="eastAsia" w:ascii="仿宋_GB2312" w:hAnsi="仿宋_GB2312" w:eastAsia="仿宋_GB2312" w:cs="仿宋_GB2312"/>
          <w:color w:val="auto"/>
          <w:sz w:val="32"/>
          <w:szCs w:val="32"/>
        </w:rPr>
        <w:t>。</w:t>
      </w:r>
    </w:p>
    <w:p>
      <w:pPr>
        <w:spacing w:line="520" w:lineRule="exact"/>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 xml:space="preserve">    （六）关于</w:t>
      </w:r>
      <w:r>
        <w:rPr>
          <w:rFonts w:hint="eastAsia" w:ascii="楷体_GB2312" w:hAnsi="楷体_GB2312" w:eastAsia="楷体_GB2312" w:cs="楷体_GB2312"/>
          <w:bCs/>
          <w:color w:val="auto"/>
          <w:sz w:val="32"/>
          <w:szCs w:val="32"/>
          <w:lang w:val="en-US" w:eastAsia="zh-CN"/>
        </w:rPr>
        <w:t>德清县乾元镇清溪小学</w:t>
      </w:r>
      <w:r>
        <w:rPr>
          <w:rFonts w:ascii="楷体_GB2312" w:hAnsi="楷体_GB2312" w:eastAsia="楷体_GB2312" w:cs="楷体_GB2312"/>
          <w:bCs/>
          <w:color w:val="auto"/>
          <w:sz w:val="32"/>
          <w:szCs w:val="32"/>
        </w:rPr>
        <w:fldChar w:fldCharType="begin"/>
      </w:r>
      <w:r>
        <w:rPr>
          <w:rFonts w:hint="eastAsia" w:ascii="楷体_GB2312" w:hAnsi="楷体_GB2312" w:eastAsia="楷体_GB2312" w:cs="楷体_GB2312"/>
          <w:bCs/>
          <w:color w:val="auto"/>
          <w:sz w:val="32"/>
          <w:szCs w:val="32"/>
        </w:rPr>
        <w:instrText xml:space="preserve">MERGEFIELD ${page822508942.ds388518707_V_RPT_BAS_AGENCY_INFO_LEINAME}</w:instrText>
      </w:r>
      <w:r>
        <w:rPr>
          <w:rFonts w:ascii="楷体_GB2312" w:hAnsi="楷体_GB2312" w:eastAsia="楷体_GB2312" w:cs="楷体_GB2312"/>
          <w:bCs/>
          <w:color w:val="auto"/>
          <w:sz w:val="32"/>
          <w:szCs w:val="32"/>
        </w:rPr>
        <w:fldChar w:fldCharType="end"/>
      </w:r>
      <w:r>
        <w:rPr>
          <w:rFonts w:hint="eastAsia" w:ascii="楷体_GB2312" w:hAnsi="楷体_GB2312" w:eastAsia="楷体_GB2312" w:cs="楷体_GB2312"/>
          <w:bCs/>
          <w:color w:val="auto"/>
          <w:sz w:val="32"/>
          <w:szCs w:val="32"/>
        </w:rPr>
        <w:t>2024年一般公共预算基本支出情况说明</w:t>
      </w:r>
    </w:p>
    <w:p>
      <w:pPr>
        <w:spacing w:line="520" w:lineRule="exact"/>
        <w:ind w:firstLine="642"/>
        <w:rPr>
          <w:rFonts w:ascii="仿宋_GB2312" w:eastAsia="仿宋_GB2312"/>
          <w:color w:val="auto"/>
          <w:sz w:val="32"/>
          <w:szCs w:val="32"/>
        </w:rPr>
      </w:pPr>
      <w:r>
        <w:rPr>
          <w:rFonts w:hint="eastAsia" w:ascii="仿宋_GB2312" w:eastAsia="仿宋_GB2312"/>
          <w:color w:val="auto"/>
          <w:sz w:val="32"/>
          <w:szCs w:val="32"/>
          <w:lang w:val="en-US" w:eastAsia="zh-CN"/>
        </w:rPr>
        <w:t>德清县乾元镇清溪小学</w:t>
      </w:r>
      <w:r>
        <w:rPr>
          <w:rFonts w:hint="eastAsia" w:ascii="仿宋_GB2312" w:eastAsia="仿宋_GB2312"/>
          <w:color w:val="auto"/>
          <w:sz w:val="32"/>
          <w:szCs w:val="32"/>
        </w:rPr>
        <w:t>2024年一般公共预算基本支出</w:t>
      </w:r>
      <w:r>
        <w:rPr>
          <w:rFonts w:hint="eastAsia" w:ascii="仿宋_GB2312" w:eastAsia="仿宋_GB2312"/>
          <w:color w:val="auto"/>
          <w:sz w:val="32"/>
          <w:szCs w:val="32"/>
          <w:lang w:val="en-US" w:eastAsia="zh-CN"/>
        </w:rPr>
        <w:t>2073.6</w:t>
      </w:r>
      <w:r>
        <w:rPr>
          <w:rFonts w:hint="eastAsia" w:ascii="仿宋_GB2312" w:eastAsia="仿宋_GB2312"/>
          <w:color w:val="auto"/>
          <w:sz w:val="32"/>
          <w:szCs w:val="32"/>
        </w:rPr>
        <w:t>万元，其中：</w:t>
      </w:r>
    </w:p>
    <w:p>
      <w:pPr>
        <w:spacing w:line="520" w:lineRule="exact"/>
        <w:ind w:firstLine="642"/>
        <w:rPr>
          <w:rFonts w:hint="eastAsia" w:ascii="仿宋_GB2312" w:eastAsia="仿宋_GB2312"/>
          <w:b/>
          <w:color w:val="auto"/>
          <w:sz w:val="32"/>
          <w:szCs w:val="32"/>
        </w:rPr>
      </w:pPr>
      <w:r>
        <w:rPr>
          <w:rFonts w:hint="eastAsia" w:ascii="仿宋_GB2312" w:eastAsia="仿宋_GB2312"/>
          <w:color w:val="auto"/>
          <w:sz w:val="32"/>
          <w:szCs w:val="32"/>
        </w:rPr>
        <w:t>人员经费</w:t>
      </w:r>
      <w:r>
        <w:rPr>
          <w:rFonts w:hint="eastAsia" w:ascii="仿宋_GB2312" w:eastAsia="仿宋_GB2312"/>
          <w:color w:val="auto"/>
          <w:sz w:val="32"/>
          <w:szCs w:val="32"/>
          <w:lang w:val="en-US" w:eastAsia="zh-CN"/>
        </w:rPr>
        <w:t>1932.37</w:t>
      </w:r>
      <w:r>
        <w:rPr>
          <w:rFonts w:hint="eastAsia" w:ascii="仿宋_GB2312" w:eastAsia="仿宋_GB2312"/>
          <w:color w:val="auto"/>
          <w:sz w:val="32"/>
          <w:szCs w:val="32"/>
        </w:rPr>
        <w:t>万元，主要包括：基本工资、津贴补贴、奖金、</w:t>
      </w:r>
      <w:r>
        <w:rPr>
          <w:rFonts w:hint="eastAsia" w:ascii="仿宋_GB2312" w:eastAsia="仿宋_GB2312"/>
          <w:color w:val="auto"/>
          <w:sz w:val="32"/>
          <w:szCs w:val="32"/>
          <w:lang w:val="en-US" w:eastAsia="zh-CN"/>
        </w:rPr>
        <w:t>伙食补贴、</w:t>
      </w:r>
      <w:r>
        <w:rPr>
          <w:rFonts w:hint="eastAsia" w:ascii="仿宋_GB2312" w:eastAsia="仿宋_GB2312"/>
          <w:color w:val="auto"/>
          <w:sz w:val="32"/>
          <w:szCs w:val="32"/>
        </w:rPr>
        <w:t>绩效工资、机关事业单位基本养老保险缴费、职业年金缴费、职工基本医疗保险缴费、公务员医疗补助缴费、其他社会保障缴费、住房公积金、其他工资福利支出、退休费、生活补助、其他对个人和家庭的补助</w:t>
      </w:r>
      <w:r>
        <w:rPr>
          <w:rFonts w:hint="eastAsia" w:ascii="仿宋_GB2312" w:eastAsia="仿宋_GB2312"/>
          <w:b/>
          <w:color w:val="auto"/>
          <w:sz w:val="32"/>
          <w:szCs w:val="32"/>
        </w:rPr>
        <w:t>。</w:t>
      </w:r>
    </w:p>
    <w:p>
      <w:pPr>
        <w:spacing w:line="520" w:lineRule="exact"/>
        <w:rPr>
          <w:ins w:id="0" w:author="ldy" w:date="2023-02-17T11:06:00Z"/>
          <w:rFonts w:ascii="仿宋_GB2312" w:eastAsia="仿宋_GB2312"/>
          <w:b/>
          <w:bCs/>
          <w:color w:val="auto"/>
          <w:sz w:val="32"/>
          <w:szCs w:val="32"/>
        </w:rPr>
      </w:pPr>
      <w:r>
        <w:rPr>
          <w:rFonts w:hint="eastAsia" w:ascii="仿宋_GB2312" w:eastAsia="仿宋_GB2312"/>
          <w:b/>
          <w:color w:val="auto"/>
          <w:sz w:val="32"/>
          <w:szCs w:val="32"/>
        </w:rPr>
        <w:t xml:space="preserve">   </w:t>
      </w:r>
      <w:r>
        <w:rPr>
          <w:rFonts w:hint="eastAsia" w:ascii="仿宋_GB2312" w:eastAsia="仿宋_GB2312"/>
          <w:color w:val="auto"/>
          <w:sz w:val="32"/>
          <w:szCs w:val="32"/>
        </w:rPr>
        <w:t>公用经费</w:t>
      </w:r>
      <w:r>
        <w:rPr>
          <w:rFonts w:hint="eastAsia" w:ascii="仿宋_GB2312" w:eastAsia="仿宋_GB2312"/>
          <w:color w:val="auto"/>
          <w:sz w:val="32"/>
          <w:szCs w:val="32"/>
          <w:lang w:val="en-US" w:eastAsia="zh-CN"/>
        </w:rPr>
        <w:t>141.23</w:t>
      </w:r>
      <w:r>
        <w:rPr>
          <w:rFonts w:hint="eastAsia" w:ascii="仿宋_GB2312" w:eastAsia="仿宋_GB2312"/>
          <w:color w:val="auto"/>
          <w:sz w:val="32"/>
          <w:szCs w:val="32"/>
        </w:rPr>
        <w:t>万元，主要包括：办公费、印刷费、手续费、水费、电费、邮电费、物业管理费、差旅费、维修（护）费、租赁费、培训费、公务接待费、专用材料费、劳务费、工会经费、其他交通费用、其他商品和服务支出</w:t>
      </w:r>
      <w:r>
        <w:rPr>
          <w:rFonts w:hint="eastAsia" w:ascii="仿宋_GB2312" w:eastAsia="仿宋_GB2312"/>
          <w:b/>
          <w:color w:val="auto"/>
          <w:sz w:val="32"/>
          <w:szCs w:val="32"/>
        </w:rPr>
        <w:t>。</w:t>
      </w:r>
    </w:p>
    <w:p>
      <w:pPr>
        <w:spacing w:line="520" w:lineRule="exact"/>
        <w:ind w:firstLine="642"/>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（七）关于</w:t>
      </w:r>
      <w:r>
        <w:rPr>
          <w:rFonts w:hint="eastAsia" w:ascii="楷体_GB2312" w:hAnsi="楷体_GB2312" w:eastAsia="楷体_GB2312" w:cs="楷体_GB2312"/>
          <w:bCs/>
          <w:color w:val="auto"/>
          <w:sz w:val="32"/>
          <w:szCs w:val="32"/>
          <w:lang w:val="en-US" w:eastAsia="zh-CN"/>
        </w:rPr>
        <w:t>德清县乾元镇清溪小学</w:t>
      </w:r>
      <w:r>
        <w:rPr>
          <w:rFonts w:hint="eastAsia" w:ascii="楷体_GB2312" w:hAnsi="楷体_GB2312" w:eastAsia="楷体_GB2312" w:cs="楷体_GB2312"/>
          <w:bCs/>
          <w:color w:val="auto"/>
          <w:sz w:val="32"/>
          <w:szCs w:val="32"/>
        </w:rPr>
        <w:t>2024年政府性基金预算支出情况说明</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fldChar w:fldCharType="begin"/>
      </w:r>
      <w:r>
        <w:rPr>
          <w:rFonts w:ascii="仿宋_GB2312" w:hAnsi="仿宋_GB2312" w:eastAsia="仿宋_GB2312" w:cs="仿宋_GB2312"/>
          <w:color w:val="auto"/>
          <w:sz w:val="32"/>
          <w:szCs w:val="32"/>
        </w:rPr>
        <w:instrText xml:space="preserve">MERGEFIELD ${page822508942.ds388518707_V_RPT_BAS_AGENCY_INFO_LEINAME}</w:instrText>
      </w:r>
      <w:r>
        <w:rPr>
          <w:rFonts w:ascii="仿宋_GB2312" w:hAnsi="仿宋_GB2312" w:eastAsia="仿宋_GB2312" w:cs="仿宋_GB2312"/>
          <w:color w:val="auto"/>
          <w:sz w:val="32"/>
          <w:szCs w:val="32"/>
        </w:rPr>
        <w:fldChar w:fldCharType="end"/>
      </w:r>
      <w:r>
        <w:rPr>
          <w:rFonts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rPr>
        <w:t>4</w:t>
      </w:r>
      <w:r>
        <w:rPr>
          <w:rFonts w:ascii="仿宋_GB2312" w:hAnsi="仿宋_GB2312" w:eastAsia="仿宋_GB2312" w:cs="仿宋_GB2312"/>
          <w:color w:val="auto"/>
          <w:sz w:val="32"/>
          <w:szCs w:val="32"/>
        </w:rPr>
        <w:t>年没有使用政府性基金预算拨款安排的支出。</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（八）国有资本经营预算</w:t>
      </w:r>
    </w:p>
    <w:p>
      <w:pPr>
        <w:spacing w:line="52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${page822508942.ds388518707_V_RPT_BAS_AGENCY_INFO_LEINAME}</w:instrText>
      </w:r>
      <w:r>
        <w:rPr>
          <w:rFonts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2024年没有使用国有资本经营预算拨款安排的支出。</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（九）关于</w:t>
      </w:r>
      <w:r>
        <w:rPr>
          <w:rFonts w:hint="eastAsia" w:ascii="楷体_GB2312" w:hAnsi="楷体_GB2312" w:eastAsia="楷体_GB2312" w:cs="楷体_GB2312"/>
          <w:bCs/>
          <w:color w:val="auto"/>
          <w:sz w:val="32"/>
          <w:szCs w:val="32"/>
          <w:lang w:val="en-US" w:eastAsia="zh-CN"/>
        </w:rPr>
        <w:t>德清县乾元镇清溪小学</w:t>
      </w:r>
      <w:r>
        <w:rPr>
          <w:rFonts w:ascii="楷体_GB2312" w:hAnsi="楷体_GB2312" w:eastAsia="楷体_GB2312" w:cs="楷体_GB2312"/>
          <w:bCs/>
          <w:color w:val="auto"/>
          <w:sz w:val="32"/>
          <w:szCs w:val="32"/>
        </w:rPr>
        <w:fldChar w:fldCharType="begin"/>
      </w:r>
      <w:r>
        <w:rPr>
          <w:rFonts w:hint="eastAsia" w:ascii="楷体_GB2312" w:hAnsi="楷体_GB2312" w:eastAsia="楷体_GB2312" w:cs="楷体_GB2312"/>
          <w:bCs/>
          <w:color w:val="auto"/>
          <w:sz w:val="32"/>
          <w:szCs w:val="32"/>
        </w:rPr>
        <w:instrText xml:space="preserve">MERGEFIELD ${page822508942.ds388518707_V_RPT_BAS_AGENCY_INFO_LEINAME}</w:instrText>
      </w:r>
      <w:r>
        <w:rPr>
          <w:rFonts w:ascii="楷体_GB2312" w:hAnsi="楷体_GB2312" w:eastAsia="楷体_GB2312" w:cs="楷体_GB2312"/>
          <w:bCs/>
          <w:color w:val="auto"/>
          <w:sz w:val="32"/>
          <w:szCs w:val="32"/>
        </w:rPr>
        <w:fldChar w:fldCharType="end"/>
      </w:r>
      <w:r>
        <w:rPr>
          <w:rFonts w:hint="eastAsia" w:ascii="楷体_GB2312" w:hAnsi="楷体_GB2312" w:eastAsia="楷体_GB2312" w:cs="楷体_GB2312"/>
          <w:bCs/>
          <w:color w:val="auto"/>
          <w:sz w:val="32"/>
          <w:szCs w:val="32"/>
        </w:rPr>
        <w:t>2024年一般公共预算“三公”经费预算情况说明</w:t>
      </w:r>
    </w:p>
    <w:p>
      <w:pPr>
        <w:spacing w:line="520" w:lineRule="exact"/>
        <w:ind w:firstLine="640" w:firstLineChars="200"/>
        <w:rPr>
          <w:rFonts w:ascii="仿宋_GB2312" w:hAnsi="仿宋_GB2312" w:eastAsia="仿宋_GB2312"/>
          <w:color w:val="auto"/>
          <w:sz w:val="32"/>
        </w:rPr>
      </w:pPr>
      <w:r>
        <w:rPr>
          <w:rFonts w:hint="eastAsia" w:ascii="仿宋_GB2312" w:hAnsi="仿宋_GB2312" w:eastAsia="仿宋_GB2312"/>
          <w:color w:val="auto"/>
          <w:sz w:val="32"/>
          <w:lang w:val="en-US" w:eastAsia="zh-CN"/>
        </w:rPr>
        <w:t>德清县乾元镇清溪小学</w:t>
      </w:r>
      <w:r>
        <w:rPr>
          <w:rFonts w:hint="eastAsia" w:ascii="仿宋_GB2312" w:hAnsi="仿宋_GB2312" w:eastAsia="仿宋_GB2312"/>
          <w:color w:val="auto"/>
          <w:sz w:val="32"/>
        </w:rPr>
        <w:t>2024年“三公”经费预算数为</w:t>
      </w:r>
      <w:r>
        <w:rPr>
          <w:rFonts w:hint="eastAsia" w:ascii="仿宋_GB2312" w:hAnsi="仿宋_GB2312" w:eastAsia="仿宋_GB2312"/>
          <w:color w:val="auto"/>
          <w:sz w:val="32"/>
          <w:lang w:val="en-US" w:eastAsia="zh-CN"/>
        </w:rPr>
        <w:t>1.08</w:t>
      </w:r>
      <w:r>
        <w:rPr>
          <w:rFonts w:hint="eastAsia" w:ascii="仿宋_GB2312" w:hAnsi="仿宋_GB2312" w:eastAsia="仿宋_GB2312"/>
          <w:color w:val="auto"/>
          <w:sz w:val="32"/>
        </w:rPr>
        <w:t>万元，</w:t>
      </w:r>
      <w:r>
        <w:rPr>
          <w:rFonts w:hint="eastAsia" w:ascii="仿宋_GB2312" w:hAnsi="仿宋_GB2312" w:eastAsia="仿宋_GB2312"/>
          <w:color w:val="auto"/>
          <w:sz w:val="32"/>
          <w:shd w:val="clear" w:color="auto" w:fill="FFFFFF"/>
        </w:rPr>
        <w:t>比上年预算数减少</w:t>
      </w:r>
      <w:r>
        <w:rPr>
          <w:rFonts w:hint="eastAsia" w:ascii="仿宋_GB2312" w:hAnsi="仿宋_GB2312" w:eastAsia="仿宋_GB2312"/>
          <w:color w:val="auto"/>
          <w:sz w:val="32"/>
          <w:lang w:val="en-US" w:eastAsia="zh-CN"/>
        </w:rPr>
        <w:t>0.12</w:t>
      </w:r>
      <w:r>
        <w:rPr>
          <w:rFonts w:hint="eastAsia" w:ascii="仿宋_GB2312" w:hAnsi="仿宋_GB2312" w:eastAsia="仿宋_GB2312"/>
          <w:color w:val="auto"/>
          <w:sz w:val="32"/>
          <w:shd w:val="clear" w:color="auto" w:fill="FFFFFF"/>
        </w:rPr>
        <w:t>万元，下降</w:t>
      </w:r>
      <w:r>
        <w:rPr>
          <w:rFonts w:hint="eastAsia" w:ascii="仿宋_GB2312" w:hAnsi="仿宋_GB2312" w:eastAsia="仿宋_GB2312"/>
          <w:color w:val="auto"/>
          <w:sz w:val="32"/>
          <w:shd w:val="clear" w:color="auto" w:fill="FFFFFF"/>
          <w:lang w:val="en-US" w:eastAsia="zh-CN"/>
        </w:rPr>
        <w:t>10</w:t>
      </w:r>
      <w:r>
        <w:rPr>
          <w:rFonts w:hint="eastAsia" w:ascii="仿宋_GB2312" w:hAnsi="仿宋_GB2312" w:eastAsia="仿宋_GB2312"/>
          <w:color w:val="auto"/>
          <w:sz w:val="32"/>
          <w:shd w:val="clear" w:color="auto" w:fill="FFFFFF"/>
        </w:rPr>
        <w:t>%</w:t>
      </w:r>
      <w:r>
        <w:rPr>
          <w:rFonts w:hint="eastAsia" w:ascii="仿宋_GB2312" w:hAnsi="仿宋_GB2312" w:eastAsia="仿宋_GB2312"/>
          <w:color w:val="auto"/>
          <w:sz w:val="32"/>
        </w:rPr>
        <w:t>，具体如下：</w:t>
      </w:r>
    </w:p>
    <w:p>
      <w:pPr>
        <w:spacing w:line="276" w:lineRule="auto"/>
        <w:ind w:firstLine="640" w:firstLineChars="200"/>
        <w:rPr>
          <w:ins w:id="1" w:author="ldy" w:date="2023-02-17T11:13:00Z"/>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1.因公出国（境）费用：</w:t>
      </w:r>
      <w:r>
        <w:rPr>
          <w:rFonts w:hint="eastAsia" w:ascii="仿宋_GB2312" w:hAnsi="仿宋_GB2312" w:eastAsia="仿宋_GB2312" w:cs="仿宋_GB2312"/>
          <w:color w:val="auto"/>
          <w:sz w:val="32"/>
          <w:szCs w:val="32"/>
        </w:rPr>
        <w:t>2024年</w:t>
      </w:r>
      <w:r>
        <w:rPr>
          <w:rFonts w:hint="eastAsia" w:ascii="仿宋_GB2312" w:hAnsi="仿宋_GB2312" w:eastAsia="仿宋_GB2312" w:cs="仿宋_GB2312"/>
          <w:color w:val="auto"/>
          <w:sz w:val="32"/>
          <w:szCs w:val="32"/>
          <w:lang w:val="en-US" w:eastAsia="zh-CN"/>
        </w:rPr>
        <w:t>未</w:t>
      </w:r>
      <w:r>
        <w:rPr>
          <w:rFonts w:hint="eastAsia" w:ascii="仿宋_GB2312" w:hAnsi="仿宋_GB2312" w:eastAsia="仿宋_GB2312" w:cs="仿宋_GB2312"/>
          <w:color w:val="auto"/>
          <w:sz w:val="32"/>
          <w:szCs w:val="32"/>
        </w:rPr>
        <w:t>安排因公出国（境）费用预算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lang w:eastAsia="zh-CN"/>
        </w:rPr>
        <w:t>。</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2.公务接待费：2024年安排公务接待费预算</w:t>
      </w:r>
      <w:r>
        <w:rPr>
          <w:rFonts w:hint="eastAsia" w:ascii="仿宋_GB2312" w:hAnsi="仿宋_GB2312" w:eastAsia="仿宋_GB2312" w:cs="仿宋_GB2312"/>
          <w:color w:val="auto"/>
          <w:sz w:val="32"/>
          <w:szCs w:val="32"/>
          <w:lang w:val="en-US" w:eastAsia="zh-CN"/>
        </w:rPr>
        <w:t>1.08</w:t>
      </w:r>
      <w:r>
        <w:rPr>
          <w:rFonts w:hint="eastAsia" w:ascii="仿宋_GB2312" w:hAnsi="仿宋_GB2312" w:eastAsia="仿宋_GB2312" w:cs="仿宋_GB2312"/>
          <w:color w:val="auto"/>
          <w:sz w:val="32"/>
          <w:szCs w:val="32"/>
        </w:rPr>
        <w:t>万元，比上年预算数下降</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%。主要用于接待接待上级及兄弟县(市、区)等来德进行重大政策调研、指导、交流等接待等支出。减</w:t>
      </w:r>
      <w:r>
        <w:rPr>
          <w:rFonts w:hint="eastAsia" w:ascii="仿宋_GB2312" w:hAnsi="仿宋_GB2312" w:eastAsia="仿宋_GB2312" w:cs="仿宋_GB2312"/>
          <w:color w:val="auto"/>
          <w:sz w:val="32"/>
          <w:szCs w:val="32"/>
          <w:lang w:val="en-US" w:eastAsia="zh-CN"/>
        </w:rPr>
        <w:t>少</w:t>
      </w:r>
      <w:r>
        <w:rPr>
          <w:rFonts w:hint="eastAsia" w:ascii="仿宋_GB2312" w:hAnsi="仿宋_GB2312" w:eastAsia="仿宋_GB2312" w:cs="仿宋_GB2312"/>
          <w:color w:val="auto"/>
          <w:sz w:val="32"/>
          <w:szCs w:val="32"/>
        </w:rPr>
        <w:t>的主要原因</w:t>
      </w:r>
      <w:r>
        <w:rPr>
          <w:rFonts w:hint="eastAsia" w:ascii="仿宋_GB2312" w:hAnsi="仿宋_GB2312" w:eastAsia="仿宋_GB2312" w:cs="仿宋_GB2312"/>
          <w:color w:val="auto"/>
          <w:sz w:val="32"/>
          <w:szCs w:val="32"/>
          <w:lang w:val="en-US" w:eastAsia="zh-CN"/>
        </w:rPr>
        <w:t>是厉行节约，预算压缩</w:t>
      </w:r>
      <w:r>
        <w:rPr>
          <w:rFonts w:hint="eastAsia" w:ascii="仿宋_GB2312" w:hAnsi="仿宋_GB2312" w:eastAsia="仿宋_GB2312" w:cs="仿宋_GB2312"/>
          <w:color w:val="auto"/>
          <w:sz w:val="32"/>
          <w:szCs w:val="32"/>
        </w:rPr>
        <w:t>。</w:t>
      </w:r>
    </w:p>
    <w:p>
      <w:pPr>
        <w:pStyle w:val="15"/>
        <w:spacing w:line="520" w:lineRule="exact"/>
        <w:ind w:firstLine="640" w:firstLineChars="200"/>
        <w:rPr>
          <w:rFonts w:ascii="仿宋_GB2312" w:eastAsia="仿宋_GB2312"/>
          <w:b/>
          <w:bCs/>
          <w:color w:val="auto"/>
          <w:sz w:val="32"/>
          <w:szCs w:val="32"/>
        </w:rPr>
      </w:pPr>
      <w:r>
        <w:rPr>
          <w:rFonts w:hint="eastAsia" w:ascii="仿宋_GB2312" w:eastAsia="仿宋_GB2312"/>
          <w:color w:val="auto"/>
          <w:sz w:val="32"/>
          <w:szCs w:val="32"/>
        </w:rPr>
        <w:t>3.公务用车购置及运行维护费：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color w:val="auto"/>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（十）其他重要事项的情况说明</w:t>
      </w:r>
    </w:p>
    <w:p>
      <w:pPr>
        <w:pStyle w:val="15"/>
        <w:numPr>
          <w:ilvl w:val="0"/>
          <w:numId w:val="0"/>
        </w:numPr>
        <w:spacing w:line="52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lang w:val="en-US" w:eastAsia="zh-CN"/>
        </w:rPr>
        <w:t>1.</w:t>
      </w:r>
      <w:r>
        <w:rPr>
          <w:rFonts w:hint="eastAsia" w:ascii="仿宋_GB2312" w:eastAsia="仿宋_GB2312"/>
          <w:b/>
          <w:bCs/>
          <w:color w:val="auto"/>
          <w:sz w:val="32"/>
          <w:szCs w:val="32"/>
        </w:rPr>
        <w:t>政府采购情况。</w:t>
      </w:r>
    </w:p>
    <w:p>
      <w:pPr>
        <w:pStyle w:val="15"/>
        <w:spacing w:line="52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2024年</w:t>
      </w:r>
      <w:r>
        <w:rPr>
          <w:rFonts w:hint="eastAsia" w:ascii="仿宋_GB2312" w:eastAsia="仿宋_GB2312"/>
          <w:color w:val="auto"/>
          <w:sz w:val="32"/>
          <w:szCs w:val="32"/>
          <w:lang w:val="en-US" w:eastAsia="zh-CN"/>
        </w:rPr>
        <w:t>德清县乾元镇清溪小学</w:t>
      </w:r>
      <w:r>
        <w:rPr>
          <w:rFonts w:hint="eastAsia" w:ascii="仿宋_GB2312" w:eastAsia="仿宋_GB2312"/>
          <w:color w:val="auto"/>
          <w:sz w:val="32"/>
          <w:szCs w:val="32"/>
        </w:rPr>
        <w:t>政府采购预算总额</w:t>
      </w:r>
      <w:r>
        <w:rPr>
          <w:rFonts w:hint="eastAsia" w:ascii="仿宋_GB2312" w:eastAsia="仿宋_GB2312"/>
          <w:color w:val="auto"/>
          <w:sz w:val="32"/>
          <w:szCs w:val="32"/>
          <w:lang w:val="en-US" w:eastAsia="zh-CN"/>
        </w:rPr>
        <w:t>25.12</w:t>
      </w:r>
      <w:r>
        <w:rPr>
          <w:rFonts w:hint="eastAsia" w:ascii="仿宋_GB2312" w:eastAsia="仿宋_GB2312"/>
          <w:color w:val="auto"/>
          <w:sz w:val="32"/>
          <w:szCs w:val="32"/>
        </w:rPr>
        <w:t>万元，其中：政府采购货物预算</w:t>
      </w:r>
      <w:r>
        <w:rPr>
          <w:rFonts w:hint="eastAsia" w:ascii="仿宋_GB2312" w:eastAsia="仿宋_GB2312"/>
          <w:color w:val="auto"/>
          <w:sz w:val="32"/>
          <w:szCs w:val="32"/>
          <w:lang w:val="en-US" w:eastAsia="zh-CN"/>
        </w:rPr>
        <w:t>4.85</w:t>
      </w:r>
      <w:r>
        <w:rPr>
          <w:rFonts w:hint="eastAsia" w:ascii="仿宋_GB2312" w:eastAsia="仿宋_GB2312"/>
          <w:color w:val="auto"/>
          <w:sz w:val="32"/>
          <w:szCs w:val="32"/>
        </w:rPr>
        <w:t>万元、政府采购工程预算</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${page991489089.ds360843206_ExpandCol3415079511}</w:instrText>
      </w:r>
      <w:r>
        <w:rPr>
          <w:rFonts w:ascii="仿宋_GB2312" w:eastAsia="仿宋_GB2312"/>
          <w:color w:val="auto"/>
          <w:sz w:val="32"/>
          <w:szCs w:val="32"/>
        </w:rPr>
        <w:fldChar w:fldCharType="separate"/>
      </w:r>
      <w:r>
        <w:rPr>
          <w:rFonts w:hint="eastAsia" w:ascii="仿宋_GB2312" w:eastAsia="仿宋_GB2312"/>
          <w:color w:val="auto"/>
          <w:sz w:val="32"/>
          <w:szCs w:val="32"/>
        </w:rPr>
        <w:t>0.00</w:t>
      </w:r>
      <w:r>
        <w:rPr>
          <w:color w:val="auto"/>
        </w:rPr>
        <w:fldChar w:fldCharType="end"/>
      </w:r>
      <w:r>
        <w:rPr>
          <w:rFonts w:hint="eastAsia" w:ascii="仿宋_GB2312" w:eastAsia="仿宋_GB2312"/>
          <w:color w:val="auto"/>
          <w:sz w:val="32"/>
          <w:szCs w:val="32"/>
        </w:rPr>
        <w:t>万元、政府采购服务预算</w:t>
      </w:r>
      <w:r>
        <w:rPr>
          <w:rFonts w:hint="eastAsia" w:ascii="仿宋_GB2312" w:eastAsia="仿宋_GB2312"/>
          <w:color w:val="auto"/>
          <w:sz w:val="32"/>
          <w:szCs w:val="32"/>
          <w:lang w:val="en-US" w:eastAsia="zh-CN"/>
        </w:rPr>
        <w:t>20.27</w:t>
      </w:r>
      <w:r>
        <w:rPr>
          <w:rFonts w:hint="eastAsia" w:ascii="仿宋_GB2312" w:eastAsia="仿宋_GB2312"/>
          <w:color w:val="auto"/>
          <w:sz w:val="32"/>
          <w:szCs w:val="32"/>
        </w:rPr>
        <w:t>万元。</w:t>
      </w:r>
    </w:p>
    <w:p>
      <w:pPr>
        <w:pStyle w:val="15"/>
        <w:spacing w:line="520" w:lineRule="exact"/>
        <w:ind w:firstLine="642"/>
        <w:rPr>
          <w:rFonts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.国有资产占有使用情况。</w:t>
      </w:r>
    </w:p>
    <w:p>
      <w:pPr>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pacing w:val="6"/>
          <w:sz w:val="32"/>
          <w:szCs w:val="32"/>
        </w:rPr>
        <w:t>截至202</w:t>
      </w:r>
      <w:r>
        <w:rPr>
          <w:rFonts w:hint="eastAsia" w:ascii="仿宋_GB2312" w:hAnsi="仿宋_GB2312" w:eastAsia="仿宋_GB2312" w:cs="仿宋_GB2312"/>
          <w:color w:val="auto"/>
          <w:spacing w:val="6"/>
          <w:sz w:val="32"/>
          <w:szCs w:val="32"/>
          <w:lang w:val="en-US" w:eastAsia="zh-CN"/>
        </w:rPr>
        <w:t>3</w:t>
      </w:r>
      <w:r>
        <w:rPr>
          <w:rFonts w:hint="eastAsia" w:ascii="仿宋_GB2312" w:hAnsi="仿宋_GB2312" w:eastAsia="仿宋_GB2312" w:cs="仿宋_GB2312"/>
          <w:color w:val="auto"/>
          <w:spacing w:val="6"/>
          <w:sz w:val="32"/>
          <w:szCs w:val="32"/>
        </w:rPr>
        <w:t>年12月31日，</w:t>
      </w:r>
      <w:r>
        <w:rPr>
          <w:rFonts w:hint="eastAsia" w:ascii="仿宋_GB2312" w:hAnsi="仿宋_GB2312" w:eastAsia="仿宋_GB2312" w:cs="仿宋_GB2312"/>
          <w:color w:val="auto"/>
          <w:spacing w:val="6"/>
          <w:sz w:val="32"/>
          <w:szCs w:val="32"/>
          <w:lang w:val="en-US" w:eastAsia="zh-CN"/>
        </w:rPr>
        <w:t>德清县乾元镇清溪小学</w:t>
      </w:r>
      <w:r>
        <w:rPr>
          <w:rFonts w:hint="eastAsia" w:ascii="仿宋_GB2312" w:hAnsi="仿宋_GB2312" w:eastAsia="仿宋_GB2312" w:cs="仿宋_GB2312"/>
          <w:color w:val="auto"/>
          <w:spacing w:val="6"/>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辆、老干部服务用车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辆、行政执法专用车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台，单位价值100万元以上专用设备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 xml:space="preserve">台。 </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w:t>
      </w:r>
      <w:r>
        <w:rPr>
          <w:rFonts w:ascii="仿宋_GB2312" w:hAnsi="仿宋_GB2312" w:eastAsia="仿宋_GB2312" w:cs="仿宋_GB2312"/>
          <w:b w:val="0"/>
          <w:bCs w:val="0"/>
          <w:color w:val="auto"/>
          <w:sz w:val="32"/>
          <w:szCs w:val="32"/>
        </w:rPr>
        <w:t>2</w:t>
      </w:r>
      <w:r>
        <w:rPr>
          <w:rFonts w:hint="eastAsia" w:ascii="仿宋_GB2312" w:hAnsi="仿宋_GB2312" w:eastAsia="仿宋_GB2312" w:cs="仿宋_GB2312"/>
          <w:b w:val="0"/>
          <w:bCs w:val="0"/>
          <w:color w:val="auto"/>
          <w:sz w:val="32"/>
          <w:szCs w:val="32"/>
        </w:rPr>
        <w:t>4</w:t>
      </w:r>
      <w:r>
        <w:rPr>
          <w:rFonts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单位</w:t>
      </w:r>
      <w:r>
        <w:rPr>
          <w:rFonts w:ascii="仿宋_GB2312" w:hAnsi="仿宋_GB2312" w:eastAsia="仿宋_GB2312" w:cs="仿宋_GB2312"/>
          <w:color w:val="auto"/>
          <w:sz w:val="32"/>
          <w:szCs w:val="32"/>
        </w:rPr>
        <w:t>预算未安排购置车辆、单位价值50万元以上通用设备及单位价值100万元以上专用设备。</w:t>
      </w:r>
    </w:p>
    <w:p>
      <w:pPr>
        <w:pStyle w:val="15"/>
        <w:spacing w:line="520" w:lineRule="exact"/>
        <w:rPr>
          <w:rFonts w:ascii="仿宋_GB2312" w:eastAsia="仿宋_GB2312"/>
          <w:b/>
          <w:bCs/>
          <w:color w:val="auto"/>
          <w:sz w:val="32"/>
          <w:szCs w:val="32"/>
        </w:rPr>
      </w:pP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val="en-US" w:eastAsia="zh-CN"/>
        </w:rPr>
        <w:t>3</w:t>
      </w:r>
      <w:r>
        <w:rPr>
          <w:rFonts w:hint="eastAsia" w:ascii="仿宋_GB2312" w:eastAsia="仿宋_GB2312"/>
          <w:b/>
          <w:bCs/>
          <w:color w:val="auto"/>
          <w:sz w:val="32"/>
          <w:szCs w:val="32"/>
        </w:rPr>
        <w:t>.预算绩效情况说明。</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2024年</w:t>
      </w:r>
      <w:r>
        <w:rPr>
          <w:rFonts w:hint="eastAsia" w:ascii="仿宋_GB2312" w:hAnsi="仿宋_GB2312" w:eastAsia="仿宋_GB2312" w:cs="仿宋_GB2312"/>
          <w:color w:val="auto"/>
          <w:sz w:val="32"/>
          <w:szCs w:val="32"/>
          <w:lang w:val="en-US" w:eastAsia="zh-CN"/>
        </w:rPr>
        <w:t>德清县乾元镇清溪小学</w:t>
      </w:r>
      <w:r>
        <w:rPr>
          <w:rFonts w:hint="eastAsia" w:ascii="仿宋_GB2312" w:hAnsi="仿宋_GB2312" w:eastAsia="仿宋_GB2312" w:cs="仿宋_GB2312"/>
          <w:color w:val="auto"/>
          <w:sz w:val="32"/>
          <w:szCs w:val="32"/>
        </w:rPr>
        <w:t>其他运转类项目和特定目标类项目均实行绩效目标管理，共计</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级项目，涉及当年资金</w:t>
      </w:r>
      <w:r>
        <w:rPr>
          <w:rFonts w:hint="eastAsia" w:ascii="仿宋_GB2312" w:hAnsi="仿宋_GB2312" w:eastAsia="仿宋_GB2312" w:cs="仿宋_GB2312"/>
          <w:color w:val="auto"/>
          <w:sz w:val="32"/>
          <w:szCs w:val="32"/>
          <w:lang w:val="en-US" w:eastAsia="zh-CN"/>
        </w:rPr>
        <w:t>70.48</w:t>
      </w:r>
      <w:r>
        <w:rPr>
          <w:rFonts w:hint="eastAsia" w:ascii="仿宋_GB2312" w:hAnsi="仿宋_GB2312" w:eastAsia="仿宋_GB2312" w:cs="仿宋_GB2312"/>
          <w:color w:val="auto"/>
          <w:sz w:val="32"/>
          <w:szCs w:val="32"/>
        </w:rPr>
        <w:t>万元。同时，将按照相关制度开展绩效自评。</w:t>
      </w:r>
    </w:p>
    <w:p>
      <w:pPr>
        <w:pStyle w:val="15"/>
        <w:spacing w:line="520" w:lineRule="exact"/>
        <w:ind w:firstLine="640" w:firstLineChars="200"/>
        <w:rPr>
          <w:rFonts w:ascii="黑体" w:hAnsi="黑体" w:eastAsia="黑体" w:cs="黑体"/>
          <w:bCs/>
          <w:color w:val="auto"/>
          <w:kern w:val="2"/>
          <w:sz w:val="32"/>
          <w:szCs w:val="32"/>
        </w:rPr>
      </w:pPr>
      <w:r>
        <w:rPr>
          <w:rFonts w:hint="eastAsia" w:ascii="黑体" w:hAnsi="黑体" w:eastAsia="黑体" w:cs="黑体"/>
          <w:bCs/>
          <w:color w:val="auto"/>
          <w:kern w:val="2"/>
          <w:sz w:val="32"/>
          <w:szCs w:val="32"/>
        </w:rPr>
        <w:t>三、名词解释</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1.财政拨款收入：本级财政部门当年拨付的财政预算资金，包括一般公共预算财政拨款</w:t>
      </w:r>
      <w:r>
        <w:rPr>
          <w:rFonts w:hint="eastAsia" w:ascii="仿宋_GB2312" w:eastAsia="仿宋_GB2312"/>
          <w:color w:val="auto"/>
          <w:sz w:val="32"/>
          <w:szCs w:val="32"/>
        </w:rPr>
        <w:t>、</w:t>
      </w:r>
      <w:r>
        <w:rPr>
          <w:rFonts w:hint="eastAsia" w:ascii="仿宋_GB2312" w:hAnsi="仿宋_GB2312" w:eastAsia="仿宋_GB2312" w:cs="仿宋_GB2312"/>
          <w:color w:val="auto"/>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教育支出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普通教育</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val="en-US" w:eastAsia="zh-CN"/>
        </w:rPr>
        <w:t>小学教育</w:t>
      </w:r>
      <w:r>
        <w:rPr>
          <w:rFonts w:hint="eastAsia" w:ascii="仿宋_GB2312" w:hAnsi="仿宋_GB2312" w:eastAsia="仿宋_GB2312" w:cs="仿宋_GB2312"/>
          <w:color w:val="auto"/>
          <w:sz w:val="32"/>
          <w:szCs w:val="32"/>
        </w:rPr>
        <w:t>（项）：指</w:t>
      </w:r>
      <w:r>
        <w:rPr>
          <w:rFonts w:hint="eastAsia" w:ascii="仿宋_GB2312" w:hAnsi="仿宋_GB2312" w:eastAsia="仿宋_GB2312" w:cs="仿宋_GB2312"/>
          <w:color w:val="auto"/>
          <w:sz w:val="32"/>
          <w:szCs w:val="32"/>
          <w:lang w:val="en-US" w:eastAsia="zh-CN"/>
        </w:rPr>
        <w:t>单位</w:t>
      </w:r>
      <w:r>
        <w:rPr>
          <w:rFonts w:hint="eastAsia" w:ascii="仿宋_GB2312" w:eastAsia="仿宋_GB2312"/>
          <w:color w:val="auto"/>
          <w:sz w:val="32"/>
          <w:szCs w:val="32"/>
        </w:rPr>
        <w:t>用于举办小学教育的支出</w:t>
      </w:r>
      <w:r>
        <w:rPr>
          <w:rFonts w:hint="eastAsia" w:ascii="仿宋_GB2312" w:hAnsi="仿宋_GB2312" w:eastAsia="仿宋_GB2312" w:cs="仿宋_GB2312"/>
          <w:color w:val="auto"/>
          <w:sz w:val="32"/>
          <w:szCs w:val="32"/>
        </w:rPr>
        <w:t>。</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社会保障和就业支出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行政事业单位养老支出</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val="en-US" w:eastAsia="zh-CN"/>
        </w:rPr>
        <w:t>事业单位离退休</w:t>
      </w:r>
      <w:r>
        <w:rPr>
          <w:rFonts w:hint="eastAsia" w:ascii="仿宋_GB2312" w:hAnsi="仿宋_GB2312" w:eastAsia="仿宋_GB2312" w:cs="仿宋_GB2312"/>
          <w:color w:val="auto"/>
          <w:sz w:val="32"/>
          <w:szCs w:val="32"/>
        </w:rPr>
        <w:t>（项）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w:t>
      </w:r>
      <w:r>
        <w:rPr>
          <w:rFonts w:hint="eastAsia" w:ascii="仿宋_GB2312" w:eastAsia="仿宋_GB2312"/>
          <w:color w:val="auto"/>
          <w:sz w:val="32"/>
          <w:szCs w:val="32"/>
        </w:rPr>
        <w:t>反映未实行归口管理的行政单位开支的离退休支出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社会保障和就业支出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行政事业单位养老支出</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val="en-US" w:eastAsia="zh-CN"/>
        </w:rPr>
        <w:t>机关事业单位基本养老保险缴费支出</w:t>
      </w:r>
      <w:r>
        <w:rPr>
          <w:rFonts w:hint="eastAsia" w:ascii="仿宋_GB2312" w:hAnsi="仿宋_GB2312" w:eastAsia="仿宋_GB2312" w:cs="仿宋_GB2312"/>
          <w:color w:val="auto"/>
          <w:sz w:val="32"/>
          <w:szCs w:val="32"/>
        </w:rPr>
        <w:t>（项）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w:t>
      </w:r>
      <w:r>
        <w:rPr>
          <w:rFonts w:hint="eastAsia" w:ascii="仿宋_GB2312" w:eastAsia="仿宋_GB2312"/>
          <w:color w:val="auto"/>
          <w:sz w:val="32"/>
          <w:szCs w:val="32"/>
        </w:rPr>
        <w:t>用于机关事业单位实施养老保险制度由单位缴纳的基本养老保险费的支出</w:t>
      </w:r>
      <w:r>
        <w:rPr>
          <w:rFonts w:hint="eastAsia" w:ascii="仿宋_GB2312" w:hAnsi="仿宋_GB2312" w:eastAsia="仿宋_GB2312" w:cs="仿宋_GB2312"/>
          <w:color w:val="auto"/>
          <w:sz w:val="32"/>
          <w:szCs w:val="32"/>
          <w:lang w:eastAsia="zh-CN"/>
        </w:rPr>
        <w:t>。</w:t>
      </w:r>
    </w:p>
    <w:p>
      <w:pPr>
        <w:spacing w:line="520" w:lineRule="exact"/>
        <w:ind w:firstLine="420" w:firstLineChars="200"/>
        <w:rPr>
          <w:rFonts w:hint="eastAsia"/>
          <w:color w:val="auto"/>
          <w:lang w:eastAsia="zh-CN"/>
        </w:rPr>
      </w:pPr>
      <w:r>
        <w:rPr>
          <w:rFonts w:hint="eastAsia"/>
          <w:color w:val="auto"/>
          <w:lang w:val="en-US" w:eastAsia="zh-CN"/>
        </w:rPr>
        <w:t xml:space="preserve">   </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社会保障和就业支出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行政事业单位养老支出</w:t>
      </w:r>
      <w:r>
        <w:rPr>
          <w:rFonts w:hint="eastAsia" w:ascii="仿宋_GB2312" w:hAnsi="仿宋_GB2312" w:eastAsia="仿宋_GB2312" w:cs="仿宋_GB2312"/>
          <w:color w:val="auto"/>
          <w:sz w:val="32"/>
          <w:szCs w:val="32"/>
        </w:rPr>
        <w:t>（款）</w:t>
      </w:r>
      <w:r>
        <w:rPr>
          <w:rFonts w:hint="eastAsia" w:ascii="仿宋_GB2312" w:eastAsia="仿宋_GB2312"/>
          <w:color w:val="auto"/>
          <w:sz w:val="32"/>
          <w:szCs w:val="32"/>
          <w:lang w:val="en-US" w:eastAsia="zh-CN"/>
        </w:rPr>
        <w:t>机关事业</w:t>
      </w:r>
      <w:r>
        <w:rPr>
          <w:rFonts w:hint="eastAsia" w:ascii="仿宋_GB2312" w:hAnsi="仿宋_GB2312" w:eastAsia="仿宋_GB2312" w:cs="仿宋_GB2312"/>
          <w:color w:val="auto"/>
          <w:sz w:val="32"/>
          <w:szCs w:val="32"/>
          <w:lang w:val="en-US" w:eastAsia="zh-CN"/>
        </w:rPr>
        <w:t>单位职业年金缴费支出</w:t>
      </w:r>
      <w:r>
        <w:rPr>
          <w:rFonts w:hint="eastAsia" w:ascii="仿宋_GB2312" w:hAnsi="仿宋_GB2312" w:eastAsia="仿宋_GB2312" w:cs="仿宋_GB2312"/>
          <w:color w:val="auto"/>
          <w:sz w:val="32"/>
          <w:szCs w:val="32"/>
        </w:rPr>
        <w:t>（项）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用</w:t>
      </w:r>
      <w:r>
        <w:rPr>
          <w:rFonts w:hint="eastAsia" w:ascii="仿宋_GB2312" w:eastAsia="仿宋_GB2312"/>
          <w:color w:val="auto"/>
          <w:sz w:val="32"/>
          <w:szCs w:val="32"/>
        </w:rPr>
        <w:t>于机关事业单位实施养老保险制度由单位实际缴纳的职业年金支出</w:t>
      </w:r>
      <w:r>
        <w:rPr>
          <w:rFonts w:hint="eastAsia" w:ascii="仿宋_GB2312" w:hAnsi="仿宋_GB2312" w:eastAsia="仿宋_GB2312" w:cs="仿宋_GB2312"/>
          <w:color w:val="auto"/>
          <w:sz w:val="32"/>
          <w:szCs w:val="32"/>
          <w:lang w:eastAsia="zh-CN"/>
        </w:rPr>
        <w:t>。</w:t>
      </w:r>
    </w:p>
    <w:p>
      <w:pPr>
        <w:pStyle w:val="2"/>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cs="仿宋_GB2312"/>
          <w:color w:val="auto"/>
          <w:sz w:val="32"/>
          <w:szCs w:val="32"/>
          <w:lang w:val="en-US" w:eastAsia="zh-CN"/>
        </w:rPr>
        <w:t>卫生健康</w:t>
      </w:r>
      <w:r>
        <w:rPr>
          <w:rFonts w:hint="eastAsia" w:ascii="仿宋_GB2312" w:hAnsi="仿宋_GB2312" w:eastAsia="仿宋_GB2312" w:cs="仿宋_GB2312"/>
          <w:color w:val="auto"/>
          <w:sz w:val="32"/>
          <w:szCs w:val="32"/>
          <w:lang w:val="en-US" w:eastAsia="zh-CN"/>
        </w:rPr>
        <w:t>支出</w:t>
      </w:r>
      <w:r>
        <w:rPr>
          <w:rFonts w:hint="eastAsia" w:ascii="仿宋_GB2312" w:hAnsi="仿宋_GB2312" w:eastAsia="仿宋_GB2312" w:cs="仿宋_GB2312"/>
          <w:color w:val="auto"/>
          <w:sz w:val="32"/>
          <w:szCs w:val="32"/>
        </w:rPr>
        <w:t>（类）</w:t>
      </w:r>
      <w:r>
        <w:rPr>
          <w:rFonts w:hint="eastAsia" w:ascii="仿宋_GB2312" w:hAnsi="仿宋_GB2312" w:eastAsia="仿宋_GB2312" w:cs="仿宋_GB2312"/>
          <w:color w:val="auto"/>
          <w:sz w:val="32"/>
          <w:szCs w:val="32"/>
          <w:lang w:val="en-US" w:eastAsia="zh-CN"/>
        </w:rPr>
        <w:t>行政事业单位</w:t>
      </w:r>
      <w:r>
        <w:rPr>
          <w:rFonts w:hint="eastAsia" w:cs="仿宋_GB2312"/>
          <w:color w:val="auto"/>
          <w:sz w:val="32"/>
          <w:szCs w:val="32"/>
          <w:lang w:val="en-US" w:eastAsia="zh-CN"/>
        </w:rPr>
        <w:t>医疗</w:t>
      </w:r>
      <w:r>
        <w:rPr>
          <w:rFonts w:hint="eastAsia" w:ascii="仿宋_GB2312" w:hAnsi="仿宋_GB2312" w:eastAsia="仿宋_GB2312" w:cs="仿宋_GB2312"/>
          <w:color w:val="auto"/>
          <w:sz w:val="32"/>
          <w:szCs w:val="32"/>
        </w:rPr>
        <w:t>（款）</w:t>
      </w:r>
      <w:r>
        <w:rPr>
          <w:rFonts w:hint="eastAsia" w:cs="仿宋_GB2312"/>
          <w:color w:val="auto"/>
          <w:sz w:val="32"/>
          <w:szCs w:val="32"/>
          <w:lang w:val="en-US" w:eastAsia="zh-CN"/>
        </w:rPr>
        <w:t>事业单位医疗</w:t>
      </w:r>
      <w:r>
        <w:rPr>
          <w:rFonts w:hint="eastAsia" w:ascii="仿宋_GB2312" w:hAnsi="仿宋_GB2312" w:eastAsia="仿宋_GB2312" w:cs="仿宋_GB2312"/>
          <w:color w:val="auto"/>
          <w:sz w:val="32"/>
          <w:szCs w:val="32"/>
        </w:rPr>
        <w:t>（项）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w:t>
      </w:r>
      <w:r>
        <w:rPr>
          <w:rFonts w:hint="eastAsia" w:ascii="仿宋_GB2312" w:eastAsia="仿宋_GB2312"/>
          <w:color w:val="auto"/>
          <w:sz w:val="32"/>
          <w:szCs w:val="32"/>
        </w:rPr>
        <w:t>用于反映财政部门集中安排的事业单位基本医疗保险缴费经费，未参加医疗保险的事业单位的公费医疗经费，按国家规定享受离休人员待遇的医疗经费</w:t>
      </w:r>
      <w:r>
        <w:rPr>
          <w:rFonts w:hint="eastAsia" w:ascii="仿宋_GB2312" w:hAnsi="仿宋_GB2312" w:eastAsia="仿宋_GB2312" w:cs="仿宋_GB2312"/>
          <w:color w:val="auto"/>
          <w:sz w:val="32"/>
          <w:szCs w:val="32"/>
          <w:lang w:eastAsia="zh-CN"/>
        </w:rPr>
        <w:t>。</w:t>
      </w:r>
    </w:p>
    <w:p>
      <w:pPr>
        <w:spacing w:line="520" w:lineRule="exact"/>
        <w:ind w:firstLine="640" w:firstLineChars="200"/>
        <w:rPr>
          <w:rStyle w:val="10"/>
          <w:rFonts w:ascii="黑体" w:eastAsia="黑体"/>
          <w:b w:val="0"/>
          <w:color w:val="000000"/>
          <w:sz w:val="32"/>
          <w:szCs w:val="32"/>
        </w:rPr>
      </w:pPr>
      <w:r>
        <w:rPr>
          <w:rStyle w:val="10"/>
          <w:rFonts w:hint="eastAsia" w:ascii="黑体" w:eastAsia="黑体"/>
          <w:b w:val="0"/>
          <w:color w:val="000000"/>
          <w:sz w:val="32"/>
          <w:szCs w:val="32"/>
        </w:rPr>
        <w:t>四、2024年</w:t>
      </w:r>
      <w:r>
        <w:rPr>
          <w:rStyle w:val="10"/>
          <w:rFonts w:hint="eastAsia" w:ascii="黑体" w:eastAsia="黑体"/>
          <w:b w:val="0"/>
          <w:color w:val="000000"/>
          <w:sz w:val="32"/>
          <w:szCs w:val="32"/>
          <w:lang w:val="en-US" w:eastAsia="zh-CN"/>
        </w:rPr>
        <w:t>单位</w:t>
      </w:r>
      <w:r>
        <w:rPr>
          <w:rStyle w:val="10"/>
          <w:rFonts w:hint="eastAsia" w:ascii="黑体" w:eastAsia="黑体"/>
          <w:b w:val="0"/>
          <w:color w:val="000000"/>
          <w:sz w:val="32"/>
          <w:szCs w:val="32"/>
        </w:rPr>
        <w:t>预算表</w:t>
      </w:r>
    </w:p>
    <w:p>
      <w:pPr>
        <w:pStyle w:val="2"/>
        <w:ind w:firstLine="640" w:firstLineChars="200"/>
        <w:rPr>
          <w:rFonts w:hint="eastAsia" w:ascii="仿宋_GB2312" w:hAnsi="仿宋_GB2312" w:eastAsia="仿宋_GB2312" w:cs="仿宋_GB2312"/>
          <w:color w:val="auto"/>
          <w:sz w:val="32"/>
          <w:szCs w:val="32"/>
          <w:lang w:eastAsia="zh-CN"/>
        </w:rPr>
      </w:pPr>
    </w:p>
    <w:p>
      <w:pPr>
        <w:spacing w:line="520" w:lineRule="exact"/>
        <w:rPr>
          <w:rFonts w:hint="default" w:eastAsia="宋体"/>
          <w:lang w:val="en-US" w:eastAsia="zh-CN"/>
        </w:rPr>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keepNext w:val="0"/>
        <w:keepLines w:val="0"/>
        <w:pageBreakBefore w:val="0"/>
        <w:widowControl w:val="0"/>
        <w:kinsoku/>
        <w:wordWrap/>
        <w:overflowPunct/>
        <w:topLinePunct w:val="0"/>
        <w:autoSpaceDE w:val="0"/>
        <w:autoSpaceDN w:val="0"/>
        <w:bidi w:val="0"/>
        <w:adjustRightInd w:val="0"/>
        <w:snapToGrid/>
        <w:textAlignment w:val="auto"/>
        <w:sectPr>
          <w:pgSz w:w="11906" w:h="16838"/>
          <w:pgMar w:top="1440" w:right="1800" w:bottom="1440" w:left="1800" w:header="851" w:footer="992" w:gutter="0"/>
          <w:pgNumType w:start="6"/>
          <w:cols w:space="425" w:num="1"/>
          <w:docGrid w:type="lines" w:linePitch="312" w:charSpace="0"/>
        </w:sectPr>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5" o:spt="75" type="#_x0000_t75" style="height:403.15pt;width:694.2pt;" o:ole="t" filled="f" o:preferrelative="t" stroked="f" coordsize="21600,21600">
            <v:path/>
            <v:fill on="f" focussize="0,0"/>
            <v:stroke on="f"/>
            <v:imagedata r:id="rId5" o:title=""/>
            <o:lock v:ext="edit" aspectratio="f"/>
            <w10:wrap type="none"/>
            <w10:anchorlock/>
          </v:shape>
          <o:OLEObject Type="Embed" ProgID="Excel.Sheet.12" ShapeID="_x0000_i1025" DrawAspect="Content" ObjectID="_1468075725" r:id="rId4">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6" o:spt="75" type="#_x0000_t75" style="height:249.3pt;width:697.15pt;" o:ole="t" filled="f" o:preferrelative="t" stroked="f" coordsize="21600,21600">
            <v:path/>
            <v:fill on="f" focussize="0,0"/>
            <v:stroke on="f"/>
            <v:imagedata r:id="rId7" o:title=""/>
            <o:lock v:ext="edit" aspectratio="f"/>
            <w10:wrap type="none"/>
            <w10:anchorlock/>
          </v:shape>
          <o:OLEObject Type="Embed" ProgID="Excel.Sheet.12" ShapeID="_x0000_i1026" DrawAspect="Content" ObjectID="_1468075726" r:id="rId6">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7" o:spt="75" type="#_x0000_t75" style="height:415.35pt;width:697.7pt;" o:ole="t" filled="f" o:preferrelative="t" stroked="f" coordsize="21600,21600">
            <v:path/>
            <v:fill on="f" focussize="0,0"/>
            <v:stroke on="f"/>
            <v:imagedata r:id="rId9" o:title=""/>
            <o:lock v:ext="edit" aspectratio="f"/>
            <w10:wrap type="none"/>
            <w10:anchorlock/>
          </v:shape>
          <o:OLEObject Type="Embed" ProgID="Excel.Sheet.12" ShapeID="_x0000_i1027" DrawAspect="Content" ObjectID="_1468075727" r:id="rId8">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8" o:spt="75" type="#_x0000_t75" style="height:414.65pt;width:697.8pt;" o:ole="t" filled="f" o:preferrelative="t" stroked="f" coordsize="21600,21600">
            <v:path/>
            <v:fill on="f" focussize="0,0"/>
            <v:stroke on="f"/>
            <v:imagedata r:id="rId11" o:title=""/>
            <o:lock v:ext="edit" aspectratio="f"/>
            <w10:wrap type="none"/>
            <w10:anchorlock/>
          </v:shape>
          <o:OLEObject Type="Embed" ProgID="Excel.Sheet.12" ShapeID="_x0000_i1028" DrawAspect="Content" ObjectID="_1468075728" r:id="rId10">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9" o:spt="75" type="#_x0000_t75" style="height:413.2pt;width:697.4pt;" o:ole="t" filled="f" o:preferrelative="t" stroked="f" coordsize="21600,21600">
            <v:path/>
            <v:fill on="f" focussize="0,0"/>
            <v:stroke on="f"/>
            <v:imagedata r:id="rId13" o:title=""/>
            <o:lock v:ext="edit" aspectratio="f"/>
            <w10:wrap type="none"/>
            <w10:anchorlock/>
          </v:shape>
          <o:OLEObject Type="Embed" ProgID="Excel.Sheet.12" ShapeID="_x0000_i1029" DrawAspect="Content" ObjectID="_1468075729" r:id="rId12">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0" o:spt="75" type="#_x0000_t75" style="height:409.95pt;width:697.7pt;" o:ole="t" filled="f" o:preferrelative="t" stroked="f" coordsize="21600,21600">
            <v:path/>
            <v:fill on="f" focussize="0,0"/>
            <v:stroke on="f"/>
            <v:imagedata r:id="rId15" o:title=""/>
            <o:lock v:ext="edit" aspectratio="f"/>
            <w10:wrap type="none"/>
            <w10:anchorlock/>
          </v:shape>
          <o:OLEObject Type="Embed" ProgID="Excel.Sheet.12" ShapeID="_x0000_i1030" DrawAspect="Content" ObjectID="_1468075730" r:id="rId14">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1" o:spt="75" type="#_x0000_t75" style="height:412.25pt;width:697.7pt;" o:ole="t" filled="f" o:preferrelative="t" stroked="f" coordsize="21600,21600">
            <v:path/>
            <v:fill on="f" focussize="0,0"/>
            <v:stroke on="f"/>
            <v:imagedata r:id="rId17" o:title=""/>
            <o:lock v:ext="edit" aspectratio="f"/>
            <w10:wrap type="none"/>
            <w10:anchorlock/>
          </v:shape>
          <o:OLEObject Type="Embed" ProgID="Excel.Sheet.12" ShapeID="_x0000_i1031" DrawAspect="Content" ObjectID="_1468075731" r:id="rId16">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2" o:spt="75" type="#_x0000_t75" style="height:206.4pt;width:699.5pt;" o:ole="t" filled="f" o:preferrelative="t" stroked="f" coordsize="21600,21600">
            <v:path/>
            <v:fill on="f" focussize="0,0"/>
            <v:stroke on="f"/>
            <v:imagedata r:id="rId19" o:title=""/>
            <o:lock v:ext="edit" aspectratio="f"/>
            <w10:wrap type="none"/>
            <w10:anchorlock/>
          </v:shape>
          <o:OLEObject Type="Embed" ProgID="Excel.Sheet.12" ShapeID="_x0000_i1032" DrawAspect="Content" ObjectID="_1468075732" r:id="rId18">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3" o:spt="75" type="#_x0000_t75" style="height:164.6pt;width:697.7pt;" o:ole="t" filled="f" o:preferrelative="t" stroked="f" coordsize="21600,21600">
            <v:path/>
            <v:fill on="f" focussize="0,0"/>
            <v:stroke on="f"/>
            <v:imagedata r:id="rId21" o:title=""/>
            <o:lock v:ext="edit" aspectratio="f"/>
            <w10:wrap type="none"/>
            <w10:anchorlock/>
          </v:shape>
          <o:OLEObject Type="Embed" ProgID="Excel.Sheet.12" ShapeID="_x0000_i1033" DrawAspect="Content" ObjectID="_1468075733" r:id="rId20">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4" o:spt="75" type="#_x0000_t75" style="height:136.9pt;width:697.7pt;" o:ole="t" filled="f" o:preferrelative="t" stroked="f" coordsize="21600,21600">
            <v:path/>
            <v:fill on="f" focussize="0,0"/>
            <v:stroke on="f"/>
            <v:imagedata r:id="rId23" o:title=""/>
            <o:lock v:ext="edit" aspectratio="f"/>
            <w10:wrap type="none"/>
            <w10:anchorlock/>
          </v:shape>
          <o:OLEObject Type="Embed" ProgID="Excel.Sheet.12" ShapeID="_x0000_i1034" DrawAspect="Content" ObjectID="_1468075734" r:id="rId22">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5" o:spt="75" type="#_x0000_t75" style="height:193.95pt;width:697.55pt;" o:ole="t" filled="f" o:preferrelative="t" stroked="f" coordsize="21600,21600">
            <v:path/>
            <v:fill on="f" focussize="0,0"/>
            <v:stroke on="f"/>
            <v:imagedata r:id="rId25" o:title=""/>
            <o:lock v:ext="edit" aspectratio="f"/>
            <w10:wrap type="none"/>
            <w10:anchorlock/>
          </v:shape>
          <o:OLEObject Type="Embed" ProgID="Excel.Sheet.12" ShapeID="_x0000_i1035" DrawAspect="Content" ObjectID="_1468075735" r:id="rId24">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bookmarkStart w:id="0" w:name="_GoBack"/>
      <w:bookmarkEnd w:id="0"/>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p>
      <w:pPr>
        <w:pStyle w:val="2"/>
        <w:keepNext w:val="0"/>
        <w:keepLines w:val="0"/>
        <w:pageBreakBefore w:val="0"/>
        <w:widowControl w:val="0"/>
        <w:kinsoku/>
        <w:wordWrap/>
        <w:overflowPunct/>
        <w:topLinePunct w:val="0"/>
        <w:autoSpaceDE w:val="0"/>
        <w:autoSpaceDN w:val="0"/>
        <w:bidi w:val="0"/>
        <w:adjustRightInd w:val="0"/>
        <w:snapToGrid/>
        <w:textAlignment w:val="auto"/>
      </w:pPr>
    </w:p>
    <w:sectPr>
      <w:pgSz w:w="16838" w:h="11906" w:orient="landscape"/>
      <w:pgMar w:top="1803" w:right="1440" w:bottom="1803" w:left="1440" w:header="851" w:footer="992" w:gutter="0"/>
      <w:pgNumType w:start="6"/>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dy">
    <w15:presenceInfo w15:providerId="None" w15:userId="l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MTU2MTUxZjg1Mjc0YzNiZGZiMTkyYjM5MWMwMTAifQ=="/>
  </w:docVars>
  <w:rsids>
    <w:rsidRoot w:val="0018453C"/>
    <w:rsid w:val="00037FBA"/>
    <w:rsid w:val="00084C3B"/>
    <w:rsid w:val="000A7308"/>
    <w:rsid w:val="000F6704"/>
    <w:rsid w:val="0014553D"/>
    <w:rsid w:val="00151805"/>
    <w:rsid w:val="00175672"/>
    <w:rsid w:val="0018453C"/>
    <w:rsid w:val="00185DAB"/>
    <w:rsid w:val="001B1A07"/>
    <w:rsid w:val="00220F13"/>
    <w:rsid w:val="0025199F"/>
    <w:rsid w:val="00262BFB"/>
    <w:rsid w:val="00292945"/>
    <w:rsid w:val="002E190E"/>
    <w:rsid w:val="002F0011"/>
    <w:rsid w:val="00312421"/>
    <w:rsid w:val="0032294B"/>
    <w:rsid w:val="0034320B"/>
    <w:rsid w:val="0035041B"/>
    <w:rsid w:val="003533AA"/>
    <w:rsid w:val="00372A55"/>
    <w:rsid w:val="003A54FF"/>
    <w:rsid w:val="003D69B2"/>
    <w:rsid w:val="00457F2E"/>
    <w:rsid w:val="004C1A7E"/>
    <w:rsid w:val="004F65D0"/>
    <w:rsid w:val="004F6D96"/>
    <w:rsid w:val="0054517F"/>
    <w:rsid w:val="0055355B"/>
    <w:rsid w:val="00576237"/>
    <w:rsid w:val="005E47B3"/>
    <w:rsid w:val="005E7D52"/>
    <w:rsid w:val="00655F61"/>
    <w:rsid w:val="00665D8B"/>
    <w:rsid w:val="00686401"/>
    <w:rsid w:val="006B0CDC"/>
    <w:rsid w:val="006C39E2"/>
    <w:rsid w:val="006D5442"/>
    <w:rsid w:val="006D7FE3"/>
    <w:rsid w:val="006E085B"/>
    <w:rsid w:val="006F455E"/>
    <w:rsid w:val="007072D9"/>
    <w:rsid w:val="0073245A"/>
    <w:rsid w:val="007715EF"/>
    <w:rsid w:val="007A0C65"/>
    <w:rsid w:val="007B431F"/>
    <w:rsid w:val="007C037D"/>
    <w:rsid w:val="007E4CC3"/>
    <w:rsid w:val="00801E01"/>
    <w:rsid w:val="00834DDF"/>
    <w:rsid w:val="00850DC9"/>
    <w:rsid w:val="00877344"/>
    <w:rsid w:val="0089440C"/>
    <w:rsid w:val="008956D1"/>
    <w:rsid w:val="008D353F"/>
    <w:rsid w:val="0090426A"/>
    <w:rsid w:val="009415A1"/>
    <w:rsid w:val="009427F2"/>
    <w:rsid w:val="009A7459"/>
    <w:rsid w:val="009B71E7"/>
    <w:rsid w:val="009F2088"/>
    <w:rsid w:val="00A76362"/>
    <w:rsid w:val="00A86842"/>
    <w:rsid w:val="00AA02F1"/>
    <w:rsid w:val="00AB2741"/>
    <w:rsid w:val="00B109C2"/>
    <w:rsid w:val="00B1551D"/>
    <w:rsid w:val="00B241C2"/>
    <w:rsid w:val="00BA6311"/>
    <w:rsid w:val="00C07F77"/>
    <w:rsid w:val="00C35F38"/>
    <w:rsid w:val="00C47BB8"/>
    <w:rsid w:val="00C52D1F"/>
    <w:rsid w:val="00C66528"/>
    <w:rsid w:val="00CE3F52"/>
    <w:rsid w:val="00D73C24"/>
    <w:rsid w:val="00D77F07"/>
    <w:rsid w:val="00D81B35"/>
    <w:rsid w:val="00DA6F5B"/>
    <w:rsid w:val="00DA7D4D"/>
    <w:rsid w:val="00DA7F84"/>
    <w:rsid w:val="00E20FB4"/>
    <w:rsid w:val="00E40834"/>
    <w:rsid w:val="00E429D8"/>
    <w:rsid w:val="00E44C58"/>
    <w:rsid w:val="00E925CD"/>
    <w:rsid w:val="00F23B56"/>
    <w:rsid w:val="00F56A05"/>
    <w:rsid w:val="00F65B51"/>
    <w:rsid w:val="00F7116F"/>
    <w:rsid w:val="00FC0B2B"/>
    <w:rsid w:val="01405C62"/>
    <w:rsid w:val="01F263DB"/>
    <w:rsid w:val="024C6702"/>
    <w:rsid w:val="026505B4"/>
    <w:rsid w:val="028630A1"/>
    <w:rsid w:val="03AA3E3B"/>
    <w:rsid w:val="03EA5C50"/>
    <w:rsid w:val="04074FB1"/>
    <w:rsid w:val="04137DFA"/>
    <w:rsid w:val="05054F3D"/>
    <w:rsid w:val="0538011A"/>
    <w:rsid w:val="05F46152"/>
    <w:rsid w:val="05F835B0"/>
    <w:rsid w:val="063B27DE"/>
    <w:rsid w:val="065E25EC"/>
    <w:rsid w:val="06835E42"/>
    <w:rsid w:val="07623DA7"/>
    <w:rsid w:val="077B34F3"/>
    <w:rsid w:val="081119C7"/>
    <w:rsid w:val="08153125"/>
    <w:rsid w:val="081A0728"/>
    <w:rsid w:val="088B6229"/>
    <w:rsid w:val="08932C06"/>
    <w:rsid w:val="08DE4DFD"/>
    <w:rsid w:val="08FE14ED"/>
    <w:rsid w:val="09C31824"/>
    <w:rsid w:val="0A1D1E06"/>
    <w:rsid w:val="0A4C7CCD"/>
    <w:rsid w:val="0AD007F3"/>
    <w:rsid w:val="0B486D9D"/>
    <w:rsid w:val="0B512FB6"/>
    <w:rsid w:val="0B980BE5"/>
    <w:rsid w:val="0BD448F3"/>
    <w:rsid w:val="0BEB474C"/>
    <w:rsid w:val="0C7B7749"/>
    <w:rsid w:val="0CE2397A"/>
    <w:rsid w:val="0CEE5818"/>
    <w:rsid w:val="0DDF3EA9"/>
    <w:rsid w:val="0F0A0BC6"/>
    <w:rsid w:val="0F3E23E2"/>
    <w:rsid w:val="0F5C4EB1"/>
    <w:rsid w:val="0F760C96"/>
    <w:rsid w:val="1085571C"/>
    <w:rsid w:val="119C1C51"/>
    <w:rsid w:val="12970A77"/>
    <w:rsid w:val="12B72665"/>
    <w:rsid w:val="12D300E7"/>
    <w:rsid w:val="13811EEE"/>
    <w:rsid w:val="14EF3497"/>
    <w:rsid w:val="153C45B3"/>
    <w:rsid w:val="15420797"/>
    <w:rsid w:val="157947AC"/>
    <w:rsid w:val="15DB09EF"/>
    <w:rsid w:val="15EE0577"/>
    <w:rsid w:val="161552E4"/>
    <w:rsid w:val="1650535C"/>
    <w:rsid w:val="16F374C9"/>
    <w:rsid w:val="17EC7FC1"/>
    <w:rsid w:val="17F81734"/>
    <w:rsid w:val="180D7344"/>
    <w:rsid w:val="18D04290"/>
    <w:rsid w:val="18EF3804"/>
    <w:rsid w:val="190A6D03"/>
    <w:rsid w:val="19502AFF"/>
    <w:rsid w:val="195C3A7E"/>
    <w:rsid w:val="1A14325B"/>
    <w:rsid w:val="1A2375F0"/>
    <w:rsid w:val="1A9C6906"/>
    <w:rsid w:val="1AC0275A"/>
    <w:rsid w:val="1B1D1342"/>
    <w:rsid w:val="1B2A6629"/>
    <w:rsid w:val="1B8751B7"/>
    <w:rsid w:val="1C103D2D"/>
    <w:rsid w:val="1C1965EC"/>
    <w:rsid w:val="1C652CAB"/>
    <w:rsid w:val="1C7701B9"/>
    <w:rsid w:val="1D99665F"/>
    <w:rsid w:val="1DAB23E3"/>
    <w:rsid w:val="1DE66903"/>
    <w:rsid w:val="1E5122F2"/>
    <w:rsid w:val="1E621D9B"/>
    <w:rsid w:val="1E945AB3"/>
    <w:rsid w:val="1EBB0876"/>
    <w:rsid w:val="1EFB5835"/>
    <w:rsid w:val="1F4B3D21"/>
    <w:rsid w:val="205247F6"/>
    <w:rsid w:val="20C21B5F"/>
    <w:rsid w:val="20D8491F"/>
    <w:rsid w:val="217D79B3"/>
    <w:rsid w:val="219B3B12"/>
    <w:rsid w:val="21F8300E"/>
    <w:rsid w:val="22A22428"/>
    <w:rsid w:val="22D4227E"/>
    <w:rsid w:val="22FA27EC"/>
    <w:rsid w:val="230477A4"/>
    <w:rsid w:val="234550B7"/>
    <w:rsid w:val="2384696C"/>
    <w:rsid w:val="23B968AE"/>
    <w:rsid w:val="23FA0187"/>
    <w:rsid w:val="240772FF"/>
    <w:rsid w:val="24183DF0"/>
    <w:rsid w:val="247778DD"/>
    <w:rsid w:val="247A77A8"/>
    <w:rsid w:val="2492204D"/>
    <w:rsid w:val="24D6630F"/>
    <w:rsid w:val="24F84929"/>
    <w:rsid w:val="257B506C"/>
    <w:rsid w:val="25DE1005"/>
    <w:rsid w:val="260A1E20"/>
    <w:rsid w:val="26816946"/>
    <w:rsid w:val="26DB7398"/>
    <w:rsid w:val="2705728B"/>
    <w:rsid w:val="27417BF8"/>
    <w:rsid w:val="27693B45"/>
    <w:rsid w:val="283A129B"/>
    <w:rsid w:val="29DF16A7"/>
    <w:rsid w:val="29F74F67"/>
    <w:rsid w:val="2A484907"/>
    <w:rsid w:val="2B755902"/>
    <w:rsid w:val="2BA81833"/>
    <w:rsid w:val="2BAC3F70"/>
    <w:rsid w:val="2C56166B"/>
    <w:rsid w:val="2C772798"/>
    <w:rsid w:val="2CE33635"/>
    <w:rsid w:val="2D391980"/>
    <w:rsid w:val="2DE95528"/>
    <w:rsid w:val="2ED263DE"/>
    <w:rsid w:val="2EDC147D"/>
    <w:rsid w:val="2F312BD6"/>
    <w:rsid w:val="2F4F315F"/>
    <w:rsid w:val="2F5260FE"/>
    <w:rsid w:val="30780EC9"/>
    <w:rsid w:val="31C46552"/>
    <w:rsid w:val="31EC7268"/>
    <w:rsid w:val="32691E0F"/>
    <w:rsid w:val="33722AF4"/>
    <w:rsid w:val="342B1D46"/>
    <w:rsid w:val="342F1837"/>
    <w:rsid w:val="34A77A31"/>
    <w:rsid w:val="34F20284"/>
    <w:rsid w:val="354F6355"/>
    <w:rsid w:val="35FC37F1"/>
    <w:rsid w:val="3619346A"/>
    <w:rsid w:val="37DD34EA"/>
    <w:rsid w:val="3859649B"/>
    <w:rsid w:val="386D2696"/>
    <w:rsid w:val="39103ACE"/>
    <w:rsid w:val="39227B1B"/>
    <w:rsid w:val="39406911"/>
    <w:rsid w:val="39850296"/>
    <w:rsid w:val="39C26750"/>
    <w:rsid w:val="3A7F1D43"/>
    <w:rsid w:val="3A8D223E"/>
    <w:rsid w:val="3B291386"/>
    <w:rsid w:val="3B563038"/>
    <w:rsid w:val="3B80307E"/>
    <w:rsid w:val="3BCA7BD7"/>
    <w:rsid w:val="3C6C37E2"/>
    <w:rsid w:val="3C7D1C3F"/>
    <w:rsid w:val="3CFD6A0C"/>
    <w:rsid w:val="3E431765"/>
    <w:rsid w:val="3E4660FB"/>
    <w:rsid w:val="400943B7"/>
    <w:rsid w:val="40143523"/>
    <w:rsid w:val="406B2735"/>
    <w:rsid w:val="413E755D"/>
    <w:rsid w:val="4171469C"/>
    <w:rsid w:val="42C454C8"/>
    <w:rsid w:val="431A2687"/>
    <w:rsid w:val="43482ADF"/>
    <w:rsid w:val="43497E11"/>
    <w:rsid w:val="438C52D1"/>
    <w:rsid w:val="43AF1DC7"/>
    <w:rsid w:val="442360D8"/>
    <w:rsid w:val="450B3104"/>
    <w:rsid w:val="45374F70"/>
    <w:rsid w:val="45E922E2"/>
    <w:rsid w:val="46181B9F"/>
    <w:rsid w:val="46B73DB3"/>
    <w:rsid w:val="46B85A12"/>
    <w:rsid w:val="46BC0A08"/>
    <w:rsid w:val="46C20ABF"/>
    <w:rsid w:val="471C5409"/>
    <w:rsid w:val="474F4272"/>
    <w:rsid w:val="475E76EE"/>
    <w:rsid w:val="47AC0459"/>
    <w:rsid w:val="47B54AE2"/>
    <w:rsid w:val="484652C3"/>
    <w:rsid w:val="489E735B"/>
    <w:rsid w:val="48AA0CAC"/>
    <w:rsid w:val="48EF215B"/>
    <w:rsid w:val="49547ADE"/>
    <w:rsid w:val="499358EA"/>
    <w:rsid w:val="4AB935E6"/>
    <w:rsid w:val="4B1F601E"/>
    <w:rsid w:val="4B65339C"/>
    <w:rsid w:val="4BE2220E"/>
    <w:rsid w:val="4D097364"/>
    <w:rsid w:val="4D7808AB"/>
    <w:rsid w:val="4DC87963"/>
    <w:rsid w:val="4EBD760D"/>
    <w:rsid w:val="4EED2017"/>
    <w:rsid w:val="4F0B2DEE"/>
    <w:rsid w:val="4F2E2211"/>
    <w:rsid w:val="4F4E78CD"/>
    <w:rsid w:val="4FA62E1E"/>
    <w:rsid w:val="4FE85961"/>
    <w:rsid w:val="50341189"/>
    <w:rsid w:val="50837233"/>
    <w:rsid w:val="514C5668"/>
    <w:rsid w:val="51513799"/>
    <w:rsid w:val="518C29B6"/>
    <w:rsid w:val="52170DB7"/>
    <w:rsid w:val="52AA23A8"/>
    <w:rsid w:val="52B7187A"/>
    <w:rsid w:val="52BF4FAD"/>
    <w:rsid w:val="53A5465B"/>
    <w:rsid w:val="53B6028C"/>
    <w:rsid w:val="53EF413D"/>
    <w:rsid w:val="54392B16"/>
    <w:rsid w:val="54442E65"/>
    <w:rsid w:val="545B2AA1"/>
    <w:rsid w:val="549B5701"/>
    <w:rsid w:val="54A9277D"/>
    <w:rsid w:val="550B4D8B"/>
    <w:rsid w:val="553F16B7"/>
    <w:rsid w:val="558856A9"/>
    <w:rsid w:val="55CA2A9E"/>
    <w:rsid w:val="55E50F1B"/>
    <w:rsid w:val="565F6886"/>
    <w:rsid w:val="56792B56"/>
    <w:rsid w:val="56BC237C"/>
    <w:rsid w:val="56CA197A"/>
    <w:rsid w:val="56CD4B4D"/>
    <w:rsid w:val="56E65062"/>
    <w:rsid w:val="57280662"/>
    <w:rsid w:val="575867DA"/>
    <w:rsid w:val="5798381B"/>
    <w:rsid w:val="585447AE"/>
    <w:rsid w:val="58EC4DE1"/>
    <w:rsid w:val="59EC6E24"/>
    <w:rsid w:val="5A0B2520"/>
    <w:rsid w:val="5A186813"/>
    <w:rsid w:val="5A3B2376"/>
    <w:rsid w:val="5A40591F"/>
    <w:rsid w:val="5A6F0692"/>
    <w:rsid w:val="5A9164F8"/>
    <w:rsid w:val="5ABF2E42"/>
    <w:rsid w:val="5B586398"/>
    <w:rsid w:val="5B916903"/>
    <w:rsid w:val="5BEF472E"/>
    <w:rsid w:val="5C932202"/>
    <w:rsid w:val="5CC87E6F"/>
    <w:rsid w:val="5CD918EA"/>
    <w:rsid w:val="5D247D3D"/>
    <w:rsid w:val="5DAE1AC9"/>
    <w:rsid w:val="5E153AF5"/>
    <w:rsid w:val="5E293727"/>
    <w:rsid w:val="5E7A2525"/>
    <w:rsid w:val="5F0E1E7F"/>
    <w:rsid w:val="5F112305"/>
    <w:rsid w:val="5F1476E7"/>
    <w:rsid w:val="5F2767B3"/>
    <w:rsid w:val="5FA20B62"/>
    <w:rsid w:val="5FE31F70"/>
    <w:rsid w:val="60045498"/>
    <w:rsid w:val="614C1844"/>
    <w:rsid w:val="617A6C2D"/>
    <w:rsid w:val="618968F0"/>
    <w:rsid w:val="619E6355"/>
    <w:rsid w:val="61BD64DA"/>
    <w:rsid w:val="6215384D"/>
    <w:rsid w:val="62AC06BC"/>
    <w:rsid w:val="633B4987"/>
    <w:rsid w:val="63525D55"/>
    <w:rsid w:val="64C20A08"/>
    <w:rsid w:val="64F06443"/>
    <w:rsid w:val="65420B1A"/>
    <w:rsid w:val="65532504"/>
    <w:rsid w:val="65737FB9"/>
    <w:rsid w:val="65DF5ECF"/>
    <w:rsid w:val="66A662C4"/>
    <w:rsid w:val="67222B8A"/>
    <w:rsid w:val="679D182D"/>
    <w:rsid w:val="67BB6396"/>
    <w:rsid w:val="68197E1D"/>
    <w:rsid w:val="685045A6"/>
    <w:rsid w:val="688621C1"/>
    <w:rsid w:val="68C1269E"/>
    <w:rsid w:val="68C15BDE"/>
    <w:rsid w:val="690130CE"/>
    <w:rsid w:val="69635503"/>
    <w:rsid w:val="69E95327"/>
    <w:rsid w:val="6AD23ACD"/>
    <w:rsid w:val="6B315A81"/>
    <w:rsid w:val="6C3F4637"/>
    <w:rsid w:val="6C9D07C7"/>
    <w:rsid w:val="6CA87DFD"/>
    <w:rsid w:val="6CB426A8"/>
    <w:rsid w:val="6D3835CD"/>
    <w:rsid w:val="6D9914F3"/>
    <w:rsid w:val="6DDF18A8"/>
    <w:rsid w:val="6E7742D5"/>
    <w:rsid w:val="6E947A29"/>
    <w:rsid w:val="701E0D35"/>
    <w:rsid w:val="717A54B6"/>
    <w:rsid w:val="72BF52A3"/>
    <w:rsid w:val="73520170"/>
    <w:rsid w:val="73B32D5B"/>
    <w:rsid w:val="74EA0661"/>
    <w:rsid w:val="75127B2A"/>
    <w:rsid w:val="756B70AB"/>
    <w:rsid w:val="7617390F"/>
    <w:rsid w:val="762D45E7"/>
    <w:rsid w:val="76346231"/>
    <w:rsid w:val="76432C97"/>
    <w:rsid w:val="76472E5B"/>
    <w:rsid w:val="76BD10E7"/>
    <w:rsid w:val="773F1B2E"/>
    <w:rsid w:val="776141C0"/>
    <w:rsid w:val="77E71EE7"/>
    <w:rsid w:val="78403651"/>
    <w:rsid w:val="784051C1"/>
    <w:rsid w:val="789E16E5"/>
    <w:rsid w:val="78DB40C6"/>
    <w:rsid w:val="7954401D"/>
    <w:rsid w:val="79547EF1"/>
    <w:rsid w:val="79A24C96"/>
    <w:rsid w:val="7AE80A7B"/>
    <w:rsid w:val="7B5E14E4"/>
    <w:rsid w:val="7B741965"/>
    <w:rsid w:val="7BBF78B4"/>
    <w:rsid w:val="7BFE30BC"/>
    <w:rsid w:val="7CD24C07"/>
    <w:rsid w:val="7CDD0037"/>
    <w:rsid w:val="7D5B67C5"/>
    <w:rsid w:val="7D8F4D87"/>
    <w:rsid w:val="7DBB66FE"/>
    <w:rsid w:val="7DBE27C1"/>
    <w:rsid w:val="7DCA5F0F"/>
    <w:rsid w:val="7DD27BA7"/>
    <w:rsid w:val="7E1F736F"/>
    <w:rsid w:val="7EC44C52"/>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Balloon Text"/>
    <w:basedOn w:val="1"/>
    <w:link w:val="17"/>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bCs/>
    </w:rPr>
  </w:style>
  <w:style w:type="paragraph" w:customStyle="1" w:styleId="11">
    <w:name w:val="Char"/>
    <w:basedOn w:val="1"/>
    <w:autoRedefine/>
    <w:qFormat/>
    <w:uiPriority w:val="0"/>
    <w:rPr>
      <w:rFonts w:ascii="宋体" w:hAnsi="宋体" w:cs="Courier New"/>
      <w:sz w:val="32"/>
      <w:szCs w:val="32"/>
    </w:rPr>
  </w:style>
  <w:style w:type="character" w:customStyle="1" w:styleId="12">
    <w:name w:val="页眉 Char"/>
    <w:link w:val="6"/>
    <w:autoRedefine/>
    <w:qFormat/>
    <w:uiPriority w:val="0"/>
    <w:rPr>
      <w:kern w:val="2"/>
      <w:sz w:val="18"/>
      <w:szCs w:val="18"/>
    </w:rPr>
  </w:style>
  <w:style w:type="character" w:customStyle="1" w:styleId="13">
    <w:name w:val="页脚 Char"/>
    <w:link w:val="5"/>
    <w:autoRedefine/>
    <w:qFormat/>
    <w:uiPriority w:val="0"/>
    <w:rPr>
      <w:kern w:val="2"/>
      <w:sz w:val="18"/>
      <w:szCs w:val="18"/>
    </w:rPr>
  </w:style>
  <w:style w:type="paragraph" w:customStyle="1" w:styleId="14">
    <w:name w:val="[Normal]"/>
    <w:autoRedefine/>
    <w:qFormat/>
    <w:uiPriority w:val="0"/>
    <w:rPr>
      <w:rFonts w:ascii="宋体" w:hAnsi="宋体" w:eastAsia="宋体" w:cs="Times New Roman"/>
      <w:sz w:val="24"/>
      <w:lang w:val="zh-CN" w:eastAsia="zh-CN" w:bidi="ar-SA"/>
    </w:rPr>
  </w:style>
  <w:style w:type="paragraph" w:customStyle="1" w:styleId="15">
    <w:name w:val="p0"/>
    <w:basedOn w:val="1"/>
    <w:autoRedefine/>
    <w:qFormat/>
    <w:uiPriority w:val="0"/>
    <w:pPr>
      <w:widowControl/>
    </w:pPr>
    <w:rPr>
      <w:kern w:val="0"/>
      <w:szCs w:val="21"/>
    </w:rPr>
  </w:style>
  <w:style w:type="paragraph" w:customStyle="1" w:styleId="16">
    <w:name w:val="Revision"/>
    <w:autoRedefine/>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框文本 Char"/>
    <w:basedOn w:val="9"/>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image" Target="media/image11.emf"/><Relationship Id="rId24" Type="http://schemas.openxmlformats.org/officeDocument/2006/relationships/oleObject" Target="embeddings/oleObject11.bin"/><Relationship Id="rId23" Type="http://schemas.openxmlformats.org/officeDocument/2006/relationships/image" Target="media/image10.emf"/><Relationship Id="rId22" Type="http://schemas.openxmlformats.org/officeDocument/2006/relationships/oleObject" Target="embeddings/oleObject10.bin"/><Relationship Id="rId21" Type="http://schemas.openxmlformats.org/officeDocument/2006/relationships/image" Target="media/image9.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emf"/><Relationship Id="rId18" Type="http://schemas.openxmlformats.org/officeDocument/2006/relationships/oleObject" Target="embeddings/oleObject8.bin"/><Relationship Id="rId17" Type="http://schemas.openxmlformats.org/officeDocument/2006/relationships/image" Target="media/image7.emf"/><Relationship Id="rId16" Type="http://schemas.openxmlformats.org/officeDocument/2006/relationships/oleObject" Target="embeddings/oleObject7.bin"/><Relationship Id="rId15" Type="http://schemas.openxmlformats.org/officeDocument/2006/relationships/image" Target="media/image6.emf"/><Relationship Id="rId14" Type="http://schemas.openxmlformats.org/officeDocument/2006/relationships/oleObject" Target="embeddings/oleObject6.bin"/><Relationship Id="rId13" Type="http://schemas.openxmlformats.org/officeDocument/2006/relationships/image" Target="media/image5.emf"/><Relationship Id="rId12" Type="http://schemas.openxmlformats.org/officeDocument/2006/relationships/oleObject" Target="embeddings/oleObject5.bin"/><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16</Pages>
  <Words>4294</Words>
  <Characters>24479</Characters>
  <Lines>203</Lines>
  <Paragraphs>57</Paragraphs>
  <TotalTime>1</TotalTime>
  <ScaleCrop>false</ScaleCrop>
  <LinksUpToDate>false</LinksUpToDate>
  <CharactersWithSpaces>28716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2024-02-23T08:45:00Z</dcterms:created>
  <dc:creator>dsx</dc:creator>
  <cp:lastModifiedBy>Administrator</cp:lastModifiedBy>
  <cp:lastPrinted>2023-02-17T07:01:00Z</cp:lastPrinted>
  <dcterms:modified xsi:type="dcterms:W3CDTF">2024-03-11T13:10:29Z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