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德清县东宸幼儿园</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10"/>
          <w:color w:val="000000"/>
          <w:sz w:val="30"/>
          <w:szCs w:val="30"/>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r>
        <w:rPr>
          <w:rStyle w:val="10"/>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一、德清县东宸幼儿园</w:t>
      </w:r>
      <w:r>
        <w:rPr>
          <w:rStyle w:val="10"/>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二、2024年德清县东宸幼儿园单位预算安排情况说明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（一）关于德清县东宸幼儿园2024年收支预算情况的总体说明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（二）关于德清县东宸幼儿园2024年收入预算情况说明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（三）关于德清县东宸幼儿园2024年支出预算情况说明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（四）关于德清县东宸幼儿园2024年财政拨款收支预算情况的总体说明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（五）关于德清县东宸幼儿园2024年一般公共预算拨款情况说明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（六）关于德清县东宸幼儿园2024年一般公共预算基本支出情况说明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（七）关于德清县东宸幼儿园2024年政府性基金预算支出情况说明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（八）关于德清县东宸幼儿园2024年国有资本经营预算支出情况说明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（九）关于德清县东宸幼儿园2024年一般公共预算“三公”经费预算情况说明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5"/>
        <w:spacing w:line="520" w:lineRule="exact"/>
        <w:rPr>
          <w:rStyle w:val="10"/>
          <w:rFonts w:ascii="黑体" w:hAnsi="Calibri" w:eastAsia="黑体"/>
          <w:b w:val="0"/>
          <w:color w:val="000000"/>
          <w:kern w:val="2"/>
          <w:sz w:val="32"/>
          <w:szCs w:val="32"/>
        </w:rPr>
      </w:pPr>
      <w:r>
        <w:rPr>
          <w:rStyle w:val="10"/>
          <w:rFonts w:hint="eastAsia" w:ascii="黑体" w:hAnsi="Calibri" w:eastAsia="黑体"/>
          <w:b w:val="0"/>
          <w:color w:val="000000"/>
          <w:kern w:val="2"/>
          <w:sz w:val="32"/>
          <w:szCs w:val="32"/>
        </w:rPr>
        <w:t>三、名词解释</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四、2024年德清县东宸幼儿园单位预算表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（一）2024年德清县东宸幼儿园收支预算总表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（二）2024年德清县东宸幼儿园收入预算总表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（三）2024年德清县东宸幼儿园支出预算总表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（四）2024年德清县东宸幼儿园财政拨款收支预算总表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（五）2024年德清县东宸幼儿园一般公共预算支出表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（六）2024年德清县东宸幼儿园一般公共预算基本支出表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（七）2024年德清县东宸幼儿园一般公共预算“三公”经费支出表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（八）2024年德清县东宸幼儿园政府性基金预算支出表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（九）2024年德清县东宸幼儿园国有资本经营预算支出表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（十）2024年德清县东宸幼儿园项目支出预算表</w:t>
      </w: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tabs>
          <w:tab w:val="left" w:pos="2608"/>
        </w:tabs>
        <w:rPr>
          <w:rStyle w:val="10"/>
          <w:rFonts w:hint="default" w:ascii="黑体" w:eastAsia="黑体"/>
          <w:b w:val="0"/>
          <w:sz w:val="32"/>
          <w:szCs w:val="32"/>
        </w:rPr>
      </w:pPr>
    </w:p>
    <w:p>
      <w:pPr>
        <w:spacing w:line="520" w:lineRule="exact"/>
        <w:ind w:firstLine="627" w:firstLineChars="196"/>
        <w:rPr>
          <w:rStyle w:val="10"/>
          <w:rFonts w:ascii="黑体" w:eastAsia="黑体"/>
          <w:b w:val="0"/>
          <w:color w:val="000000"/>
          <w:sz w:val="32"/>
          <w:szCs w:val="32"/>
        </w:rPr>
      </w:pPr>
      <w:r>
        <w:rPr>
          <w:rStyle w:val="10"/>
          <w:rFonts w:hint="eastAsia" w:ascii="黑体" w:eastAsia="黑体"/>
          <w:b w:val="0"/>
          <w:color w:val="000000"/>
          <w:sz w:val="32"/>
          <w:szCs w:val="32"/>
        </w:rPr>
        <w:t>一、德清县东宸幼儿园概况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1.为学龄前儿童提供保育和教育服务。</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从预算单位构成看，德清县东宸幼儿园预算包括：本单位预算。</w:t>
      </w:r>
    </w:p>
    <w:p>
      <w:pPr>
        <w:spacing w:line="520" w:lineRule="exact"/>
        <w:ind w:firstLine="640" w:firstLineChars="200"/>
        <w:rPr>
          <w:rFonts w:ascii="楷体_GB2312" w:hAnsi="楷体_GB2312" w:eastAsia="楷体_GB2312" w:cs="楷体_GB2312"/>
          <w:color w:val="000000"/>
          <w:sz w:val="32"/>
          <w:szCs w:val="32"/>
        </w:rPr>
      </w:pPr>
      <w:r>
        <w:rPr>
          <w:rStyle w:val="10"/>
          <w:rFonts w:hint="eastAsia" w:ascii="黑体" w:eastAsia="黑体"/>
          <w:b w:val="0"/>
          <w:color w:val="000000"/>
          <w:sz w:val="32"/>
          <w:szCs w:val="32"/>
        </w:rPr>
        <w:t>二、2024年德清县东宸幼儿园单位预算安排情况说明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（一）关于德清县东宸幼儿园</w:t>
      </w:r>
      <w:r>
        <w:rPr>
          <w:rStyle w:val="10"/>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综合预算的原则，德清县东宸幼儿园</w:t>
      </w:r>
      <w:r>
        <w:rPr>
          <w:rFonts w:hint="eastAsia" w:ascii="仿宋_GB2312" w:eastAsia="仿宋_GB2312"/>
          <w:color w:val="000000"/>
          <w:sz w:val="32"/>
          <w:szCs w:val="32"/>
        </w:rPr>
        <w:t>所有收入和支出均纳入部门预算管理。收入包括：一般公共预算拨款收入、财政专户管理资金收入；支出包括：教育支出、社会保障和就业支出、卫生健康支出。德清县东宸幼儿园2024年收支总预算660.40万元。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（二）关于德清县东宸幼儿园2024年收入预算情况说明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rPr>
        <w:t>德清县东宸幼儿园2024年收入预算660.40万元，比上年执行数减少56.54万元，下</w:t>
      </w:r>
      <w:r>
        <w:rPr>
          <w:rFonts w:hint="eastAsia" w:ascii="仿宋_GB2312" w:hAnsi="仿宋_GB2312" w:eastAsia="仿宋_GB2312" w:cs="仿宋_GB2312"/>
          <w:color w:val="000000"/>
          <w:sz w:val="32"/>
        </w:rPr>
        <w:t>降7.9%，</w:t>
      </w:r>
      <w:r>
        <w:rPr>
          <w:rFonts w:hint="eastAsia" w:ascii="仿宋_GB2312" w:hAnsi="仿宋_GB2312" w:eastAsia="仿宋_GB2312" w:cs="仿宋_GB2312"/>
          <w:color w:val="000000"/>
          <w:sz w:val="32"/>
          <w:szCs w:val="32"/>
        </w:rPr>
        <w:t>主要是2023年有专户资金预算并追加了幼儿园室内装修工程尾款。</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657.75</w:t>
      </w:r>
      <w:r>
        <w:rPr>
          <w:rFonts w:hint="eastAsia" w:ascii="仿宋_GB2312" w:eastAsia="仿宋_GB2312"/>
          <w:color w:val="000000"/>
          <w:sz w:val="32"/>
          <w:szCs w:val="32"/>
        </w:rPr>
        <w:t>万元，占99.6%；专户资金2.65万元，占0.4%。</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（三）关于德清县东宸幼儿园2024年支出预算情况说明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德清县东宸幼儿园2024年支出预算660.40万元，比上年执行数减少56.54万元，</w:t>
      </w:r>
      <w:r>
        <w:rPr>
          <w:rFonts w:hint="eastAsia" w:ascii="仿宋_GB2312" w:hAnsi="仿宋_GB2312" w:eastAsia="仿宋_GB2312" w:cs="仿宋_GB2312"/>
          <w:color w:val="000000"/>
          <w:sz w:val="32"/>
        </w:rPr>
        <w:t>下降7.9%，</w:t>
      </w:r>
      <w:r>
        <w:rPr>
          <w:rFonts w:hint="eastAsia" w:ascii="仿宋_GB2312" w:hAnsi="仿宋_GB2312" w:eastAsia="仿宋_GB2312" w:cs="仿宋_GB2312"/>
          <w:color w:val="000000"/>
          <w:sz w:val="32"/>
          <w:szCs w:val="32"/>
        </w:rPr>
        <w:t>主要是2023年有部分专户资金支出；另外，追加资金支付了幼儿园室内装修工程尾款</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2024年上级补助经费未分配下达</w:t>
      </w:r>
      <w:r>
        <w:rPr>
          <w:rFonts w:hint="eastAsia" w:ascii="仿宋_GB2312" w:hAnsi="仿宋_GB2312" w:eastAsia="仿宋_GB2312" w:cs="仿宋_GB2312"/>
          <w:color w:val="000000"/>
          <w:sz w:val="32"/>
          <w:szCs w:val="32"/>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1.按支出功能分类，包括教育支出634.32万元、社会保障和就业支出15.15万元、卫生健康支出10.93万元。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2.按支出用途分类，包括人员支出597.26万元，占90.4%；日常公用支出53.60万元，占8.1%；项目支出9.54万元，占1.4%。</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（四）关于德清县东宸幼儿园2024年财政拨款收支预算情况的总体说明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德清县东宸幼儿园2024年财政拨款收支总预算657.75万元。收入包括：一般公共预算657.75万元；支出包括：教育支出631.67万元、社会保障和就业支出15.15万元、卫生健康支出10.93万元。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关于德清县东宸幼儿园2024年一般公共预算拨款情况说明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rPr>
        <w:t>德清县东宸幼儿园2024年一般公共预算拨款</w:t>
      </w:r>
      <w:r>
        <w:rPr>
          <w:rFonts w:hint="eastAsia" w:ascii="仿宋_GB2312" w:hAnsi="仿宋_GB2312" w:eastAsia="仿宋_GB2312" w:cs="仿宋_GB2312"/>
          <w:bCs/>
          <w:color w:val="000000"/>
          <w:sz w:val="32"/>
          <w:szCs w:val="32"/>
        </w:rPr>
        <w:t>657.75</w:t>
      </w:r>
      <w:r>
        <w:rPr>
          <w:rFonts w:hint="eastAsia" w:ascii="仿宋_GB2312" w:hAnsi="仿宋_GB2312" w:eastAsia="仿宋_GB2312" w:cs="仿宋_GB2312"/>
          <w:color w:val="000000"/>
          <w:sz w:val="32"/>
          <w:szCs w:val="32"/>
        </w:rPr>
        <w:t>万元，比上年执行数减少7.86万元，下</w:t>
      </w:r>
      <w:r>
        <w:rPr>
          <w:rFonts w:hint="eastAsia" w:ascii="仿宋_GB2312" w:hAnsi="仿宋_GB2312" w:eastAsia="仿宋_GB2312" w:cs="仿宋_GB2312"/>
          <w:color w:val="000000"/>
          <w:sz w:val="32"/>
        </w:rPr>
        <w:t>降1.2%，</w:t>
      </w:r>
      <w:r>
        <w:rPr>
          <w:rFonts w:hint="eastAsia" w:ascii="仿宋_GB2312" w:hAnsi="仿宋_GB2312" w:eastAsia="仿宋_GB2312" w:cs="仿宋_GB2312"/>
          <w:color w:val="000000"/>
          <w:sz w:val="32"/>
          <w:szCs w:val="32"/>
        </w:rPr>
        <w:t>主要是</w:t>
      </w:r>
      <w:r>
        <w:rPr>
          <w:rFonts w:hint="eastAsia" w:ascii="仿宋_GB2312" w:hAnsi="仿宋_GB2312" w:eastAsia="仿宋_GB2312" w:cs="仿宋_GB2312"/>
          <w:color w:val="000000"/>
          <w:sz w:val="32"/>
          <w:szCs w:val="32"/>
          <w:lang w:val="en-US" w:eastAsia="zh-CN"/>
        </w:rPr>
        <w:t>上级补助经费未分配下达</w:t>
      </w:r>
      <w:r>
        <w:rPr>
          <w:rFonts w:hint="eastAsia" w:ascii="仿宋_GB2312" w:hAnsi="仿宋_GB2312" w:eastAsia="仿宋_GB2312" w:cs="仿宋_GB2312"/>
          <w:color w:val="000000"/>
          <w:sz w:val="32"/>
          <w:szCs w:val="32"/>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教育支出631.67万元，占96.0%；社会保障和就业支出15.15万元，占2.3%；卫生健康支出10.93万元，占1.7%。</w:t>
      </w:r>
    </w:p>
    <w:p>
      <w:pPr>
        <w:numPr>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（1）教育支出（类）普通教育（款）学前教育（项）631.67万元，主要用于学前教育的支出。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（2）社会保障和就业支出（类）</w:t>
      </w:r>
      <w:r>
        <w:rPr>
          <w:rFonts w:hint="eastAsia" w:ascii="仿宋_GB2312" w:hAnsi="楷体_GB2312" w:eastAsia="仿宋_GB2312" w:cs="楷体_GB2312"/>
          <w:sz w:val="32"/>
          <w:szCs w:val="32"/>
        </w:rPr>
        <w:t>行政事业单位养老支出</w:t>
      </w:r>
      <w:r>
        <w:rPr>
          <w:rFonts w:hint="eastAsia" w:ascii="仿宋_GB2312" w:hAnsi="仿宋_GB2312" w:eastAsia="仿宋_GB2312" w:cs="仿宋_GB2312"/>
          <w:color w:val="000000"/>
          <w:sz w:val="32"/>
          <w:szCs w:val="32"/>
        </w:rPr>
        <w:t>（款）</w:t>
      </w:r>
      <w:r>
        <w:rPr>
          <w:rFonts w:hint="eastAsia" w:ascii="仿宋_GB2312" w:hAnsi="楷体_GB2312" w:eastAsia="仿宋_GB2312" w:cs="楷体_GB2312"/>
          <w:sz w:val="32"/>
          <w:szCs w:val="32"/>
        </w:rPr>
        <w:t>机关事业单位基本养老金保险缴费支出</w:t>
      </w:r>
      <w:r>
        <w:rPr>
          <w:rFonts w:hint="eastAsia" w:ascii="仿宋_GB2312" w:hAnsi="仿宋_GB2312" w:eastAsia="仿宋_GB2312" w:cs="仿宋_GB2312"/>
          <w:color w:val="000000"/>
          <w:sz w:val="32"/>
          <w:szCs w:val="32"/>
        </w:rPr>
        <w:t>（项）10.1万元，主要用于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楷体_GB2312" w:eastAsia="仿宋_GB2312" w:cs="楷体_GB2312"/>
          <w:sz w:val="32"/>
          <w:szCs w:val="32"/>
        </w:rPr>
        <w:t>社会保障和就业支出(类)行政事业单位养老支出(款) 机关事业单位职业年金缴费支出(项)5.05万元。主要用于机关事业单位实施养老保险制度由单位实际缴纳的职业年金支出</w:t>
      </w:r>
      <w:r>
        <w:rPr>
          <w:rFonts w:hint="eastAsia" w:ascii="仿宋_GB2312" w:hAnsi="仿宋_GB2312" w:eastAsia="仿宋_GB2312" w:cs="仿宋_GB2312"/>
          <w:color w:val="000000"/>
          <w:sz w:val="32"/>
          <w:szCs w:val="32"/>
        </w:rPr>
        <w:t>。</w:t>
      </w:r>
    </w:p>
    <w:p>
      <w:pPr>
        <w:spacing w:line="520" w:lineRule="exact"/>
        <w:ind w:firstLine="640" w:firstLineChars="200"/>
        <w:rPr>
          <w:rFonts w:ascii="楷体_GB2312" w:hAnsi="楷体_GB2312" w:eastAsia="楷体_GB2312" w:cs="楷体_GB2312"/>
          <w:bCs/>
          <w:color w:val="000000"/>
          <w:sz w:val="32"/>
          <w:szCs w:val="32"/>
        </w:rPr>
      </w:pPr>
      <w:r>
        <w:rPr>
          <w:rFonts w:hint="eastAsia" w:ascii="仿宋_GB2312" w:hAnsi="楷体_GB2312" w:eastAsia="仿宋_GB2312" w:cs="楷体_GB2312"/>
          <w:sz w:val="32"/>
          <w:szCs w:val="32"/>
        </w:rPr>
        <w:t>（4）卫生健康支出(类)行政事业单位医疗（款）事业单位医疗(项)10.93万元，主要用于反映财政部门集中安排的事业单位基本医疗保险缴费经费，未参加医疗保险的事业单位的公费医疗经费，按国家规定享受离休人员待遇的医疗经费。</w:t>
      </w:r>
    </w:p>
    <w:p>
      <w:pPr>
        <w:spacing w:line="520" w:lineRule="exact"/>
        <w:ind w:firstLine="640" w:firstLineChars="20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（六）关于德清县东宸幼儿园2024年一般公共预算基本支出情况说明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德清县东宸幼儿园2024年一般公共预算基本支出648.21万元，其中：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595.41万元，主要包括：基本工资、津贴补贴、奖金、绩效工资、机关事业单位基本养老保险缴费、职业年金缴费、职工基本医疗保险缴费、公务员医疗补助缴费、其他社会保障缴费、住房公积金、其他工资福利支出、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公用经费52.80万元，主要包括：办公费、水费、电费、邮电费、物业管理费、差旅费、维修（护）费、租赁费、培训费、专用材料费、劳务费、工会经费、其他商品和服务支出。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（七）关于德清县东宸幼儿园2024年政府性基金预算支出情况说明</w:t>
      </w:r>
    </w:p>
    <w:p>
      <w:pPr>
        <w:ind w:firstLine="640" w:firstLineChars="200"/>
      </w:pPr>
      <w:r>
        <w:rPr>
          <w:rFonts w:hint="eastAsia" w:ascii="仿宋_GB2312" w:hAnsi="仿宋_GB2312" w:eastAsia="仿宋_GB2312" w:cs="仿宋_GB2312"/>
          <w:color w:val="000000"/>
          <w:sz w:val="32"/>
          <w:szCs w:val="32"/>
        </w:rPr>
        <w:t>德清县东宸幼儿园2024年没有使用政府性基金预算拨款安排的支出。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德清县东宸幼儿园</w:t>
      </w:r>
      <w:r>
        <w:rPr>
          <w:rFonts w:hint="eastAsia" w:ascii="楷体_GB2312" w:hAnsi="楷体_GB2312" w:eastAsia="楷体_GB2312" w:cs="楷体_GB2312"/>
          <w:bCs/>
          <w:color w:val="000000"/>
          <w:sz w:val="32"/>
          <w:szCs w:val="32"/>
        </w:rPr>
        <w:t>国有资本经营预算支出情况说明</w:t>
      </w:r>
    </w:p>
    <w:p>
      <w:pPr>
        <w:ind w:firstLine="640" w:firstLineChars="200"/>
        <w:rPr>
          <w:b/>
          <w:sz w:val="20"/>
        </w:rPr>
      </w:pPr>
      <w:r>
        <w:rPr>
          <w:rFonts w:hint="eastAsia" w:ascii="仿宋_GB2312" w:hAnsi="仿宋_GB2312" w:eastAsia="仿宋_GB2312" w:cs="仿宋_GB2312"/>
          <w:color w:val="000000"/>
          <w:sz w:val="32"/>
          <w:szCs w:val="32"/>
        </w:rPr>
        <w:t>德清县东宸幼儿园2024年没有使用国有资本经营预算拨款安排的支出。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（九）关于德清县东宸幼儿园2024年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德清县东宸幼儿园2024年“三公”经费预算数为0万元，</w:t>
      </w:r>
      <w:r>
        <w:rPr>
          <w:rFonts w:hint="eastAsia" w:ascii="仿宋_GB2312" w:hAnsi="仿宋_GB2312" w:eastAsia="仿宋_GB2312"/>
          <w:sz w:val="32"/>
          <w:shd w:val="clear" w:color="auto" w:fill="FFFFFF"/>
        </w:rPr>
        <w:t>与上年预算数持平</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2024年预算未安排，与上年预算数持平，主要原因是由相关部门从严审批控制，根据实际情况调整，年初未纳入部门预算。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2.公务接待费：2024年安排公务接待费预算0万元，与上年预算数持平。</w:t>
      </w:r>
    </w:p>
    <w:p>
      <w:pPr>
        <w:pStyle w:val="15"/>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3.公务用车购置及运行维护费：2024年安排公务用车购置及运行维护费预算0万元，</w:t>
      </w:r>
      <w:r>
        <w:rPr>
          <w:rFonts w:hint="eastAsia" w:ascii="仿宋_GB2312" w:hAnsi="仿宋_GB2312" w:eastAsia="仿宋_GB2312" w:cs="仿宋_GB2312"/>
          <w:sz w:val="32"/>
          <w:szCs w:val="32"/>
        </w:rPr>
        <w:t>与上年预算数持平</w:t>
      </w:r>
      <w:r>
        <w:rPr>
          <w:rFonts w:hint="eastAsia" w:ascii="仿宋_GB2312" w:eastAsia="仿宋_GB2312"/>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sz w:val="32"/>
          <w:szCs w:val="32"/>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sz w:val="32"/>
          <w:szCs w:val="32"/>
        </w:rPr>
        <w:t>与上年预算数持平</w:t>
      </w:r>
      <w:r>
        <w:rPr>
          <w:rFonts w:hint="eastAsia" w:ascii="仿宋_GB2312" w:eastAsia="仿宋_GB2312"/>
          <w:sz w:val="32"/>
          <w:szCs w:val="32"/>
          <w:highlight w:val="none"/>
        </w:rPr>
        <w:t>。</w:t>
      </w:r>
    </w:p>
    <w:p>
      <w:pPr>
        <w:pStyle w:val="16"/>
        <w:numPr>
          <w:ilvl w:val="0"/>
          <w:numId w:val="2"/>
        </w:numPr>
        <w:spacing w:line="520" w:lineRule="exact"/>
        <w:ind w:firstLineChars="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其他重要事项的情况说明</w:t>
      </w:r>
    </w:p>
    <w:p>
      <w:pPr>
        <w:pStyle w:val="15"/>
        <w:spacing w:line="520" w:lineRule="exact"/>
        <w:ind w:left="600"/>
        <w:rPr>
          <w:rFonts w:ascii="仿宋_GB2312" w:eastAsia="仿宋_GB2312"/>
          <w:b/>
          <w:bCs/>
          <w:sz w:val="32"/>
          <w:szCs w:val="32"/>
        </w:rPr>
      </w:pPr>
      <w:r>
        <w:rPr>
          <w:rFonts w:hint="eastAsia" w:ascii="仿宋_GB2312" w:eastAsia="仿宋_GB2312"/>
          <w:b/>
          <w:bCs/>
          <w:sz w:val="32"/>
          <w:szCs w:val="32"/>
        </w:rPr>
        <w:t>1.政府采购情况。</w:t>
      </w:r>
    </w:p>
    <w:p>
      <w:pPr>
        <w:pStyle w:val="15"/>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2024年德清县东宸幼儿园</w:t>
      </w:r>
      <w:r>
        <w:rPr>
          <w:rFonts w:hint="eastAsia" w:ascii="仿宋_GB2312" w:eastAsia="仿宋_GB2312"/>
          <w:color w:val="000000"/>
          <w:sz w:val="32"/>
          <w:szCs w:val="32"/>
        </w:rPr>
        <w:t>各单位政府采购预算总额</w:t>
      </w:r>
      <w:r>
        <w:rPr>
          <w:rFonts w:ascii="仿宋_GB2312" w:eastAsia="仿宋_GB2312"/>
          <w:color w:val="000000"/>
          <w:sz w:val="32"/>
          <w:szCs w:val="32"/>
        </w:rPr>
        <w:t>8.93</w:t>
      </w:r>
      <w:r>
        <w:rPr>
          <w:rFonts w:hint="eastAsia" w:ascii="仿宋_GB2312" w:eastAsia="仿宋_GB2312"/>
          <w:color w:val="000000"/>
          <w:sz w:val="32"/>
          <w:szCs w:val="32"/>
        </w:rPr>
        <w:t>万元，其中：政府采购货物预算3.50万元、政府采购工程预算0.00万元、政府采购服务预算</w:t>
      </w:r>
      <w:r>
        <w:rPr>
          <w:rFonts w:ascii="仿宋_GB2312" w:eastAsia="仿宋_GB2312"/>
          <w:color w:val="000000"/>
          <w:sz w:val="32"/>
          <w:szCs w:val="32"/>
        </w:rPr>
        <w:t>5.43</w:t>
      </w:r>
      <w:r>
        <w:rPr>
          <w:rFonts w:hint="eastAsia" w:ascii="仿宋_GB2312" w:eastAsia="仿宋_GB2312"/>
          <w:color w:val="000000"/>
          <w:sz w:val="32"/>
          <w:szCs w:val="32"/>
        </w:rPr>
        <w:t>万元。</w:t>
      </w:r>
    </w:p>
    <w:p>
      <w:pPr>
        <w:pStyle w:val="15"/>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截至2023年12月31日，德清县东宸幼儿园共有车辆</w:t>
      </w:r>
      <w:r>
        <w:rPr>
          <w:rFonts w:hint="eastAsia" w:ascii="仿宋_GB2312" w:hAnsi="仿宋_GB2312" w:eastAsia="仿宋_GB2312" w:cs="仿宋_GB2312"/>
          <w:sz w:val="32"/>
          <w:szCs w:val="32"/>
        </w:rPr>
        <w:t>0辆，其中，应急保障用车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辆。单位价值50万元以上通用设备0台（套），单位价值100万元以上专用设备0台（套）。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5"/>
        <w:spacing w:line="520" w:lineRule="exact"/>
        <w:rPr>
          <w:rFonts w:ascii="仿宋_GB2312" w:eastAsia="仿宋_GB2312"/>
          <w:b/>
          <w:bCs/>
          <w:sz w:val="32"/>
          <w:szCs w:val="32"/>
        </w:rPr>
      </w:pPr>
      <w:r>
        <w:rPr>
          <w:rFonts w:hint="eastAsia" w:ascii="仿宋_GB2312" w:eastAsia="仿宋_GB2312"/>
          <w:b/>
          <w:bCs/>
          <w:sz w:val="32"/>
          <w:szCs w:val="32"/>
        </w:rPr>
        <w:t xml:space="preserve">    3.预算绩效情况说明。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2024年德清县东宸幼儿园其他运转类项目和特定目标类项目均实行绩效目标管理，共计1个一级项目，涉及当年资金9.54万元。</w:t>
      </w:r>
    </w:p>
    <w:p>
      <w:pPr>
        <w:pStyle w:val="15"/>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7.教育支出(类)普通教育(款)学前教育(项)，主要用于各部门举办的学前教育支出。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8.社会保障和就业支出(类) 行政事业单位养老支出(款)机关事业单位基本养老金保险缴费支出(项)，主要用于机关事业单位实施养老保险制度由单位缴纳的基本养老保险费的支出。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9.社会保障和就业支出(类) 行政事业单位养老支出(款)机关事业单位职业年金缴费支出(项)，主要用于机关事业单位实施养老保险制度由单位实际缴纳的职业年金支出。</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pPr>
        <w:spacing w:line="520" w:lineRule="exact"/>
        <w:ind w:firstLine="640" w:firstLineChars="200"/>
        <w:rPr>
          <w:rStyle w:val="10"/>
          <w:rFonts w:ascii="黑体" w:eastAsia="黑体"/>
          <w:b w:val="0"/>
          <w:color w:val="000000"/>
          <w:sz w:val="32"/>
          <w:szCs w:val="32"/>
        </w:rPr>
      </w:pPr>
      <w:r>
        <w:rPr>
          <w:rStyle w:val="10"/>
          <w:rFonts w:hint="eastAsia" w:ascii="黑体" w:eastAsia="黑体"/>
          <w:b w:val="0"/>
          <w:color w:val="000000"/>
          <w:sz w:val="32"/>
          <w:szCs w:val="32"/>
        </w:rPr>
        <w:t>四、2024年德清县东宸幼儿园单位预算表</w:t>
      </w:r>
    </w:p>
    <w:p>
      <w:pPr>
        <w:pStyle w:val="2"/>
      </w:pPr>
    </w:p>
    <w:p>
      <w:pPr>
        <w:spacing w:line="520" w:lineRule="exact"/>
      </w:pPr>
    </w:p>
    <w:p>
      <w:pPr>
        <w:pStyle w:val="2"/>
        <w:rPr>
          <w:rFonts w:hint="default"/>
        </w:rPr>
        <w:sectPr>
          <w:headerReference r:id="rId3" w:type="default"/>
          <w:pgSz w:w="11906" w:h="16838"/>
          <w:pgMar w:top="1440" w:right="1800" w:bottom="1440" w:left="1800" w:header="851" w:footer="992" w:gutter="0"/>
          <w:pgNumType w:start="6"/>
          <w:cols w:space="425" w:num="1"/>
          <w:docGrid w:type="lines" w:linePitch="312" w:charSpace="0"/>
        </w:sectPr>
      </w:pPr>
    </w:p>
    <w:p>
      <w:pPr>
        <w:pStyle w:val="2"/>
      </w:pPr>
      <w:bookmarkStart w:id="0" w:name="RANGE!A1:D25"/>
      <w:bookmarkEnd w:id="0"/>
      <w:r>
        <w:object>
          <v:shape id="_x0000_i1025" o:spt="75" type="#_x0000_t75" style="height:370.75pt;width:697.55pt;" o:ole="t" filled="f" o:preferrelative="t" stroked="f" coordsize="21600,21600">
            <v:path/>
            <v:fill on="f" focussize="0,0"/>
            <v:stroke on="f"/>
            <v:imagedata r:id="rId6" o:title=""/>
            <o:lock v:ext="edit" aspectratio="f"/>
            <w10:wrap type="none"/>
            <w10:anchorlock/>
          </v:shape>
          <o:OLEObject Type="Embed" ProgID="Excel.Sheet.8" ShapeID="_x0000_i1025" DrawAspect="Content" ObjectID="_1468075725" r:id="rId5">
            <o:LockedField>false</o:LockedField>
          </o:OLEObject>
        </w:object>
      </w:r>
    </w:p>
    <w:p>
      <w:pPr>
        <w:pStyle w:val="2"/>
      </w:pPr>
    </w:p>
    <w:p>
      <w:pPr>
        <w:pStyle w:val="2"/>
      </w:pPr>
    </w:p>
    <w:p>
      <w:pPr>
        <w:pStyle w:val="2"/>
      </w:pPr>
      <w:r>
        <w:object>
          <v:shape id="_x0000_i1026" o:spt="75" type="#_x0000_t75" style="height:124.15pt;width:697.15pt;" o:ole="t" filled="f" o:preferrelative="t" stroked="f" coordsize="21600,21600">
            <v:path/>
            <v:fill on="f" focussize="0,0"/>
            <v:stroke on="f"/>
            <v:imagedata r:id="rId8" o:title=""/>
            <o:lock v:ext="edit" aspectratio="f"/>
            <w10:wrap type="none"/>
            <w10:anchorlock/>
          </v:shape>
          <o:OLEObject Type="Embed" ProgID="Excel.Sheet.8" ShapeID="_x0000_i1026" DrawAspect="Content" ObjectID="_1468075726" r:id="rId7">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27" o:spt="75" type="#_x0000_t75" style="height:332.05pt;width:697.6pt;" o:ole="t" filled="f" o:preferrelative="t" stroked="f" coordsize="21600,21600">
            <v:path/>
            <v:fill on="f" focussize="0,0"/>
            <v:stroke on="f"/>
            <v:imagedata r:id="rId10" o:title=""/>
            <o:lock v:ext="edit" aspectratio="f"/>
            <w10:wrap type="none"/>
            <w10:anchorlock/>
          </v:shape>
          <o:OLEObject Type="Embed" ProgID="Excel.Sheet.8" ShapeID="_x0000_i1027" DrawAspect="Content" ObjectID="_1468075727" r:id="rId9">
            <o:LockedField>false</o:LockedField>
          </o:OLEObject>
        </w:object>
      </w:r>
    </w:p>
    <w:p>
      <w:pPr>
        <w:pStyle w:val="2"/>
      </w:pPr>
    </w:p>
    <w:p>
      <w:pPr>
        <w:pStyle w:val="2"/>
      </w:pPr>
    </w:p>
    <w:p>
      <w:pPr>
        <w:pStyle w:val="2"/>
      </w:pPr>
    </w:p>
    <w:p>
      <w:pPr>
        <w:pStyle w:val="2"/>
      </w:pPr>
    </w:p>
    <w:p>
      <w:pPr>
        <w:pStyle w:val="2"/>
      </w:pPr>
      <w:r>
        <w:object>
          <v:shape id="_x0000_i1028" o:spt="75" type="#_x0000_t75" style="height:417.05pt;width:697.55pt;" o:ole="t" filled="f" o:preferrelative="t" stroked="f" coordsize="21600,21600">
            <v:path/>
            <v:fill on="f" focussize="0,0"/>
            <v:stroke on="f"/>
            <v:imagedata r:id="rId12" o:title=""/>
            <o:lock v:ext="edit" aspectratio="f"/>
            <w10:wrap type="none"/>
            <w10:anchorlock/>
          </v:shape>
          <o:OLEObject Type="Embed" ProgID="Excel.Sheet.8" ShapeID="_x0000_i1028" DrawAspect="Content" ObjectID="_1468075728" r:id="rId11">
            <o:LockedField>false</o:LockedField>
          </o:OLEObject>
        </w:object>
      </w:r>
    </w:p>
    <w:p>
      <w:pPr>
        <w:pStyle w:val="2"/>
      </w:pPr>
      <w:r>
        <w:object>
          <v:shape id="_x0000_i1029" o:spt="75" type="#_x0000_t75" style="height:360.15pt;width:697.4pt;" o:ole="t" filled="f" o:preferrelative="t" stroked="f" coordsize="21600,21600">
            <v:path/>
            <v:fill on="f" focussize="0,0"/>
            <v:stroke on="f"/>
            <v:imagedata r:id="rId14" o:title=""/>
            <o:lock v:ext="edit" aspectratio="f"/>
            <w10:wrap type="none"/>
            <w10:anchorlock/>
          </v:shape>
          <o:OLEObject Type="Embed" ProgID="Excel.Sheet.8" ShapeID="_x0000_i1029" DrawAspect="Content" ObjectID="_1468075729" r:id="rId13">
            <o:LockedField>false</o:LockedField>
          </o:OLEObject>
        </w:object>
      </w:r>
    </w:p>
    <w:p>
      <w:pPr>
        <w:pStyle w:val="2"/>
      </w:pPr>
    </w:p>
    <w:p>
      <w:pPr>
        <w:pStyle w:val="2"/>
      </w:pPr>
    </w:p>
    <w:tbl>
      <w:tblPr>
        <w:tblStyle w:val="7"/>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45"/>
        <w:gridCol w:w="4680"/>
        <w:gridCol w:w="2355"/>
        <w:gridCol w:w="2355"/>
        <w:gridCol w:w="2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350074-德清县东宸幼儿园</w:t>
            </w:r>
          </w:p>
        </w:tc>
        <w:tc>
          <w:tcPr>
            <w:tcW w:w="468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648.21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595.41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593.31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593.31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31022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无形资产购置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4" o:spt="75" type="#_x0000_t75" style="height:192.75pt;width:610.5pt;" o:ole="t" filled="f" o:preferrelative="t" stroked="f" coordsize="21600,21600">
            <v:path/>
            <v:fill on="f" focussize="0,0"/>
            <v:stroke on="f"/>
            <v:imagedata r:id="rId16" o:title=""/>
            <o:lock v:ext="edit" aspectratio="f"/>
            <w10:wrap type="none"/>
            <w10:anchorlock/>
          </v:shape>
          <o:OLEObject Type="Embed" ProgID="Excel.Sheet.8" ShapeID="_x0000_i1034" DrawAspect="Content" ObjectID="_1468075730" r:id="rId15">
            <o:LockedField>false</o:LockedField>
          </o:OLEObject>
        </w:object>
      </w:r>
    </w:p>
    <w:p>
      <w:pPr>
        <w:pStyle w:val="2"/>
      </w:pPr>
    </w:p>
    <w:p>
      <w:pPr>
        <w:pStyle w:val="2"/>
      </w:pPr>
    </w:p>
    <w:p>
      <w:pPr>
        <w:pStyle w:val="2"/>
        <w:rPr>
          <w:rFonts w:hint="eastAsia"/>
        </w:rPr>
      </w:pPr>
      <w:r>
        <w:rPr>
          <w:rFonts w:hint="eastAsia"/>
          <w:lang w:val="en-US" w:eastAsia="zh-CN"/>
        </w:rPr>
        <w:t>德清县东宸幼儿园</w:t>
      </w:r>
      <w:r>
        <w:rPr>
          <w:rFonts w:hint="eastAsia"/>
        </w:rPr>
        <w:t>当年没有</w:t>
      </w:r>
      <w:r>
        <w:rPr>
          <w:rFonts w:hint="eastAsia"/>
          <w:lang w:val="en-US" w:eastAsia="zh-CN"/>
        </w:rPr>
        <w:t>一般公共预算“三公”经费</w:t>
      </w:r>
      <w:bookmarkStart w:id="1" w:name="_GoBack"/>
      <w:bookmarkEnd w:id="1"/>
      <w:r>
        <w:rPr>
          <w:rFonts w:hint="eastAsia"/>
        </w:rPr>
        <w:t>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1" o:spt="75" type="#_x0000_t75" style="height:146.25pt;width:697.65pt;" o:ole="t" filled="f" o:preferrelative="t" stroked="f" coordsize="21600,21600">
            <v:path/>
            <v:fill on="f" focussize="0,0"/>
            <v:stroke on="f"/>
            <v:imagedata r:id="rId18" o:title=""/>
            <o:lock v:ext="edit" aspectratio="f"/>
            <w10:wrap type="none"/>
            <w10:anchorlock/>
          </v:shape>
          <o:OLEObject Type="Embed" ProgID="Excel.Sheet.8" ShapeID="_x0000_i1031" DrawAspect="Content" ObjectID="_1468075731" r:id="rId17">
            <o:LockedField>false</o:LockedField>
          </o:OLEObject>
        </w:object>
      </w:r>
    </w:p>
    <w:p>
      <w:pPr>
        <w:pStyle w:val="2"/>
        <w:rPr>
          <w:rFonts w:hint="eastAsia"/>
          <w:lang w:val="en-US" w:eastAsia="zh-CN"/>
        </w:rPr>
      </w:pPr>
    </w:p>
    <w:p>
      <w:pPr>
        <w:pStyle w:val="2"/>
        <w:rPr>
          <w:rFonts w:hint="eastAsia"/>
        </w:rPr>
      </w:pPr>
      <w:r>
        <w:rPr>
          <w:rFonts w:hint="eastAsia"/>
          <w:lang w:val="en-US" w:eastAsia="zh-CN"/>
        </w:rPr>
        <w:t>德清县东宸幼儿园</w:t>
      </w:r>
      <w:r>
        <w:rPr>
          <w:rFonts w:hint="eastAsia"/>
        </w:rPr>
        <w:t>当年没有政府性基金拨款安排的支出，故本表无数据。</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r>
        <w:rPr>
          <w:rFonts w:hint="eastAsia"/>
        </w:rPr>
        <w:object>
          <v:shape id="_x0000_i1032" o:spt="75" type="#_x0000_t75" style="height:122.95pt;width:697.65pt;" o:ole="t" filled="f" o:preferrelative="t" stroked="f" coordsize="21600,21600">
            <v:path/>
            <v:fill on="f" focussize="0,0"/>
            <v:stroke on="f"/>
            <v:imagedata r:id="rId20" o:title=""/>
            <o:lock v:ext="edit" aspectratio="f"/>
            <w10:wrap type="none"/>
            <w10:anchorlock/>
          </v:shape>
          <o:OLEObject Type="Embed" ProgID="Excel.Sheet.8" ShapeID="_x0000_i1032" DrawAspect="Content" ObjectID="_1468075732" r:id="rId19">
            <o:LockedField>false</o:LockedField>
          </o:OLEObject>
        </w:object>
      </w:r>
    </w:p>
    <w:p>
      <w:pPr>
        <w:pStyle w:val="2"/>
        <w:rPr>
          <w:rFonts w:hint="eastAsia"/>
        </w:rPr>
      </w:pPr>
    </w:p>
    <w:p>
      <w:pPr>
        <w:pStyle w:val="2"/>
        <w:rPr>
          <w:rFonts w:hint="eastAsia"/>
        </w:rPr>
      </w:pPr>
      <w:r>
        <w:rPr>
          <w:rFonts w:hint="eastAsia"/>
          <w:lang w:val="en-US" w:eastAsia="zh-CN"/>
        </w:rPr>
        <w:t>德清县东宸幼儿园</w:t>
      </w:r>
      <w:r>
        <w:rPr>
          <w:rFonts w:hint="eastAsia"/>
        </w:rPr>
        <w:t>当年没有国有资本经营预算拨款安排的支出，故本表无数据。</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r>
        <w:rPr>
          <w:rFonts w:hint="eastAsia"/>
        </w:rPr>
        <w:object>
          <v:shape id="_x0000_i1033" o:spt="75" type="#_x0000_t75" style="height:169.05pt;width:697.4pt;" o:ole="t" filled="f" o:preferrelative="t" stroked="f" coordsize="21600,21600">
            <v:path/>
            <v:fill on="f" focussize="0,0"/>
            <v:stroke on="f"/>
            <v:imagedata r:id="rId22" o:title=""/>
            <o:lock v:ext="edit" aspectratio="f"/>
            <w10:wrap type="none"/>
            <w10:anchorlock/>
          </v:shape>
          <o:OLEObject Type="Embed" ProgID="Excel.Sheet.8" ShapeID="_x0000_i1033" DrawAspect="Content" ObjectID="_1468075733" r:id="rId21">
            <o:LockedField>false</o:LockedField>
          </o:OLEObject>
        </w:object>
      </w: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335B51"/>
    <w:multiLevelType w:val="multilevel"/>
    <w:tmpl w:val="58335B51"/>
    <w:lvl w:ilvl="0" w:tentative="0">
      <w:start w:val="10"/>
      <w:numFmt w:val="japaneseCounting"/>
      <w:lvlText w:val="（%1）"/>
      <w:lvlJc w:val="left"/>
      <w:pPr>
        <w:ind w:left="1707" w:hanging="1080"/>
      </w:pPr>
      <w:rPr>
        <w:rFonts w:hint="default"/>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062E6"/>
    <w:rsid w:val="00023307"/>
    <w:rsid w:val="00037FBA"/>
    <w:rsid w:val="00084C3B"/>
    <w:rsid w:val="000971F2"/>
    <w:rsid w:val="000C4636"/>
    <w:rsid w:val="000C7562"/>
    <w:rsid w:val="000F6704"/>
    <w:rsid w:val="00131786"/>
    <w:rsid w:val="0014553D"/>
    <w:rsid w:val="001464FB"/>
    <w:rsid w:val="00150FB0"/>
    <w:rsid w:val="00151805"/>
    <w:rsid w:val="0016714D"/>
    <w:rsid w:val="0018453C"/>
    <w:rsid w:val="001C6D6F"/>
    <w:rsid w:val="001D7273"/>
    <w:rsid w:val="001F186B"/>
    <w:rsid w:val="00221E01"/>
    <w:rsid w:val="0025199F"/>
    <w:rsid w:val="00262BFB"/>
    <w:rsid w:val="002A5C0F"/>
    <w:rsid w:val="002B4DE9"/>
    <w:rsid w:val="002E190E"/>
    <w:rsid w:val="00312421"/>
    <w:rsid w:val="00325975"/>
    <w:rsid w:val="003363CB"/>
    <w:rsid w:val="0034320B"/>
    <w:rsid w:val="0035041B"/>
    <w:rsid w:val="00352D79"/>
    <w:rsid w:val="003533AA"/>
    <w:rsid w:val="00372A55"/>
    <w:rsid w:val="003916F7"/>
    <w:rsid w:val="003A54FF"/>
    <w:rsid w:val="004301FE"/>
    <w:rsid w:val="00442FED"/>
    <w:rsid w:val="004757C0"/>
    <w:rsid w:val="004C1A7E"/>
    <w:rsid w:val="004D6293"/>
    <w:rsid w:val="004E07B6"/>
    <w:rsid w:val="004F65D0"/>
    <w:rsid w:val="004F6D96"/>
    <w:rsid w:val="0054517F"/>
    <w:rsid w:val="0055355B"/>
    <w:rsid w:val="0057576F"/>
    <w:rsid w:val="00576237"/>
    <w:rsid w:val="005D0D77"/>
    <w:rsid w:val="005E065D"/>
    <w:rsid w:val="005E0A27"/>
    <w:rsid w:val="005E47B3"/>
    <w:rsid w:val="005E7D52"/>
    <w:rsid w:val="005F120C"/>
    <w:rsid w:val="00655F61"/>
    <w:rsid w:val="00667111"/>
    <w:rsid w:val="00683DA4"/>
    <w:rsid w:val="006840E9"/>
    <w:rsid w:val="00685CA7"/>
    <w:rsid w:val="006A4E23"/>
    <w:rsid w:val="006B2E4F"/>
    <w:rsid w:val="006C39E2"/>
    <w:rsid w:val="006D5442"/>
    <w:rsid w:val="006D7FE3"/>
    <w:rsid w:val="006E085B"/>
    <w:rsid w:val="006F455E"/>
    <w:rsid w:val="007072D9"/>
    <w:rsid w:val="00717217"/>
    <w:rsid w:val="00731A0A"/>
    <w:rsid w:val="0073245A"/>
    <w:rsid w:val="00733445"/>
    <w:rsid w:val="007400E5"/>
    <w:rsid w:val="00755A48"/>
    <w:rsid w:val="007715EF"/>
    <w:rsid w:val="007850F1"/>
    <w:rsid w:val="00796AF2"/>
    <w:rsid w:val="007A0C65"/>
    <w:rsid w:val="007A12B4"/>
    <w:rsid w:val="007B08A0"/>
    <w:rsid w:val="007B431F"/>
    <w:rsid w:val="007D24B2"/>
    <w:rsid w:val="007E4CC3"/>
    <w:rsid w:val="00801E01"/>
    <w:rsid w:val="00834DDF"/>
    <w:rsid w:val="00850DC9"/>
    <w:rsid w:val="008938FC"/>
    <w:rsid w:val="0089440C"/>
    <w:rsid w:val="008C07E2"/>
    <w:rsid w:val="00937AE8"/>
    <w:rsid w:val="009415A1"/>
    <w:rsid w:val="009427F2"/>
    <w:rsid w:val="00963317"/>
    <w:rsid w:val="009A7459"/>
    <w:rsid w:val="009B454F"/>
    <w:rsid w:val="009B71E7"/>
    <w:rsid w:val="009C5081"/>
    <w:rsid w:val="009F2D3A"/>
    <w:rsid w:val="009F499A"/>
    <w:rsid w:val="009F790C"/>
    <w:rsid w:val="00A61D44"/>
    <w:rsid w:val="00A76362"/>
    <w:rsid w:val="00A86842"/>
    <w:rsid w:val="00AB2741"/>
    <w:rsid w:val="00AC54CF"/>
    <w:rsid w:val="00B109C2"/>
    <w:rsid w:val="00B85FDA"/>
    <w:rsid w:val="00BA6311"/>
    <w:rsid w:val="00BB01DE"/>
    <w:rsid w:val="00BB2FBE"/>
    <w:rsid w:val="00C14B7B"/>
    <w:rsid w:val="00C259F4"/>
    <w:rsid w:val="00C35F38"/>
    <w:rsid w:val="00C35FDD"/>
    <w:rsid w:val="00C47BB8"/>
    <w:rsid w:val="00C50353"/>
    <w:rsid w:val="00C52D1F"/>
    <w:rsid w:val="00C57265"/>
    <w:rsid w:val="00CB6FDB"/>
    <w:rsid w:val="00CC1B9F"/>
    <w:rsid w:val="00CC4D06"/>
    <w:rsid w:val="00CE3F52"/>
    <w:rsid w:val="00CF741B"/>
    <w:rsid w:val="00D02068"/>
    <w:rsid w:val="00D07ED6"/>
    <w:rsid w:val="00D55CED"/>
    <w:rsid w:val="00D61B6C"/>
    <w:rsid w:val="00D62210"/>
    <w:rsid w:val="00D721AD"/>
    <w:rsid w:val="00D7617F"/>
    <w:rsid w:val="00D81B35"/>
    <w:rsid w:val="00DA6F5B"/>
    <w:rsid w:val="00DA7F84"/>
    <w:rsid w:val="00DF1430"/>
    <w:rsid w:val="00E16F71"/>
    <w:rsid w:val="00E20FB4"/>
    <w:rsid w:val="00E310FF"/>
    <w:rsid w:val="00E40834"/>
    <w:rsid w:val="00E429D8"/>
    <w:rsid w:val="00E44C58"/>
    <w:rsid w:val="00E51818"/>
    <w:rsid w:val="00E925CD"/>
    <w:rsid w:val="00E95C9E"/>
    <w:rsid w:val="00ED0384"/>
    <w:rsid w:val="00F23B56"/>
    <w:rsid w:val="00F56A05"/>
    <w:rsid w:val="00F7116F"/>
    <w:rsid w:val="00F80D2D"/>
    <w:rsid w:val="00F966EC"/>
    <w:rsid w:val="00FE72FA"/>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5A5EF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6552E1"/>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140C8C"/>
    <w:rsid w:val="2C56166B"/>
    <w:rsid w:val="2C772798"/>
    <w:rsid w:val="2CE33635"/>
    <w:rsid w:val="2D391980"/>
    <w:rsid w:val="2D7C6F9A"/>
    <w:rsid w:val="2E986BA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B06F92"/>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51657"/>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C66501"/>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6FEF192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Balloon Text"/>
    <w:basedOn w:val="1"/>
    <w:link w:val="17"/>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autoRedefine/>
    <w:qFormat/>
    <w:uiPriority w:val="0"/>
    <w:rPr>
      <w:b/>
      <w:bCs/>
    </w:rPr>
  </w:style>
  <w:style w:type="paragraph" w:customStyle="1" w:styleId="11">
    <w:name w:val="Char"/>
    <w:basedOn w:val="1"/>
    <w:autoRedefine/>
    <w:qFormat/>
    <w:uiPriority w:val="0"/>
    <w:rPr>
      <w:rFonts w:ascii="宋体" w:hAnsi="宋体" w:cs="Courier New"/>
      <w:sz w:val="32"/>
      <w:szCs w:val="32"/>
    </w:rPr>
  </w:style>
  <w:style w:type="character" w:customStyle="1" w:styleId="12">
    <w:name w:val="页眉 Char"/>
    <w:link w:val="6"/>
    <w:autoRedefine/>
    <w:qFormat/>
    <w:uiPriority w:val="0"/>
    <w:rPr>
      <w:kern w:val="2"/>
      <w:sz w:val="18"/>
      <w:szCs w:val="18"/>
    </w:rPr>
  </w:style>
  <w:style w:type="character" w:customStyle="1" w:styleId="13">
    <w:name w:val="页脚 Char"/>
    <w:link w:val="5"/>
    <w:autoRedefine/>
    <w:qFormat/>
    <w:uiPriority w:val="0"/>
    <w:rPr>
      <w:kern w:val="2"/>
      <w:sz w:val="18"/>
      <w:szCs w:val="18"/>
    </w:rPr>
  </w:style>
  <w:style w:type="paragraph" w:customStyle="1" w:styleId="14">
    <w:name w:val="[Normal]"/>
    <w:autoRedefine/>
    <w:qFormat/>
    <w:uiPriority w:val="0"/>
    <w:rPr>
      <w:rFonts w:ascii="宋体" w:hAnsi="宋体" w:eastAsia="宋体" w:cs="Times New Roman"/>
      <w:sz w:val="24"/>
      <w:lang w:val="zh-CN" w:eastAsia="zh-CN" w:bidi="ar-SA"/>
    </w:rPr>
  </w:style>
  <w:style w:type="paragraph" w:customStyle="1" w:styleId="15">
    <w:name w:val="p0"/>
    <w:basedOn w:val="1"/>
    <w:autoRedefine/>
    <w:qFormat/>
    <w:uiPriority w:val="0"/>
    <w:pPr>
      <w:widowControl/>
    </w:pPr>
    <w:rPr>
      <w:kern w:val="0"/>
      <w:szCs w:val="21"/>
    </w:rPr>
  </w:style>
  <w:style w:type="paragraph" w:styleId="16">
    <w:name w:val="List Paragraph"/>
    <w:basedOn w:val="1"/>
    <w:autoRedefine/>
    <w:unhideWhenUsed/>
    <w:qFormat/>
    <w:uiPriority w:val="99"/>
    <w:pPr>
      <w:ind w:firstLine="420" w:firstLineChars="200"/>
    </w:pPr>
  </w:style>
  <w:style w:type="character" w:customStyle="1" w:styleId="17">
    <w:name w:val="批注框文本 Char"/>
    <w:basedOn w:val="9"/>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image" Target="media/image9.emf"/><Relationship Id="rId21" Type="http://schemas.openxmlformats.org/officeDocument/2006/relationships/oleObject" Target="embeddings/oleObject9.bin"/><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10</Pages>
  <Words>576</Words>
  <Characters>3286</Characters>
  <Lines>27</Lines>
  <Paragraphs>7</Paragraphs>
  <TotalTime>1</TotalTime>
  <ScaleCrop>false</ScaleCrop>
  <LinksUpToDate>false</LinksUpToDate>
  <CharactersWithSpaces>3855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2024-02-26T03:03:00Z</dcterms:created>
  <dc:creator>dsx</dc:creator>
  <cp:lastModifiedBy>Administrator</cp:lastModifiedBy>
  <cp:lastPrinted>2024-02-27T02:09:00Z</cp:lastPrinted>
  <dcterms:modified xsi:type="dcterms:W3CDTF">2024-03-11T12:02:41Z</dcterms:modified>
  <dc:title>关于2019年部门预算的批复</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