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德清县教育保障中心</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二、2024年德清县教育保障中心单位预算安排情况说明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（一）关于德清县教育保障中心2024年收支预算情况的总体说明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（二）关于德清县教育保障中心2024年收入预算情况说明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（三）关于德清县教育保障中心2024年支出预算情况说明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（四）关于德清县教育保障中心2024年财政拨款收支预算情况的总体说明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（五）关于德清县教育保障中心2024年一般公共预算拨款情况说明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（六）关于德清县教育保障中心2024年一般公共预算基本支出情况说明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（七）关于德清县教育保障中心2024年政府性基金预算支出情况说明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（八）关于德清县教育保障中心2024年国有资本经营预算支出情况说明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（九）关于德清县教育保障中心2024年一般公共预算“三公”经费预算情况说明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四、2024年德清县教育保障中心单位预算表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ind w:firstLine="640" w:firstLineChars="200"/>
        <w:rPr>
          <w:rFonts w:ascii="仿宋_GB2312" w:eastAsia="仿宋_GB2312"/>
          <w:sz w:val="32"/>
          <w:szCs w:val="32"/>
        </w:rPr>
      </w:pPr>
      <w:r>
        <w:rPr>
          <w:rFonts w:hint="eastAsia" w:ascii="仿宋_GB2312" w:eastAsia="仿宋_GB2312"/>
          <w:sz w:val="32"/>
          <w:szCs w:val="32"/>
        </w:rPr>
        <w:t>1、承担全县公办中小学校工程项目建设指导，校舍维修计划制定、实施和管理工作；</w:t>
      </w:r>
    </w:p>
    <w:p>
      <w:pPr>
        <w:ind w:firstLine="640" w:firstLineChars="200"/>
        <w:rPr>
          <w:rFonts w:ascii="仿宋_GB2312" w:eastAsia="仿宋_GB2312"/>
          <w:sz w:val="32"/>
          <w:szCs w:val="32"/>
        </w:rPr>
      </w:pPr>
      <w:r>
        <w:rPr>
          <w:rFonts w:hint="eastAsia" w:ascii="仿宋_GB2312" w:eastAsia="仿宋_GB2312"/>
          <w:sz w:val="32"/>
          <w:szCs w:val="32"/>
        </w:rPr>
        <w:t>2、承担全县公办中小学教育技术装备配置计划制定、实施和管理工作；</w:t>
      </w:r>
    </w:p>
    <w:p>
      <w:pPr>
        <w:ind w:firstLine="640" w:firstLineChars="200"/>
        <w:rPr>
          <w:rFonts w:ascii="仿宋_GB2312" w:eastAsia="仿宋_GB2312"/>
          <w:sz w:val="32"/>
          <w:szCs w:val="32"/>
        </w:rPr>
      </w:pPr>
      <w:r>
        <w:rPr>
          <w:rFonts w:hint="eastAsia" w:ascii="仿宋_GB2312" w:eastAsia="仿宋_GB2312"/>
          <w:sz w:val="32"/>
          <w:szCs w:val="32"/>
        </w:rPr>
        <w:t>3、承担全县教育信息化发展规划的制定和实施等相关辅助工作。承担推进全县学校教育信息化相关技术保障工作。承担“德清教育办公平台”的运行维护工作；</w:t>
      </w:r>
    </w:p>
    <w:p>
      <w:pPr>
        <w:ind w:firstLine="640" w:firstLineChars="200"/>
        <w:rPr>
          <w:rFonts w:ascii="仿宋_GB2312" w:eastAsia="仿宋_GB2312"/>
          <w:sz w:val="32"/>
          <w:szCs w:val="32"/>
        </w:rPr>
      </w:pPr>
      <w:r>
        <w:rPr>
          <w:rFonts w:hint="eastAsia" w:ascii="仿宋_GB2312" w:eastAsia="仿宋_GB2312"/>
          <w:sz w:val="32"/>
          <w:szCs w:val="32"/>
        </w:rPr>
        <w:t>4、承担全县教育系统限额以下工程项目、批量集中采购项目的招标采购工作；</w:t>
      </w:r>
    </w:p>
    <w:p>
      <w:pPr>
        <w:ind w:firstLine="640" w:firstLineChars="200"/>
        <w:rPr>
          <w:rFonts w:ascii="仿宋_GB2312" w:eastAsia="仿宋_GB2312"/>
          <w:sz w:val="32"/>
          <w:szCs w:val="32"/>
        </w:rPr>
      </w:pPr>
      <w:r>
        <w:rPr>
          <w:rFonts w:hint="eastAsia" w:ascii="仿宋_GB2312" w:eastAsia="仿宋_GB2312"/>
          <w:sz w:val="32"/>
          <w:szCs w:val="32"/>
        </w:rPr>
        <w:t>5、承担全县学校教学、生活保障物资招标采购和管理工作。负责做好地方教材、幼儿教材等征订工作；</w:t>
      </w:r>
    </w:p>
    <w:p>
      <w:pPr>
        <w:ind w:firstLine="640" w:firstLineChars="200"/>
        <w:rPr>
          <w:rFonts w:ascii="仿宋_GB2312" w:eastAsia="仿宋_GB2312"/>
          <w:sz w:val="32"/>
          <w:szCs w:val="32"/>
        </w:rPr>
      </w:pPr>
      <w:r>
        <w:rPr>
          <w:rFonts w:hint="eastAsia" w:ascii="仿宋_GB2312" w:eastAsia="仿宋_GB2312"/>
          <w:sz w:val="32"/>
          <w:szCs w:val="32"/>
        </w:rPr>
        <w:t>6、承担全县学校床上用品、学生服装采购等服务保障工作。承担校园品牌超市管理服务工作；</w:t>
      </w:r>
    </w:p>
    <w:p>
      <w:pPr>
        <w:ind w:firstLine="640" w:firstLineChars="200"/>
        <w:rPr>
          <w:rFonts w:ascii="仿宋_GB2312" w:eastAsia="仿宋_GB2312"/>
          <w:sz w:val="32"/>
          <w:szCs w:val="32"/>
        </w:rPr>
      </w:pPr>
      <w:r>
        <w:rPr>
          <w:rFonts w:hint="eastAsia" w:ascii="仿宋_GB2312" w:eastAsia="仿宋_GB2312"/>
          <w:sz w:val="32"/>
          <w:szCs w:val="32"/>
        </w:rPr>
        <w:t>7、承担全县教育系统勤工俭学指导工作；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_GB2312" w:eastAsia="仿宋_GB2312"/>
          <w:bCs/>
          <w:sz w:val="32"/>
          <w:szCs w:val="32"/>
        </w:rPr>
        <w:t>从预算单位构成看，德清县教育保障中心预算包括：从预算单位构成看，</w:t>
      </w:r>
      <w:r>
        <w:rPr>
          <w:rFonts w:ascii="仿宋_GB2312" w:eastAsia="仿宋_GB2312"/>
          <w:bCs/>
          <w:sz w:val="32"/>
          <w:szCs w:val="32"/>
        </w:rPr>
        <w:fldChar w:fldCharType="begin"/>
      </w:r>
      <w:r>
        <w:rPr>
          <w:rFonts w:hint="eastAsia" w:ascii="仿宋_GB2312" w:eastAsia="仿宋_GB2312"/>
          <w:bCs/>
          <w:sz w:val="32"/>
          <w:szCs w:val="32"/>
        </w:rPr>
        <w:instrText xml:space="preserve">MERGEFIELD ${page855778723.ds388518707_V_RPT_BAS_AGENCY_INFO_NAME}</w:instrText>
      </w:r>
      <w:r>
        <w:rPr>
          <w:rFonts w:ascii="仿宋_GB2312" w:eastAsia="仿宋_GB2312"/>
          <w:bCs/>
          <w:sz w:val="32"/>
          <w:szCs w:val="32"/>
        </w:rPr>
        <w:fldChar w:fldCharType="separate"/>
      </w:r>
      <w:r>
        <w:rPr>
          <w:rFonts w:hint="eastAsia" w:ascii="仿宋_GB2312" w:eastAsia="仿宋_GB2312"/>
          <w:bCs/>
          <w:sz w:val="32"/>
          <w:szCs w:val="32"/>
        </w:rPr>
        <w:t>德清县教育保障中心</w:t>
      </w:r>
      <w:r>
        <w:fldChar w:fldCharType="end"/>
      </w:r>
      <w:r>
        <w:rPr>
          <w:rFonts w:hint="eastAsia" w:ascii="仿宋_GB2312" w:eastAsia="仿宋_GB2312"/>
          <w:bCs/>
          <w:sz w:val="32"/>
          <w:szCs w:val="32"/>
        </w:rPr>
        <w:t>预算包括：</w:t>
      </w:r>
      <w:r>
        <w:rPr>
          <w:rFonts w:hint="eastAsia" w:ascii="仿宋" w:hAnsi="仿宋" w:eastAsia="仿宋" w:cs="Arial"/>
          <w:sz w:val="32"/>
          <w:szCs w:val="32"/>
        </w:rPr>
        <w:t>办公室、工程部、招标采购部、装备信息部、后勤部、财务部。</w:t>
      </w:r>
    </w:p>
    <w:p>
      <w:pPr>
        <w:spacing w:line="520" w:lineRule="exact"/>
        <w:ind w:firstLine="627" w:firstLineChars="196"/>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二、2024年德清县教育保障中心单位预算安排情况说明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（一）关于德清县教育保障中心</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综合预算的原则，德清县教育保障中心</w:t>
      </w:r>
      <w:r>
        <w:rPr>
          <w:rFonts w:hint="eastAsia" w:ascii="仿宋_GB2312" w:eastAsia="仿宋_GB2312"/>
          <w:color w:val="000000"/>
          <w:sz w:val="32"/>
          <w:szCs w:val="32"/>
        </w:rPr>
        <w:t>所有收入和支出均纳入部门预算管理。收入包括：一般公共预算拨款收入,其他收入;支出包括：教育支出、社会保障和就业支出、卫生健康支出。德清县教育保障中心2024年收支总预算3465.97万元。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（二）关于德清县教育保障中心2024年收入预算情况说明</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德清县教育保障中心2024年收入预算3465.97万元，比上年执行数减少2.82万元，下</w:t>
      </w:r>
      <w:r>
        <w:rPr>
          <w:rFonts w:hint="eastAsia" w:ascii="仿宋_GB2312" w:hAnsi="仿宋_GB2312" w:eastAsia="仿宋_GB2312" w:cs="仿宋_GB2312"/>
          <w:color w:val="000000"/>
          <w:sz w:val="32"/>
          <w:highlight w:val="none"/>
        </w:rPr>
        <w:t>降0.08%，</w:t>
      </w:r>
      <w:r>
        <w:rPr>
          <w:rFonts w:hint="eastAsia" w:ascii="仿宋_GB2312" w:hAnsi="仿宋_GB2312" w:eastAsia="仿宋_GB2312" w:cs="仿宋_GB2312"/>
          <w:color w:val="000000"/>
          <w:sz w:val="32"/>
          <w:szCs w:val="32"/>
          <w:highlight w:val="none"/>
        </w:rPr>
        <w:t>主要是人员减少</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人员经费减少</w:t>
      </w:r>
      <w:r>
        <w:rPr>
          <w:rFonts w:hint="eastAsia" w:ascii="仿宋_GB2312" w:hAnsi="仿宋_GB2312" w:eastAsia="仿宋_GB2312" w:cs="仿宋_GB2312"/>
          <w:color w:val="000000"/>
          <w:sz w:val="32"/>
          <w:szCs w:val="32"/>
          <w:highlight w:val="none"/>
        </w:rPr>
        <w:t>。</w:t>
      </w:r>
    </w:p>
    <w:p>
      <w:pPr>
        <w:spacing w:line="520" w:lineRule="exact"/>
        <w:ind w:firstLine="642"/>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rPr>
        <w:t>其中：一般公共预算拨款收入</w:t>
      </w:r>
      <w:r>
        <w:rPr>
          <w:rFonts w:ascii="仿宋_GB2312" w:eastAsia="仿宋_GB2312"/>
          <w:color w:val="000000"/>
          <w:sz w:val="32"/>
          <w:szCs w:val="32"/>
          <w:highlight w:val="none"/>
        </w:rPr>
        <w:t>3463.85</w:t>
      </w:r>
      <w:r>
        <w:rPr>
          <w:rFonts w:hint="eastAsia" w:ascii="仿宋_GB2312" w:eastAsia="仿宋_GB2312"/>
          <w:color w:val="000000"/>
          <w:sz w:val="32"/>
          <w:szCs w:val="32"/>
          <w:highlight w:val="none"/>
        </w:rPr>
        <w:t>万元（上年结转99.40万元），占99.9%；其他收入2.12万元，占0.1</w:t>
      </w:r>
      <w:r>
        <w:rPr>
          <w:rFonts w:hint="eastAsia" w:ascii="仿宋_GB2312" w:eastAsia="仿宋_GB2312"/>
          <w:color w:val="000000"/>
          <w:sz w:val="32"/>
          <w:szCs w:val="32"/>
          <w:highlight w:val="none"/>
          <w:lang w:val="en-US" w:eastAsia="zh-CN"/>
        </w:rPr>
        <w:t>%。</w:t>
      </w:r>
    </w:p>
    <w:p>
      <w:pPr>
        <w:spacing w:line="520" w:lineRule="exact"/>
        <w:rPr>
          <w:rFonts w:ascii="仿宋_GB2312" w:eastAsia="仿宋_GB2312"/>
          <w:color w:val="000000"/>
          <w:sz w:val="32"/>
          <w:szCs w:val="32"/>
          <w:highlight w:val="none"/>
        </w:rPr>
      </w:pPr>
      <w:r>
        <w:rPr>
          <w:rFonts w:hint="eastAsia" w:ascii="楷体_GB2312" w:hAnsi="楷体_GB2312" w:eastAsia="楷体_GB2312" w:cs="楷体_GB2312"/>
          <w:bCs/>
          <w:color w:val="000000"/>
          <w:sz w:val="32"/>
          <w:szCs w:val="32"/>
        </w:rPr>
        <w:t>　　（三）关于德清县教育保障中心2024年支出预算情况说明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德清县教育保障中</w:t>
      </w:r>
      <w:r>
        <w:rPr>
          <w:rFonts w:hint="eastAsia" w:ascii="仿宋_GB2312" w:hAnsi="仿宋_GB2312" w:eastAsia="仿宋_GB2312" w:cs="仿宋_GB2312"/>
          <w:color w:val="000000"/>
          <w:sz w:val="32"/>
          <w:szCs w:val="32"/>
          <w:highlight w:val="none"/>
        </w:rPr>
        <w:t>心2024年支出预算3465.97万元，比上年执行数增加2.93万元，</w:t>
      </w:r>
      <w:r>
        <w:rPr>
          <w:rFonts w:hint="eastAsia" w:ascii="仿宋_GB2312" w:hAnsi="仿宋_GB2312" w:eastAsia="仿宋_GB2312" w:cs="仿宋_GB2312"/>
          <w:color w:val="000000"/>
          <w:sz w:val="32"/>
          <w:highlight w:val="none"/>
        </w:rPr>
        <w:t>增长0.08%，</w:t>
      </w:r>
      <w:bookmarkStart w:id="0" w:name="_GoBack"/>
      <w:r>
        <w:rPr>
          <w:rFonts w:hint="eastAsia" w:ascii="仿宋_GB2312" w:hAnsi="仿宋_GB2312" w:eastAsia="仿宋_GB2312" w:cs="仿宋_GB2312"/>
          <w:color w:val="000000"/>
          <w:sz w:val="32"/>
          <w:szCs w:val="32"/>
          <w:highlight w:val="none"/>
        </w:rPr>
        <w:t>主要是社保公积金等人员缴费</w:t>
      </w:r>
      <w:r>
        <w:rPr>
          <w:rFonts w:hint="eastAsia" w:ascii="仿宋_GB2312" w:hAnsi="仿宋_GB2312" w:eastAsia="仿宋_GB2312" w:cs="仿宋_GB2312"/>
          <w:color w:val="000000"/>
          <w:sz w:val="32"/>
          <w:szCs w:val="32"/>
          <w:highlight w:val="none"/>
          <w:lang w:eastAsia="zh-CN"/>
        </w:rPr>
        <w:t>基数</w:t>
      </w:r>
      <w:r>
        <w:rPr>
          <w:rFonts w:hint="eastAsia" w:ascii="仿宋_GB2312" w:hAnsi="仿宋_GB2312" w:eastAsia="仿宋_GB2312" w:cs="仿宋_GB2312"/>
          <w:color w:val="000000"/>
          <w:sz w:val="32"/>
          <w:szCs w:val="32"/>
          <w:highlight w:val="none"/>
        </w:rPr>
        <w:t>增长。</w:t>
      </w:r>
    </w:p>
    <w:bookmarkEnd w:id="0"/>
    <w:p>
      <w:pPr>
        <w:spacing w:line="520" w:lineRule="exact"/>
        <w:ind w:firstLine="63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rPr>
        <w:t>1.按支出功能分类，包括教育支出3343.16万元、社会保障和就业支出78.00万元、卫生健康支出44.81万元</w:t>
      </w:r>
      <w:r>
        <w:rPr>
          <w:rFonts w:hint="eastAsia" w:ascii="仿宋_GB2312" w:eastAsia="仿宋_GB2312"/>
          <w:color w:val="000000"/>
          <w:sz w:val="32"/>
          <w:szCs w:val="32"/>
          <w:highlight w:val="none"/>
          <w:lang w:eastAsia="zh-CN"/>
        </w:rPr>
        <w:t>。</w:t>
      </w:r>
    </w:p>
    <w:p>
      <w:pPr>
        <w:spacing w:line="520" w:lineRule="exact"/>
        <w:ind w:firstLine="642"/>
        <w:rPr>
          <w:rFonts w:hint="eastAsia" w:ascii="仿宋_GB2312" w:eastAsia="仿宋_GB2312"/>
          <w:color w:val="000000"/>
          <w:sz w:val="32"/>
          <w:szCs w:val="32"/>
          <w:highlight w:val="none"/>
          <w:lang w:eastAsia="zh-CN"/>
        </w:rPr>
      </w:pPr>
      <w:r>
        <w:rPr>
          <w:rFonts w:hint="eastAsia" w:ascii="仿宋_GB2312" w:eastAsia="仿宋_GB2312"/>
          <w:color w:val="000000"/>
          <w:sz w:val="32"/>
          <w:szCs w:val="32"/>
          <w:highlight w:val="none"/>
        </w:rPr>
        <w:t>2.按支出用途分类，包括人员支出649.74万元，占18.7%；日常公用支出37.82万元，占1.1%；项目支出2778.40万元，占80.2%</w:t>
      </w:r>
      <w:r>
        <w:rPr>
          <w:rFonts w:hint="eastAsia" w:ascii="仿宋_GB2312" w:eastAsia="仿宋_GB2312"/>
          <w:color w:val="000000"/>
          <w:sz w:val="32"/>
          <w:szCs w:val="32"/>
          <w:highlight w:val="none"/>
          <w:lang w:eastAsia="zh-CN"/>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（四）关于德清县教育保障中心2024年财政拨款收支预算情况的总体说明</w:t>
      </w:r>
    </w:p>
    <w:p>
      <w:pPr>
        <w:spacing w:line="520" w:lineRule="exact"/>
        <w:ind w:firstLine="640"/>
        <w:rPr>
          <w:rFonts w:ascii="仿宋_GB2312" w:eastAsia="仿宋_GB2312"/>
          <w:color w:val="000000"/>
          <w:sz w:val="32"/>
          <w:szCs w:val="32"/>
          <w:highlight w:val="none"/>
        </w:rPr>
      </w:pPr>
      <w:r>
        <w:rPr>
          <w:rFonts w:hint="eastAsia" w:ascii="仿宋_GB2312" w:eastAsia="仿宋_GB2312"/>
          <w:color w:val="000000"/>
          <w:sz w:val="32"/>
          <w:szCs w:val="32"/>
          <w:highlight w:val="none"/>
        </w:rPr>
        <w:t>德清县教育保障中心2024年财政拨款收支总预算3463.85万元。收入包括：一般公共预算3463.85万元；支出包括：教育支出3341.04万元</w:t>
      </w:r>
      <w:r>
        <w:rPr>
          <w:rFonts w:hint="eastAsia" w:ascii="仿宋_GB2312" w:eastAsia="仿宋_GB2312"/>
          <w:color w:val="000000"/>
          <w:sz w:val="32"/>
          <w:szCs w:val="32"/>
          <w:highlight w:val="none"/>
          <w:lang w:eastAsia="zh-CN"/>
        </w:rPr>
        <w:t>、</w:t>
      </w:r>
      <w:r>
        <w:rPr>
          <w:rFonts w:hint="eastAsia" w:ascii="仿宋_GB2312" w:eastAsia="仿宋_GB2312"/>
          <w:color w:val="000000"/>
          <w:sz w:val="32"/>
          <w:szCs w:val="32"/>
          <w:highlight w:val="none"/>
        </w:rPr>
        <w:t>社会保障和就业支出78.00万元、卫生健康支出44.81万元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关于德清县教育保障中心2024年一般公共预算拨款情况说明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德清县教育保障中心2024年一般公共预算拨款</w:t>
      </w:r>
      <w:r>
        <w:rPr>
          <w:rFonts w:hint="eastAsia" w:ascii="仿宋_GB2312" w:hAnsi="仿宋_GB2312" w:eastAsia="仿宋_GB2312" w:cs="仿宋_GB2312"/>
          <w:bCs/>
          <w:color w:val="000000"/>
          <w:sz w:val="32"/>
          <w:szCs w:val="32"/>
          <w:highlight w:val="none"/>
        </w:rPr>
        <w:t>3463.85</w:t>
      </w:r>
      <w:r>
        <w:rPr>
          <w:rFonts w:hint="eastAsia" w:ascii="仿宋_GB2312" w:hAnsi="仿宋_GB2312" w:eastAsia="仿宋_GB2312" w:cs="仿宋_GB2312"/>
          <w:color w:val="000000"/>
          <w:sz w:val="32"/>
          <w:szCs w:val="32"/>
          <w:highlight w:val="none"/>
        </w:rPr>
        <w:t>万元，比上年执行数减少4.24万元，下</w:t>
      </w:r>
      <w:r>
        <w:rPr>
          <w:rFonts w:hint="eastAsia" w:ascii="仿宋_GB2312" w:hAnsi="仿宋_GB2312" w:eastAsia="仿宋_GB2312" w:cs="仿宋_GB2312"/>
          <w:color w:val="000000"/>
          <w:sz w:val="32"/>
          <w:highlight w:val="none"/>
        </w:rPr>
        <w:t>降0.12%，</w:t>
      </w:r>
      <w:r>
        <w:rPr>
          <w:rFonts w:hint="eastAsia" w:ascii="仿宋_GB2312" w:hAnsi="仿宋_GB2312" w:eastAsia="仿宋_GB2312" w:cs="仿宋_GB2312"/>
          <w:color w:val="000000"/>
          <w:sz w:val="32"/>
          <w:szCs w:val="32"/>
          <w:highlight w:val="none"/>
        </w:rPr>
        <w:t>主要是人员减少。</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hint="eastAsia" w:ascii="仿宋_GB2312" w:hAnsi="仿宋_GB2312" w:eastAsia="仿宋_GB2312" w:cs="仿宋_GB2312"/>
          <w:b/>
          <w:color w:val="000000"/>
          <w:sz w:val="32"/>
          <w:szCs w:val="32"/>
          <w:highlight w:val="none"/>
          <w:lang w:eastAsia="zh-CN"/>
        </w:rPr>
      </w:pPr>
      <w:r>
        <w:rPr>
          <w:rFonts w:hint="eastAsia" w:ascii="仿宋_GB2312" w:hAnsi="仿宋_GB2312" w:eastAsia="仿宋_GB2312" w:cs="仿宋_GB2312"/>
          <w:color w:val="000000"/>
          <w:sz w:val="32"/>
          <w:szCs w:val="32"/>
          <w:highlight w:val="none"/>
        </w:rPr>
        <w:t>教育支出3341.04万元，占96.5%；社会保障和就业支出78.00万元，占2.3%；卫生健康支出44.81万元，占1.3%</w:t>
      </w:r>
      <w:r>
        <w:rPr>
          <w:rFonts w:hint="eastAsia" w:ascii="仿宋_GB2312" w:hAnsi="仿宋_GB2312" w:eastAsia="仿宋_GB2312" w:cs="仿宋_GB2312"/>
          <w:color w:val="000000"/>
          <w:sz w:val="32"/>
          <w:szCs w:val="32"/>
          <w:highlight w:val="none"/>
          <w:lang w:eastAsia="zh-CN"/>
        </w:rPr>
        <w:t>。</w:t>
      </w:r>
    </w:p>
    <w:p>
      <w:pPr>
        <w:numPr>
          <w:ilvl w:val="0"/>
          <w:numId w:val="2"/>
        </w:num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一般公共预算拨款具体使用情况。</w:t>
      </w:r>
    </w:p>
    <w:p>
      <w:pPr>
        <w:pStyle w:val="15"/>
        <w:numPr>
          <w:ilvl w:val="0"/>
          <w:numId w:val="0"/>
        </w:numPr>
        <w:spacing w:line="520" w:lineRule="exact"/>
        <w:ind w:firstLine="640" w:firstLineChars="200"/>
        <w:rPr>
          <w:rFonts w:ascii="仿宋_GB2312" w:hAnsi="楷体_GB2312" w:eastAsia="仿宋_GB2312" w:cs="楷体_GB2312"/>
          <w:sz w:val="32"/>
          <w:szCs w:val="32"/>
        </w:rPr>
      </w:pPr>
      <w:r>
        <w:rPr>
          <w:rFonts w:hint="eastAsia" w:ascii="仿宋_GB2312" w:eastAsia="仿宋_GB2312"/>
          <w:color w:val="000000"/>
          <w:sz w:val="32"/>
          <w:szCs w:val="32"/>
        </w:rPr>
        <w:t>（1）教育支出（类）普通教育（款）其他普通教育支出（项）3243.76万元，</w:t>
      </w:r>
      <w:r>
        <w:rPr>
          <w:rFonts w:hint="eastAsia" w:ascii="仿宋_GB2312" w:hAnsi="楷体_GB2312" w:eastAsia="仿宋_GB2312" w:cs="楷体_GB2312"/>
          <w:sz w:val="32"/>
          <w:szCs w:val="32"/>
        </w:rPr>
        <w:t>主要用于所属局事业科室及其他普通教育的支出。</w:t>
      </w:r>
    </w:p>
    <w:p>
      <w:pPr>
        <w:pStyle w:val="15"/>
        <w:numPr>
          <w:ilvl w:val="0"/>
          <w:numId w:val="0"/>
        </w:numPr>
        <w:spacing w:line="276" w:lineRule="auto"/>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（2）社会保障和就业支出（类）行政事业单位养老支出（款）事业单位离退休（项）30.37万元，主要用于事业单位的离退休经费支出。</w:t>
      </w:r>
    </w:p>
    <w:p>
      <w:pPr>
        <w:pStyle w:val="15"/>
        <w:numPr>
          <w:ilvl w:val="0"/>
          <w:numId w:val="0"/>
        </w:numPr>
        <w:spacing w:line="276" w:lineRule="auto"/>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（3）社会保障和就业支出（类）行政事业单位养老支出（款）机关事业单位基本养老保险缴费支出（项）31.75 万元，主要用于机关事业单位实施养老保险制度由单位缴纳的基本养老保险费支出。</w:t>
      </w:r>
    </w:p>
    <w:p>
      <w:pPr>
        <w:pStyle w:val="15"/>
        <w:numPr>
          <w:ilvl w:val="0"/>
          <w:numId w:val="0"/>
        </w:numPr>
        <w:spacing w:line="520" w:lineRule="exact"/>
        <w:ind w:firstLine="640" w:firstLineChars="200"/>
        <w:rPr>
          <w:rFonts w:ascii="仿宋_GB2312" w:hAnsi="楷体_GB2312" w:eastAsia="仿宋_GB2312" w:cs="楷体_GB2312"/>
          <w:sz w:val="32"/>
          <w:szCs w:val="32"/>
        </w:rPr>
      </w:pPr>
      <w:r>
        <w:rPr>
          <w:rFonts w:hint="eastAsia" w:ascii="仿宋_GB2312" w:eastAsia="仿宋_GB2312"/>
          <w:color w:val="000000"/>
          <w:sz w:val="32"/>
          <w:szCs w:val="32"/>
        </w:rPr>
        <w:t>（4）社会保障和就业支出（类）行政事业单位养老支出（款）机关事业单位职业年金缴费支出（项）15.88万元，</w:t>
      </w:r>
      <w:r>
        <w:rPr>
          <w:rFonts w:hint="eastAsia" w:ascii="仿宋_GB2312" w:hAnsi="楷体_GB2312" w:eastAsia="仿宋_GB2312" w:cs="楷体_GB2312"/>
          <w:sz w:val="32"/>
          <w:szCs w:val="32"/>
        </w:rPr>
        <w:t>主要用于机关事业单位实施养老保险制度由单位实际缴纳的职业年金支出。</w:t>
      </w:r>
    </w:p>
    <w:p>
      <w:pPr>
        <w:pStyle w:val="15"/>
        <w:numPr>
          <w:ilvl w:val="0"/>
          <w:numId w:val="0"/>
        </w:numPr>
        <w:spacing w:line="520" w:lineRule="exact"/>
        <w:ind w:firstLine="640" w:firstLineChars="200"/>
        <w:rPr>
          <w:rFonts w:ascii="楷体_GB2312" w:hAnsi="楷体_GB2312" w:eastAsia="楷体_GB2312" w:cs="楷体_GB2312"/>
          <w:bCs/>
          <w:color w:val="000000"/>
          <w:sz w:val="32"/>
          <w:szCs w:val="32"/>
        </w:rPr>
      </w:pPr>
      <w:r>
        <w:rPr>
          <w:rFonts w:hint="eastAsia" w:ascii="仿宋_GB2312" w:eastAsia="仿宋_GB2312"/>
          <w:color w:val="000000"/>
          <w:sz w:val="32"/>
          <w:szCs w:val="32"/>
        </w:rPr>
        <w:t>（5）卫生健康支出（类）行政事业单位医疗（款）事业单位医疗（项）44.81 万元，</w:t>
      </w:r>
      <w:r>
        <w:rPr>
          <w:rFonts w:hint="eastAsia" w:ascii="仿宋_GB2312" w:hAnsi="楷体_GB2312" w:eastAsia="仿宋_GB2312" w:cs="楷体_GB2312"/>
          <w:sz w:val="32"/>
          <w:szCs w:val="32"/>
        </w:rPr>
        <w:t>主要用于反映财政部门集中安排的事业单位基本医疗保险缴费经费，未参加医疗保险的事业单位的公费医疗经费，按国家规定享受离休人员待遇的医疗经费。</w:t>
      </w:r>
    </w:p>
    <w:p>
      <w:pPr>
        <w:pStyle w:val="15"/>
        <w:numPr>
          <w:ilvl w:val="0"/>
          <w:numId w:val="0"/>
        </w:numPr>
        <w:spacing w:line="520" w:lineRule="exact"/>
        <w:ind w:firstLine="640" w:firstLineChars="20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（六）关于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德清县教育保障中心</w:t>
      </w:r>
      <w:r>
        <w:fldChar w:fldCharType="end"/>
      </w:r>
      <w:r>
        <w:rPr>
          <w:rFonts w:hint="eastAsia" w:ascii="楷体_GB2312" w:hAnsi="楷体_GB2312" w:eastAsia="楷体_GB2312" w:cs="楷体_GB2312"/>
          <w:bCs/>
          <w:color w:val="000000"/>
          <w:sz w:val="32"/>
          <w:szCs w:val="32"/>
        </w:rPr>
        <w:t>2024年一般公共预算基本支出情况说明</w:t>
      </w:r>
    </w:p>
    <w:p>
      <w:pPr>
        <w:pStyle w:val="15"/>
        <w:numPr>
          <w:ilvl w:val="0"/>
          <w:numId w:val="0"/>
        </w:numPr>
        <w:spacing w:line="520" w:lineRule="exact"/>
        <w:ind w:firstLine="640" w:firstLineChars="200"/>
        <w:rPr>
          <w:rFonts w:ascii="仿宋_GB2312" w:eastAsia="仿宋_GB2312"/>
          <w:color w:val="000000"/>
          <w:sz w:val="32"/>
          <w:szCs w:val="32"/>
        </w:rPr>
      </w:pP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${page855778723.ds388518707_V_RPT_BAS_AGENCY_INFO_NAME}</w:instrText>
      </w:r>
      <w:r>
        <w:rPr>
          <w:rFonts w:ascii="仿宋_GB2312" w:eastAsia="仿宋_GB2312"/>
          <w:color w:val="000000"/>
          <w:sz w:val="32"/>
          <w:szCs w:val="32"/>
        </w:rPr>
        <w:fldChar w:fldCharType="separate"/>
      </w:r>
      <w:r>
        <w:rPr>
          <w:rFonts w:hint="eastAsia" w:ascii="仿宋_GB2312" w:eastAsia="仿宋_GB2312"/>
          <w:color w:val="000000"/>
          <w:sz w:val="32"/>
          <w:szCs w:val="32"/>
        </w:rPr>
        <w:t>德清县教育保障中心</w:t>
      </w:r>
      <w:r>
        <w:fldChar w:fldCharType="end"/>
      </w:r>
      <w:r>
        <w:rPr>
          <w:rFonts w:hint="eastAsia" w:ascii="仿宋_GB2312" w:eastAsia="仿宋_GB2312"/>
          <w:color w:val="000000"/>
          <w:sz w:val="32"/>
          <w:szCs w:val="32"/>
        </w:rPr>
        <w:t>2024年一般公共预算基本支出685.44万元，其中：</w:t>
      </w:r>
    </w:p>
    <w:p>
      <w:pPr>
        <w:pStyle w:val="15"/>
        <w:numPr>
          <w:ilvl w:val="0"/>
          <w:numId w:val="0"/>
        </w:num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人员经费649.74万元，主要包括：基本工资、奖金、伙食补助费、绩效工资、机关事业单位基本养老保险缴费、职业年金缴费、职工基本医疗保险缴费、公务员医疗补助缴费、其他社会保障缴费、住房公积金、其他工资福利支出、退休费、其他对个人和家庭的补助支出；</w:t>
      </w:r>
    </w:p>
    <w:p>
      <w:pPr>
        <w:pStyle w:val="15"/>
        <w:numPr>
          <w:ilvl w:val="0"/>
          <w:numId w:val="0"/>
        </w:num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公用经费35.7万元，主要包括：办公费、印刷费、邮电费、差旅费、培训费、公务接待费、劳务费、工会经费、福利费、其他交通费用、其他商品和服务支出。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（七）关于德清县教育保障中心2024年政府性基金预算支出情况说明</w:t>
      </w:r>
    </w:p>
    <w:p>
      <w:pPr>
        <w:ind w:firstLine="640" w:firstLineChars="200"/>
      </w:pPr>
      <w:r>
        <w:rPr>
          <w:rFonts w:hint="eastAsia" w:ascii="仿宋_GB2312" w:hAnsi="仿宋_GB2312" w:eastAsia="仿宋_GB2312" w:cs="仿宋_GB2312"/>
          <w:color w:val="000000"/>
          <w:sz w:val="32"/>
          <w:szCs w:val="32"/>
        </w:rPr>
        <w:t>德清县教育保障中心2024年没有使用政府性基金预算拨款安排的支出</w:t>
      </w:r>
      <w:r>
        <w:rPr>
          <w:rFonts w:hint="eastAsia" w:ascii="仿宋_GB2312" w:eastAsia="仿宋_GB2312"/>
          <w:color w:val="000000"/>
          <w:sz w:val="32"/>
          <w:szCs w:val="32"/>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德清县教育保障中心</w:t>
      </w:r>
      <w:r>
        <w:rPr>
          <w:rFonts w:hint="eastAsia" w:ascii="楷体_GB2312" w:hAnsi="楷体_GB2312" w:eastAsia="楷体_GB2312" w:cs="楷体_GB2312"/>
          <w:bCs/>
          <w:color w:val="000000"/>
          <w:sz w:val="32"/>
          <w:szCs w:val="32"/>
          <w:highlight w:val="none"/>
        </w:rPr>
        <w:t>国有资本经营预算支出情况说明</w:t>
      </w:r>
    </w:p>
    <w:p>
      <w:pPr>
        <w:ind w:firstLine="640" w:firstLineChars="200"/>
        <w:rPr>
          <w:highlight w:val="none"/>
        </w:rPr>
      </w:pPr>
      <w:r>
        <w:rPr>
          <w:rFonts w:hint="eastAsia" w:ascii="仿宋_GB2312" w:hAnsi="仿宋_GB2312" w:eastAsia="仿宋_GB2312" w:cs="仿宋_GB2312"/>
          <w:color w:val="000000"/>
          <w:sz w:val="32"/>
          <w:szCs w:val="32"/>
          <w:highlight w:val="none"/>
        </w:rPr>
        <w:t>德清县教育保障中心2024年没有使用国有资本经营预算拨款安排的支出。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（九）关于德清县教育保障中心2024年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德清县教育保障中心2024年“三公”经费预算数为1.26万元，</w:t>
      </w:r>
      <w:r>
        <w:rPr>
          <w:rFonts w:hint="eastAsia" w:ascii="仿宋_GB2312" w:hAnsi="仿宋_GB2312" w:eastAsia="仿宋_GB2312"/>
          <w:sz w:val="32"/>
          <w:shd w:val="clear" w:color="auto" w:fill="FFFFFF"/>
        </w:rPr>
        <w:t>与上年预算数持平。</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根据因公出国计划和实际工作需要，2024年安排因公出国（境）费用预算0.00万元，与去年预算数持平。</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2.公务接待费：2024年安排公务接待费预算1.26万元，与去年预算数持平。</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与去年预算数持平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sz w:val="32"/>
          <w:szCs w:val="32"/>
        </w:rPr>
        <w:t>与去年预算数持平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sz w:val="32"/>
          <w:szCs w:val="32"/>
        </w:rPr>
        <w:t>与去年预算数持平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2024年德清县教育保障中心</w:t>
      </w:r>
      <w:r>
        <w:rPr>
          <w:rFonts w:hint="eastAsia" w:ascii="仿宋_GB2312" w:eastAsia="仿宋_GB2312"/>
          <w:color w:val="000000"/>
          <w:sz w:val="32"/>
          <w:szCs w:val="32"/>
        </w:rPr>
        <w:t>各单位政府采购预算总额</w:t>
      </w:r>
      <w:r>
        <w:rPr>
          <w:rFonts w:ascii="仿宋_GB2312" w:eastAsia="仿宋_GB2312"/>
          <w:color w:val="000000"/>
          <w:sz w:val="32"/>
          <w:szCs w:val="32"/>
        </w:rPr>
        <w:t>2658.22</w:t>
      </w:r>
      <w:r>
        <w:rPr>
          <w:rFonts w:hint="eastAsia" w:ascii="仿宋_GB2312" w:eastAsia="仿宋_GB2312"/>
          <w:color w:val="000000"/>
          <w:sz w:val="32"/>
          <w:szCs w:val="32"/>
        </w:rPr>
        <w:t>万元，其中：政府采购货物预算2401.04万元、政府采购工程预算0.00万元、政府采购服务预算</w:t>
      </w:r>
      <w:r>
        <w:rPr>
          <w:rFonts w:ascii="仿宋_GB2312" w:eastAsia="仿宋_GB2312"/>
          <w:color w:val="000000"/>
          <w:sz w:val="32"/>
          <w:szCs w:val="32"/>
        </w:rPr>
        <w:t>257.18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截至2023年12月31日，单位共有车辆</w:t>
      </w:r>
      <w:r>
        <w:rPr>
          <w:rFonts w:hint="eastAsia" w:ascii="仿宋_GB2312" w:hAnsi="仿宋_GB2312" w:eastAsia="仿宋_GB2312" w:cs="仿宋_GB2312"/>
          <w:sz w:val="32"/>
          <w:szCs w:val="32"/>
        </w:rPr>
        <w:t>0辆，其中，应急保障用车0辆、老干部服务用车0辆、执法执勤用车0辆、特种专业技术用车0辆、行政执法专用车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辆。单位价值50万元以上通用设备0台（套），单位价值100万元以上专用设备0台（套）。 </w:t>
      </w:r>
    </w:p>
    <w:p>
      <w:pPr>
        <w:spacing w:line="520" w:lineRule="exact"/>
        <w:ind w:firstLine="640" w:firstLineChars="200"/>
        <w:rPr>
          <w:rFonts w:ascii="仿宋_GB2312" w:hAnsi="仿宋_GB2312" w:eastAsia="仿宋_GB2312" w:cs="仿宋_GB2312"/>
          <w:sz w:val="32"/>
          <w:szCs w:val="32"/>
          <w:highlight w:val="green"/>
        </w:rPr>
      </w:pPr>
      <w:r>
        <w:rPr>
          <w:rFonts w:ascii="仿宋_GB2312" w:hAnsi="仿宋_GB2312" w:eastAsia="仿宋_GB2312" w:cs="仿宋_GB2312"/>
          <w:sz w:val="32"/>
          <w:szCs w:val="32"/>
        </w:rPr>
        <w:t>2024年部门预算安排购置车辆</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辆、执法执勤用车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辆、老干部服务用车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辆、行政执法专用车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辆。2024年部门预算安排购置单位价值50万元以上通用设备</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台（套）。</w:t>
      </w:r>
      <w:r>
        <w:rPr>
          <w:rFonts w:ascii="仿宋_GB2312" w:hAnsi="仿宋_GB2312" w:eastAsia="仿宋_GB2312" w:cs="仿宋_GB2312"/>
          <w:sz w:val="32"/>
          <w:szCs w:val="32"/>
          <w:highlight w:val="green"/>
        </w:rPr>
        <w:t>（或2024年部门预算未安排购置车辆、单位价值50万元以上通用设备及单位价值100万元以上专用设备）</w:t>
      </w:r>
      <w:r>
        <w:rPr>
          <w:rFonts w:hint="eastAsia" w:ascii="仿宋_GB2312" w:hAnsi="仿宋_GB2312" w:eastAsia="仿宋_GB2312" w:cs="仿宋_GB2312"/>
          <w:sz w:val="32"/>
          <w:szCs w:val="32"/>
          <w:highlight w:val="green"/>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2024年德清县教育保障中心其他运转类项目和特定目标类项目均实行绩效目标管理，共计1个一级项目，涉及当年资金2778.40万元。同时，将按照相关制度规定开展绩效自评。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276" w:lineRule="auto"/>
        <w:ind w:firstLine="640" w:firstLineChars="200"/>
        <w:rPr>
          <w:rFonts w:ascii="仿宋_GB2312" w:hAnsi="仿宋_GB2312" w:eastAsia="仿宋_GB2312"/>
          <w:sz w:val="32"/>
        </w:rPr>
      </w:pPr>
      <w:r>
        <w:rPr>
          <w:rFonts w:hint="eastAsia" w:ascii="仿宋_GB2312" w:hAnsi="仿宋_GB2312" w:eastAsia="仿宋_GB2312"/>
          <w:sz w:val="32"/>
        </w:rPr>
        <w:t>1</w:t>
      </w:r>
      <w:r>
        <w:rPr>
          <w:rFonts w:hint="eastAsia" w:ascii="仿宋_GB2312" w:hAnsi="仿宋_GB2312" w:eastAsia="仿宋_GB2312"/>
          <w:sz w:val="32"/>
          <w:lang w:val="en-US" w:eastAsia="zh-CN"/>
        </w:rPr>
        <w:t>1</w:t>
      </w:r>
      <w:r>
        <w:rPr>
          <w:rFonts w:hint="eastAsia" w:ascii="仿宋_GB2312" w:hAnsi="仿宋_GB2312" w:eastAsia="仿宋_GB2312"/>
          <w:sz w:val="32"/>
        </w:rPr>
        <w:t>、</w:t>
      </w:r>
      <w:r>
        <w:rPr>
          <w:rFonts w:hint="eastAsia" w:ascii="仿宋_GB2312" w:eastAsia="仿宋_GB2312"/>
          <w:color w:val="000000"/>
          <w:sz w:val="32"/>
          <w:szCs w:val="32"/>
        </w:rPr>
        <w:t>教育支出（类）普通教育（款）其他普通教育支出（项）</w:t>
      </w:r>
      <w:r>
        <w:rPr>
          <w:rFonts w:hint="eastAsia" w:ascii="仿宋_GB2312" w:hAnsi="仿宋_GB2312" w:eastAsia="仿宋_GB2312"/>
          <w:sz w:val="32"/>
        </w:rPr>
        <w:t>：</w:t>
      </w:r>
      <w:r>
        <w:rPr>
          <w:rFonts w:hint="eastAsia" w:ascii="仿宋_GB2312" w:hAnsi="楷体_GB2312" w:eastAsia="仿宋_GB2312" w:cs="楷体_GB2312"/>
          <w:sz w:val="32"/>
          <w:szCs w:val="32"/>
        </w:rPr>
        <w:t>主要用于所属局事业科室及其他普通教育的支出。</w:t>
      </w:r>
    </w:p>
    <w:p>
      <w:pPr>
        <w:spacing w:line="276" w:lineRule="auto"/>
        <w:ind w:firstLine="640"/>
        <w:jc w:val="left"/>
        <w:rPr>
          <w:rFonts w:ascii="仿宋_GB2312" w:eastAsia="仿宋_GB2312"/>
          <w:color w:val="000000"/>
          <w:sz w:val="32"/>
          <w:szCs w:val="32"/>
        </w:rPr>
      </w:pPr>
      <w:r>
        <w:rPr>
          <w:rFonts w:hint="eastAsia" w:ascii="仿宋_GB2312" w:hAnsi="仿宋_GB2312" w:eastAsia="仿宋_GB2312"/>
          <w:sz w:val="32"/>
        </w:rPr>
        <w:t>1</w:t>
      </w:r>
      <w:r>
        <w:rPr>
          <w:rFonts w:hint="eastAsia" w:ascii="仿宋_GB2312" w:hAnsi="仿宋_GB2312" w:eastAsia="仿宋_GB2312"/>
          <w:sz w:val="32"/>
          <w:lang w:val="en-US" w:eastAsia="zh-CN"/>
        </w:rPr>
        <w:t>2</w:t>
      </w:r>
      <w:r>
        <w:rPr>
          <w:rFonts w:hint="eastAsia" w:ascii="仿宋_GB2312" w:hAnsi="仿宋_GB2312" w:eastAsia="仿宋_GB2312"/>
          <w:sz w:val="32"/>
        </w:rPr>
        <w:t>、</w:t>
      </w:r>
      <w:r>
        <w:rPr>
          <w:rFonts w:hint="eastAsia" w:ascii="仿宋_GB2312" w:eastAsia="仿宋_GB2312"/>
          <w:color w:val="000000"/>
          <w:sz w:val="32"/>
          <w:szCs w:val="32"/>
        </w:rPr>
        <w:t>社会保障和就业支出（类）行政事业单位养老支出（款）事业单位离退休（项）</w:t>
      </w:r>
      <w:r>
        <w:rPr>
          <w:rFonts w:hint="eastAsia" w:ascii="仿宋_GB2312" w:hAnsi="仿宋_GB2312" w:eastAsia="仿宋_GB2312"/>
          <w:sz w:val="32"/>
        </w:rPr>
        <w:t>：</w:t>
      </w:r>
      <w:r>
        <w:rPr>
          <w:rFonts w:hint="eastAsia" w:ascii="仿宋_GB2312" w:eastAsia="仿宋_GB2312"/>
          <w:color w:val="000000"/>
          <w:sz w:val="32"/>
          <w:szCs w:val="32"/>
        </w:rPr>
        <w:t>主要用于事业单位的离退休经费支出。</w:t>
      </w:r>
    </w:p>
    <w:p>
      <w:pPr>
        <w:spacing w:line="276" w:lineRule="auto"/>
        <w:ind w:firstLine="640"/>
        <w:jc w:val="left"/>
        <w:rPr>
          <w:rFonts w:ascii="仿宋_GB2312" w:eastAsia="仿宋_GB2312"/>
          <w:color w:val="000000"/>
          <w:sz w:val="32"/>
          <w:szCs w:val="32"/>
        </w:rPr>
      </w:pPr>
      <w:r>
        <w:rPr>
          <w:rFonts w:hint="eastAsia" w:ascii="仿宋_GB2312" w:hAnsi="仿宋_GB2312" w:eastAsia="仿宋_GB2312"/>
          <w:sz w:val="32"/>
        </w:rPr>
        <w:t>1</w:t>
      </w:r>
      <w:r>
        <w:rPr>
          <w:rFonts w:hint="eastAsia" w:ascii="仿宋_GB2312" w:hAnsi="仿宋_GB2312" w:eastAsia="仿宋_GB2312"/>
          <w:sz w:val="32"/>
          <w:lang w:val="en-US" w:eastAsia="zh-CN"/>
        </w:rPr>
        <w:t>3</w:t>
      </w:r>
      <w:r>
        <w:rPr>
          <w:rFonts w:hint="eastAsia" w:ascii="仿宋_GB2312" w:hAnsi="仿宋_GB2312" w:eastAsia="仿宋_GB2312"/>
          <w:sz w:val="32"/>
        </w:rPr>
        <w:t>、</w:t>
      </w:r>
      <w:r>
        <w:rPr>
          <w:rFonts w:hint="eastAsia" w:ascii="仿宋_GB2312" w:eastAsia="仿宋_GB2312"/>
          <w:color w:val="000000"/>
          <w:sz w:val="32"/>
          <w:szCs w:val="32"/>
        </w:rPr>
        <w:t>社会保障和就业支出（类）行政事业单位养老支出（款）机关事业单位基本养老保险缴费支出（项）</w:t>
      </w:r>
      <w:r>
        <w:rPr>
          <w:rFonts w:hint="eastAsia" w:ascii="仿宋_GB2312" w:hAnsi="仿宋_GB2312" w:eastAsia="仿宋_GB2312"/>
          <w:sz w:val="32"/>
        </w:rPr>
        <w:t>：</w:t>
      </w:r>
      <w:r>
        <w:rPr>
          <w:rFonts w:hint="eastAsia" w:ascii="仿宋_GB2312" w:eastAsia="仿宋_GB2312"/>
          <w:color w:val="000000"/>
          <w:sz w:val="32"/>
          <w:szCs w:val="32"/>
        </w:rPr>
        <w:t>主要用于机关事业单位实施养老保险制度由单位缴纳的基本养老保险费支出。</w:t>
      </w:r>
    </w:p>
    <w:p>
      <w:pPr>
        <w:spacing w:line="276" w:lineRule="auto"/>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1</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、社会保障和就业支出（类）行政事业单位养老支出（款）机关事业单位职业年金缴费支出（项）：主要用于机关事业单位实施养老保险制度由单位实际缴纳的职业年金支出</w:t>
      </w:r>
      <w:r>
        <w:rPr>
          <w:rFonts w:hint="eastAsia" w:ascii="仿宋_GB2312" w:eastAsia="仿宋_GB2312"/>
          <w:color w:val="000000"/>
          <w:sz w:val="32"/>
          <w:szCs w:val="32"/>
          <w:lang w:eastAsia="zh-CN"/>
        </w:rPr>
        <w:t>。</w:t>
      </w:r>
    </w:p>
    <w:p>
      <w:pPr>
        <w:spacing w:line="276" w:lineRule="auto"/>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15、</w:t>
      </w:r>
      <w:r>
        <w:rPr>
          <w:rFonts w:ascii="仿宋_GB2312" w:eastAsia="仿宋_GB2312"/>
          <w:color w:val="000000"/>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四、2024年德清县教育保障中心单位预算表</w:t>
      </w:r>
    </w:p>
    <w:p>
      <w:pPr>
        <w:pStyle w:val="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pPr>
    </w:p>
    <w:tbl>
      <w:tblPr>
        <w:tblStyle w:val="6"/>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6"/>
        <w:gridCol w:w="916"/>
        <w:gridCol w:w="916"/>
        <w:gridCol w:w="916"/>
        <w:gridCol w:w="510"/>
        <w:gridCol w:w="745"/>
        <w:gridCol w:w="560"/>
        <w:gridCol w:w="561"/>
        <w:gridCol w:w="561"/>
        <w:gridCol w:w="561"/>
        <w:gridCol w:w="561"/>
        <w:gridCol w:w="617"/>
        <w:gridCol w:w="531"/>
        <w:gridCol w:w="561"/>
        <w:gridCol w:w="561"/>
        <w:gridCol w:w="561"/>
        <w:gridCol w:w="561"/>
        <w:gridCol w:w="1217"/>
        <w:gridCol w:w="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1169" w:type="pct"/>
            <w:gridSpan w:val="2"/>
            <w:tcBorders>
              <w:top w:val="nil"/>
              <w:left w:val="nil"/>
              <w:bottom w:val="nil"/>
              <w:right w:val="nil"/>
            </w:tcBorders>
            <w:shd w:val="clear" w:color="auto" w:fill="auto"/>
            <w:noWrap/>
            <w:vAlign w:val="bottom"/>
          </w:tcPr>
          <w:p>
            <w:pPr>
              <w:jc w:val="center"/>
              <w:rPr>
                <w:rFonts w:hint="eastAsia" w:ascii="Calibri" w:hAnsi="Calibri" w:cs="Calibri"/>
                <w:i w:val="0"/>
                <w:iCs w:val="0"/>
                <w:color w:val="000000"/>
                <w:sz w:val="22"/>
                <w:szCs w:val="22"/>
                <w:u w:val="none"/>
              </w:rPr>
            </w:pPr>
          </w:p>
        </w:tc>
        <w:tc>
          <w:tcPr>
            <w:tcW w:w="1041" w:type="pct"/>
            <w:gridSpan w:val="4"/>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185" w:type="pct"/>
            <w:gridSpan w:val="10"/>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604" w:type="pct"/>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00" w:type="pct"/>
            <w:gridSpan w:val="1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69" w:type="pct"/>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1041" w:type="pct"/>
            <w:gridSpan w:val="4"/>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185" w:type="pct"/>
            <w:gridSpan w:val="10"/>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604" w:type="pct"/>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221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789" w:type="pct"/>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3243.76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普通教育</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3243.76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小学教育</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初中教育</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其他普通教育支出</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843.76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行政事业单位养老支出</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事业单位离退休</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机关事业单位基本养老保险缴费支出</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w:t>
            </w: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机关事业单位职业年金缴费支出</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行政事业单位医疗</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事业单位医疗</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69"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104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c>
          <w:tcPr>
            <w:tcW w:w="2185" w:type="pct"/>
            <w:gridSpan w:val="10"/>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60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90" w:hRule="atLeast"/>
          <w:jc w:val="center"/>
        </w:trPr>
        <w:tc>
          <w:tcPr>
            <w:tcW w:w="817"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noWrap/>
            <w:vAlign w:val="bottom"/>
          </w:tcPr>
          <w:p>
            <w:pPr>
              <w:jc w:val="center"/>
              <w:rPr>
                <w:rFonts w:hint="eastAsia" w:ascii="Calibri" w:hAnsi="Calibri" w:cs="Calibri"/>
                <w:i w:val="0"/>
                <w:iCs w:val="0"/>
                <w:color w:val="000000"/>
                <w:sz w:val="22"/>
                <w:szCs w:val="22"/>
                <w:u w:val="none"/>
              </w:rPr>
            </w:pPr>
          </w:p>
        </w:tc>
        <w:tc>
          <w:tcPr>
            <w:tcW w:w="253"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6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675" w:hRule="atLeast"/>
          <w:jc w:val="center"/>
        </w:trPr>
        <w:tc>
          <w:tcPr>
            <w:tcW w:w="5000" w:type="pct"/>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90" w:hRule="atLeast"/>
          <w:jc w:val="center"/>
        </w:trPr>
        <w:tc>
          <w:tcPr>
            <w:tcW w:w="81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0"/>
                <w:szCs w:val="20"/>
                <w:u w:val="none"/>
              </w:rPr>
            </w:pPr>
          </w:p>
        </w:tc>
        <w:tc>
          <w:tcPr>
            <w:tcW w:w="253"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0"/>
                <w:szCs w:val="20"/>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0"/>
                <w:szCs w:val="20"/>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0"/>
                <w:szCs w:val="20"/>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0"/>
                <w:szCs w:val="20"/>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0"/>
                <w:szCs w:val="20"/>
                <w:u w:val="none"/>
              </w:rPr>
            </w:pPr>
          </w:p>
        </w:tc>
        <w:tc>
          <w:tcPr>
            <w:tcW w:w="24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0"/>
                <w:szCs w:val="20"/>
                <w:u w:val="none"/>
              </w:rPr>
            </w:pPr>
          </w:p>
        </w:tc>
        <w:tc>
          <w:tcPr>
            <w:tcW w:w="260"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600" w:hRule="atLeast"/>
          <w:jc w:val="center"/>
        </w:trPr>
        <w:tc>
          <w:tcPr>
            <w:tcW w:w="81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454"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148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600" w:hRule="atLeast"/>
          <w:jc w:val="center"/>
        </w:trPr>
        <w:tc>
          <w:tcPr>
            <w:tcW w:w="8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90" w:hRule="atLeast"/>
          <w:jc w:val="center"/>
        </w:trPr>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90" w:hRule="atLeast"/>
          <w:jc w:val="center"/>
        </w:trPr>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90" w:hRule="atLeast"/>
          <w:jc w:val="center"/>
        </w:trPr>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90" w:hRule="atLeast"/>
          <w:jc w:val="center"/>
        </w:trPr>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德清县教育保障中心</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tbl>
      <w:tblPr>
        <w:tblStyle w:val="6"/>
        <w:tblW w:w="421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6"/>
        <w:gridCol w:w="3813"/>
        <w:gridCol w:w="916"/>
        <w:gridCol w:w="816"/>
        <w:gridCol w:w="716"/>
        <w:gridCol w:w="916"/>
        <w:gridCol w:w="416"/>
        <w:gridCol w:w="520"/>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1136"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3"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1"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9"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3" w:type="pct"/>
            <w:tcBorders>
              <w:top w:val="nil"/>
              <w:left w:val="nil"/>
              <w:bottom w:val="nil"/>
              <w:right w:val="nil"/>
            </w:tcBorders>
            <w:shd w:val="clear" w:color="auto" w:fill="auto"/>
            <w:noWrap/>
            <w:vAlign w:val="bottom"/>
          </w:tcPr>
          <w:p>
            <w:pPr>
              <w:jc w:val="center"/>
              <w:rPr>
                <w:rFonts w:hint="eastAsia" w:ascii="Calibri" w:hAnsi="Calibri" w:cs="Calibri"/>
                <w:i w:val="0"/>
                <w:iCs w:val="0"/>
                <w:color w:val="000000"/>
                <w:sz w:val="22"/>
                <w:szCs w:val="22"/>
                <w:u w:val="none"/>
              </w:rPr>
            </w:pPr>
          </w:p>
        </w:tc>
        <w:tc>
          <w:tcPr>
            <w:tcW w:w="17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18"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466"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 w:hRule="atLeast"/>
          <w:jc w:val="center"/>
        </w:trPr>
        <w:tc>
          <w:tcPr>
            <w:tcW w:w="1136" w:type="pct"/>
            <w:tcBorders>
              <w:top w:val="nil"/>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1596"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3"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1"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9"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3"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174"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18"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46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5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6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2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4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jc w:val="center"/>
        </w:trPr>
        <w:tc>
          <w:tcPr>
            <w:tcW w:w="1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3366.56</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649.74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37.82</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3243.76</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526.94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37.82</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普通教育</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3243.76</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526.94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37.82</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小学教育</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1594.00</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初中教育</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806.00</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其他普通教育支出</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843.76</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526.94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37.82</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行政事业单位养老支出</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2080502</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事业单位离退休</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30.37</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30.37</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机关事业单位基本养老保险缴费支出</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31.75</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31.75</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机关事业单位职业年金缴费支出</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15.88</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15.88</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行政事业单位医疗</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事业单位医疗</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tbl>
      <w:tblPr>
        <w:tblStyle w:val="6"/>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16"/>
        <w:gridCol w:w="2952"/>
        <w:gridCol w:w="6198"/>
        <w:gridCol w:w="16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1" w:type="pct"/>
            <w:tcBorders>
              <w:top w:val="nil"/>
              <w:left w:val="nil"/>
              <w:bottom w:val="nil"/>
              <w:right w:val="nil"/>
            </w:tcBorders>
            <w:shd w:val="clear" w:color="auto" w:fill="auto"/>
            <w:noWrap/>
            <w:vAlign w:val="bottom"/>
          </w:tcPr>
          <w:p>
            <w:pPr>
              <w:jc w:val="center"/>
              <w:rPr>
                <w:rFonts w:hint="eastAsia" w:ascii="Calibri" w:hAnsi="Calibri" w:cs="Calibri"/>
                <w:i w:val="0"/>
                <w:iCs w:val="0"/>
                <w:color w:val="000000"/>
                <w:sz w:val="22"/>
                <w:szCs w:val="22"/>
                <w:u w:val="none"/>
              </w:rPr>
            </w:pPr>
          </w:p>
        </w:tc>
        <w:tc>
          <w:tcPr>
            <w:tcW w:w="1042"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188"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597"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trPr>
        <w:tc>
          <w:tcPr>
            <w:tcW w:w="1171"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2"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188"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597" w:type="pct"/>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71"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1042"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0"/>
                <w:szCs w:val="20"/>
                <w:u w:val="none"/>
              </w:rPr>
            </w:pPr>
          </w:p>
        </w:tc>
        <w:tc>
          <w:tcPr>
            <w:tcW w:w="2188"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0"/>
                <w:szCs w:val="20"/>
                <w:u w:val="none"/>
              </w:rPr>
            </w:pPr>
          </w:p>
        </w:tc>
        <w:tc>
          <w:tcPr>
            <w:tcW w:w="597"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21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78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普通教育</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小学教育</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初中教育</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其他普通教育支出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行政事业单位养老支出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事业单位离退休</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机关事业单位基本养老保险缴费支出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机关事业单位职业年金缴费支出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行政事业单位医疗</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事业单位医疗</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042"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2188" w:type="pct"/>
            <w:tcBorders>
              <w:top w:val="nil"/>
              <w:left w:val="nil"/>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97" w:type="pct"/>
            <w:tcBorders>
              <w:top w:val="nil"/>
              <w:left w:val="nil"/>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1" w:type="pc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104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97" w:type="pct"/>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042"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single" w:color="auto"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97" w:type="pct"/>
            <w:tcBorders>
              <w:top w:val="single" w:color="auto"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97" w:type="pct"/>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88" w:type="pct"/>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97" w:type="pct"/>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218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r>
    </w:tbl>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tbl>
      <w:tblPr>
        <w:tblStyle w:val="6"/>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6"/>
        <w:gridCol w:w="3959"/>
        <w:gridCol w:w="1496"/>
        <w:gridCol w:w="1486"/>
        <w:gridCol w:w="1486"/>
        <w:gridCol w:w="1476"/>
        <w:gridCol w:w="15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435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4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3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3364.44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685.44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649.74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3241.64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562.64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526.94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3241.64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562.64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526.94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2050202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1594.00</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2050203</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806.00</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2050299</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其他普通教育支出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841.64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562.64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526.94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事业单位离退休</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2080506</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tbl>
      <w:tblPr>
        <w:tblStyle w:val="6"/>
        <w:tblW w:w="14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45"/>
        <w:gridCol w:w="4680"/>
        <w:gridCol w:w="2355"/>
        <w:gridCol w:w="2355"/>
        <w:gridCol w:w="2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noWrap/>
            <w:vAlign w:val="bottom"/>
          </w:tcPr>
          <w:p>
            <w:pPr>
              <w:jc w:val="center"/>
              <w:rPr>
                <w:rFonts w:hint="eastAsia"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46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7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685.44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649.74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610.27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610.27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88.09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88.09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111.84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111.84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30110</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28.14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28.14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56.39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56.39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退休费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tbl>
      <w:tblPr>
        <w:tblStyle w:val="6"/>
        <w:tblW w:w="121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6"/>
        <w:gridCol w:w="1470"/>
        <w:gridCol w:w="1470"/>
        <w:gridCol w:w="1470"/>
        <w:gridCol w:w="1470"/>
        <w:gridCol w:w="147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345" w:type="dxa"/>
            <w:tcBorders>
              <w:top w:val="nil"/>
              <w:left w:val="nil"/>
              <w:bottom w:val="nil"/>
              <w:right w:val="nil"/>
            </w:tcBorders>
            <w:shd w:val="clear" w:color="auto" w:fill="auto"/>
            <w:noWrap/>
            <w:vAlign w:val="bottom"/>
          </w:tcPr>
          <w:p>
            <w:pPr>
              <w:jc w:val="center"/>
              <w:rPr>
                <w:rFonts w:hint="eastAsia"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jc w:val="cente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德清县教育保障中心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r>
    </w:tbl>
    <w:p>
      <w:pPr>
        <w:pStyle w:val="2"/>
        <w:jc w:val="center"/>
        <w:rPr>
          <w:sz w:val="22"/>
          <w:szCs w:val="21"/>
        </w:rPr>
      </w:pPr>
    </w:p>
    <w:p>
      <w:pPr>
        <w:pStyle w:val="2"/>
        <w:jc w:val="both"/>
        <w:rPr>
          <w:rFonts w:hint="default" w:eastAsia="仿宋_GB2312"/>
          <w:sz w:val="22"/>
          <w:szCs w:val="21"/>
          <w:lang w:val="en-US" w:eastAsia="zh-CN"/>
        </w:rPr>
      </w:pPr>
      <w:r>
        <w:rPr>
          <w:rFonts w:hint="eastAsia"/>
          <w:sz w:val="22"/>
          <w:szCs w:val="21"/>
          <w:lang w:val="en-US" w:eastAsia="zh-CN"/>
        </w:rPr>
        <w:t>德清县教育保障中心2024年没有一般公共预算“三公”经费安排的支出，故本表无数据。</w:t>
      </w: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tbl>
      <w:tblPr>
        <w:tblStyle w:val="6"/>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6"/>
        <w:gridCol w:w="4180"/>
        <w:gridCol w:w="2652"/>
        <w:gridCol w:w="2652"/>
        <w:gridCol w:w="2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995"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447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447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pStyle w:val="2"/>
        <w:jc w:val="center"/>
        <w:rPr>
          <w:sz w:val="22"/>
          <w:szCs w:val="21"/>
        </w:rPr>
      </w:pPr>
    </w:p>
    <w:p>
      <w:pPr>
        <w:pStyle w:val="2"/>
        <w:jc w:val="both"/>
        <w:rPr>
          <w:sz w:val="22"/>
          <w:szCs w:val="21"/>
        </w:rPr>
      </w:pPr>
    </w:p>
    <w:p>
      <w:pPr>
        <w:pStyle w:val="2"/>
        <w:jc w:val="both"/>
        <w:rPr>
          <w:sz w:val="22"/>
          <w:szCs w:val="21"/>
        </w:rPr>
      </w:pPr>
    </w:p>
    <w:p>
      <w:pPr>
        <w:pStyle w:val="2"/>
        <w:jc w:val="both"/>
        <w:rPr>
          <w:rFonts w:hint="default" w:eastAsia="仿宋_GB2312"/>
          <w:sz w:val="22"/>
          <w:szCs w:val="21"/>
          <w:lang w:val="en-US" w:eastAsia="zh-CN"/>
        </w:rPr>
      </w:pPr>
      <w:r>
        <w:rPr>
          <w:rFonts w:hint="eastAsia"/>
          <w:sz w:val="22"/>
          <w:szCs w:val="21"/>
          <w:lang w:val="en-US" w:eastAsia="zh-CN"/>
        </w:rPr>
        <w:t>德清县教育保障中心2024年没有单位政府性基金预算支出安排支出，故本表无数据。</w:t>
      </w: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tbl>
      <w:tblPr>
        <w:tblStyle w:val="6"/>
        <w:tblW w:w="151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00"/>
        <w:gridCol w:w="6795"/>
        <w:gridCol w:w="5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300" w:type="dxa"/>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6795" w:type="dxa"/>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50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0" w:type="auto"/>
            <w:tcBorders>
              <w:top w:val="nil"/>
              <w:left w:val="nil"/>
              <w:bottom w:val="single" w:color="000000" w:sz="4" w:space="0"/>
              <w:right w:val="nil"/>
            </w:tcBorders>
            <w:shd w:val="clear" w:color="auto" w:fill="auto"/>
            <w:noWrap/>
            <w:vAlign w:val="bottom"/>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pStyle w:val="2"/>
        <w:jc w:val="center"/>
        <w:rPr>
          <w:sz w:val="22"/>
          <w:szCs w:val="21"/>
        </w:rPr>
      </w:pPr>
    </w:p>
    <w:p>
      <w:pPr>
        <w:pStyle w:val="2"/>
        <w:jc w:val="both"/>
        <w:rPr>
          <w:sz w:val="22"/>
          <w:szCs w:val="21"/>
        </w:rPr>
      </w:pPr>
    </w:p>
    <w:p>
      <w:pPr>
        <w:pStyle w:val="2"/>
        <w:jc w:val="both"/>
        <w:rPr>
          <w:sz w:val="22"/>
          <w:szCs w:val="21"/>
        </w:rPr>
      </w:pPr>
    </w:p>
    <w:p>
      <w:pPr>
        <w:pStyle w:val="2"/>
        <w:jc w:val="both"/>
        <w:rPr>
          <w:rFonts w:hint="default" w:eastAsia="仿宋_GB2312"/>
          <w:sz w:val="22"/>
          <w:szCs w:val="21"/>
          <w:lang w:val="en-US" w:eastAsia="zh-CN"/>
        </w:rPr>
      </w:pPr>
      <w:r>
        <w:rPr>
          <w:rFonts w:hint="eastAsia"/>
          <w:sz w:val="22"/>
          <w:szCs w:val="21"/>
          <w:lang w:val="en-US" w:eastAsia="zh-CN"/>
        </w:rPr>
        <w:t>德清县教育保障中心2024年没有使用国有资本经营预算拨款安排支出。</w:t>
      </w: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36"/>
        <w:gridCol w:w="3070"/>
        <w:gridCol w:w="1447"/>
        <w:gridCol w:w="1523"/>
        <w:gridCol w:w="1158"/>
        <w:gridCol w:w="1158"/>
        <w:gridCol w:w="1159"/>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1086"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德清县教育保障中心</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教育后勤管理</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2679.00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36"/>
        <w:gridCol w:w="3070"/>
        <w:gridCol w:w="1447"/>
        <w:gridCol w:w="1523"/>
        <w:gridCol w:w="1158"/>
        <w:gridCol w:w="1158"/>
        <w:gridCol w:w="1159"/>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350018-德清县教育保障中心</w:t>
            </w:r>
          </w:p>
        </w:tc>
        <w:tc>
          <w:tcPr>
            <w:tcW w:w="1086"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jc w:val="cente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2778.40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2778.40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德清县教育保障中心</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信息化项目</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254.00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254.00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德清县教育保障中心</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义务教育免教材、作业本</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德清县教育保障中心</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中小学校教育装备采购</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99.36</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99.36</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德清县教育保障中心</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工作经费</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德清县教育保障中心</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省教育发展专项资金</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center"/>
        <w:rPr>
          <w:sz w:val="22"/>
          <w:szCs w:val="21"/>
        </w:rPr>
      </w:pPr>
    </w:p>
    <w:p>
      <w:pPr>
        <w:pStyle w:val="2"/>
        <w:jc w:val="both"/>
        <w:rPr>
          <w:sz w:val="22"/>
          <w:szCs w:val="21"/>
        </w:rPr>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861B0"/>
    <w:multiLevelType w:val="singleLevel"/>
    <w:tmpl w:val="143861B0"/>
    <w:lvl w:ilvl="0" w:tentative="0">
      <w:start w:val="3"/>
      <w:numFmt w:val="decimal"/>
      <w:lvlText w:val="%1."/>
      <w:lvlJc w:val="left"/>
      <w:pPr>
        <w:tabs>
          <w:tab w:val="left" w:pos="312"/>
        </w:tabs>
        <w:ind w:left="963" w:firstLine="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zN2ZiMGEzOTBmNjNhNTVlODM1NTY1Y2VmNjY5ZWYifQ=="/>
  </w:docVars>
  <w:rsids>
    <w:rsidRoot w:val="0018453C"/>
    <w:rsid w:val="00037FBA"/>
    <w:rsid w:val="00064577"/>
    <w:rsid w:val="00084C3B"/>
    <w:rsid w:val="000C0325"/>
    <w:rsid w:val="000E4326"/>
    <w:rsid w:val="000F6704"/>
    <w:rsid w:val="00137F93"/>
    <w:rsid w:val="0014549C"/>
    <w:rsid w:val="0014553D"/>
    <w:rsid w:val="0015033E"/>
    <w:rsid w:val="00151805"/>
    <w:rsid w:val="0018453C"/>
    <w:rsid w:val="001C4A40"/>
    <w:rsid w:val="001C6D6F"/>
    <w:rsid w:val="001D7273"/>
    <w:rsid w:val="001F186B"/>
    <w:rsid w:val="0025199F"/>
    <w:rsid w:val="00262BFB"/>
    <w:rsid w:val="0027474F"/>
    <w:rsid w:val="00280D64"/>
    <w:rsid w:val="002E190E"/>
    <w:rsid w:val="00312421"/>
    <w:rsid w:val="0034320B"/>
    <w:rsid w:val="0035041B"/>
    <w:rsid w:val="00352D79"/>
    <w:rsid w:val="003533AA"/>
    <w:rsid w:val="00372A55"/>
    <w:rsid w:val="003A54FF"/>
    <w:rsid w:val="003E68CE"/>
    <w:rsid w:val="004939D7"/>
    <w:rsid w:val="004C1A7E"/>
    <w:rsid w:val="004E07B6"/>
    <w:rsid w:val="004F65D0"/>
    <w:rsid w:val="004F6D96"/>
    <w:rsid w:val="0054352A"/>
    <w:rsid w:val="0054517F"/>
    <w:rsid w:val="0055355B"/>
    <w:rsid w:val="00576237"/>
    <w:rsid w:val="005D0D77"/>
    <w:rsid w:val="005E0A27"/>
    <w:rsid w:val="005E47B3"/>
    <w:rsid w:val="005E7D52"/>
    <w:rsid w:val="006437BE"/>
    <w:rsid w:val="00655F61"/>
    <w:rsid w:val="006B2E4F"/>
    <w:rsid w:val="006C39E2"/>
    <w:rsid w:val="006D5442"/>
    <w:rsid w:val="006D7FE3"/>
    <w:rsid w:val="006E085B"/>
    <w:rsid w:val="006F455E"/>
    <w:rsid w:val="007072D9"/>
    <w:rsid w:val="00731A0A"/>
    <w:rsid w:val="0073245A"/>
    <w:rsid w:val="00755A48"/>
    <w:rsid w:val="00770E7D"/>
    <w:rsid w:val="007715EF"/>
    <w:rsid w:val="007900A9"/>
    <w:rsid w:val="007A0C65"/>
    <w:rsid w:val="007B431F"/>
    <w:rsid w:val="007D24B2"/>
    <w:rsid w:val="007E4CC3"/>
    <w:rsid w:val="00801E01"/>
    <w:rsid w:val="00803CED"/>
    <w:rsid w:val="00821C3E"/>
    <w:rsid w:val="00834DDF"/>
    <w:rsid w:val="00850DC9"/>
    <w:rsid w:val="0089440C"/>
    <w:rsid w:val="008D009F"/>
    <w:rsid w:val="00937AE8"/>
    <w:rsid w:val="009415A1"/>
    <w:rsid w:val="009427F2"/>
    <w:rsid w:val="00961904"/>
    <w:rsid w:val="009A7459"/>
    <w:rsid w:val="009B71E7"/>
    <w:rsid w:val="009D1AF3"/>
    <w:rsid w:val="00A76362"/>
    <w:rsid w:val="00A86842"/>
    <w:rsid w:val="00AB2741"/>
    <w:rsid w:val="00B1015B"/>
    <w:rsid w:val="00B109C2"/>
    <w:rsid w:val="00B85FDA"/>
    <w:rsid w:val="00BA6311"/>
    <w:rsid w:val="00BB5C8A"/>
    <w:rsid w:val="00BF30F3"/>
    <w:rsid w:val="00C35F38"/>
    <w:rsid w:val="00C35FDD"/>
    <w:rsid w:val="00C47BB8"/>
    <w:rsid w:val="00C50353"/>
    <w:rsid w:val="00C52D1F"/>
    <w:rsid w:val="00C90324"/>
    <w:rsid w:val="00CC1B9F"/>
    <w:rsid w:val="00CE1976"/>
    <w:rsid w:val="00CE3F52"/>
    <w:rsid w:val="00D7617F"/>
    <w:rsid w:val="00D81B35"/>
    <w:rsid w:val="00DA6F5B"/>
    <w:rsid w:val="00DA7F84"/>
    <w:rsid w:val="00E16F71"/>
    <w:rsid w:val="00E20FB4"/>
    <w:rsid w:val="00E40834"/>
    <w:rsid w:val="00E429D8"/>
    <w:rsid w:val="00E44C58"/>
    <w:rsid w:val="00E61C89"/>
    <w:rsid w:val="00E61E40"/>
    <w:rsid w:val="00E72408"/>
    <w:rsid w:val="00E925CD"/>
    <w:rsid w:val="00E95C9E"/>
    <w:rsid w:val="00ED0384"/>
    <w:rsid w:val="00F23B56"/>
    <w:rsid w:val="00F56A05"/>
    <w:rsid w:val="00F7116F"/>
    <w:rsid w:val="00F82C6B"/>
    <w:rsid w:val="00FB4CEC"/>
    <w:rsid w:val="00FB7DDA"/>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514752"/>
    <w:rsid w:val="136B79EF"/>
    <w:rsid w:val="13811EEE"/>
    <w:rsid w:val="13C76622"/>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3434CE"/>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6EB7F93"/>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EE28BB"/>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272E7C"/>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 w:type="paragraph" w:styleId="15">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F8E1526-6C0A-4B04-B88D-5EC117B6723C}">
  <ds:schemaRefs/>
</ds:datastoreItem>
</file>

<file path=docProps/app.xml><?xml version="1.0" encoding="utf-8"?>
<Properties xmlns="http://schemas.openxmlformats.org/officeDocument/2006/extended-properties" xmlns:vt="http://schemas.openxmlformats.org/officeDocument/2006/docPropsVTypes">
  <Template>Normal</Template>
  <Company>xc</Company>
  <Pages>20</Pages>
  <Words>1265</Words>
  <Characters>7211</Characters>
  <Lines>60</Lines>
  <Paragraphs>16</Paragraphs>
  <TotalTime>15</TotalTime>
  <ScaleCrop>false</ScaleCrop>
  <LinksUpToDate>false</LinksUpToDate>
  <CharactersWithSpaces>8460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2024-03-12T05:21:45Z</dcterms:modified>
  <dc:title>关于2019年部门预算的批复</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