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德清县洛舍镇中心学校</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二、2024年德清县洛舍镇中心学校单位预算安排情况说明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（一）关于德清县洛舍镇中心学校2024年收支预算情况的总体说明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（二）关于德清县洛舍镇中心学校2024年收入预算情况说明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（三）关于德清县洛舍镇中心学校2024年支出预算情况说明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（四）关于德清县洛舍镇中心学校2024年财政拨款收支预算情况的总体说明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（五）关于德清县洛舍镇中心学校2024年一般公共预算拨款情况说明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（六）关于德清县洛舍镇中心学校2024年一般公共预算基本支出情况说明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（七）关于德清县洛舍镇中心学校2024年政府性基金预算支出情况说明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（八）关于德清县洛舍镇中心学校2024年国有资本经营预算支出情况说明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（九）关于德清县洛舍镇中心学校2024年一般公共预算“三公”经费预算情况说明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四、2024年德清县洛舍镇中心学校单位预算表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Style w:val="9"/>
          <w:rFonts w:hint="default" w:ascii="黑体" w:eastAsia="黑体"/>
          <w:b w:val="0"/>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ascii="黑体" w:eastAsia="黑体"/>
          <w:b w:val="0"/>
          <w:color w:val="000000"/>
          <w:sz w:val="32"/>
          <w:szCs w:val="32"/>
        </w:rPr>
      </w:pPr>
      <w:r>
        <w:rPr>
          <w:rStyle w:val="9"/>
          <w:rFonts w:hint="eastAsia" w:ascii="黑体" w:eastAsia="黑体"/>
          <w:b w:val="0"/>
          <w:color w:val="000000"/>
          <w:sz w:val="32"/>
          <w:szCs w:val="32"/>
        </w:rPr>
        <w:t>一、单位概况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520" w:lineRule="exact"/>
        <w:ind w:firstLine="627" w:firstLineChars="196"/>
        <w:rPr>
          <w:rFonts w:hint="eastAsia" w:ascii="仿宋_GB2312" w:eastAsia="仿宋_GB2312"/>
          <w:bCs/>
          <w:sz w:val="32"/>
          <w:szCs w:val="32"/>
        </w:rPr>
      </w:pPr>
      <w:r>
        <w:rPr>
          <w:rFonts w:hint="eastAsia" w:ascii="仿宋_GB2312" w:eastAsia="仿宋_GB2312"/>
          <w:bCs/>
          <w:sz w:val="32"/>
          <w:szCs w:val="32"/>
        </w:rPr>
        <w:t>1. 实施小学、初中义务教育，促进基础教育发展。</w:t>
      </w:r>
    </w:p>
    <w:p>
      <w:pPr>
        <w:spacing w:line="520" w:lineRule="exact"/>
        <w:ind w:firstLine="627" w:firstLineChars="196"/>
        <w:rPr>
          <w:rFonts w:hint="eastAsia" w:ascii="仿宋_GB2312" w:eastAsia="仿宋_GB2312"/>
          <w:bCs/>
          <w:sz w:val="32"/>
          <w:szCs w:val="32"/>
        </w:rPr>
      </w:pPr>
      <w:r>
        <w:rPr>
          <w:rFonts w:hint="eastAsia" w:ascii="仿宋_GB2312" w:eastAsia="仿宋_GB2312"/>
          <w:bCs/>
          <w:sz w:val="32"/>
          <w:szCs w:val="32"/>
        </w:rPr>
        <w:t>2. 小学、初中学历教育。</w:t>
      </w:r>
    </w:p>
    <w:p>
      <w:pPr>
        <w:spacing w:line="520" w:lineRule="exact"/>
        <w:ind w:firstLine="627" w:firstLineChars="196"/>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27" w:firstLineChars="196"/>
        <w:rPr>
          <w:rFonts w:hint="eastAsia" w:ascii="楷体_GB2312" w:hAnsi="楷体_GB2312" w:eastAsia="楷体_GB2312" w:cs="楷体_GB2312"/>
          <w:bCs/>
          <w:sz w:val="32"/>
          <w:szCs w:val="32"/>
        </w:rPr>
      </w:pPr>
      <w:r>
        <w:rPr>
          <w:rFonts w:hint="eastAsia" w:ascii="仿宋_GB2312" w:eastAsia="仿宋_GB2312"/>
          <w:bCs/>
          <w:sz w:val="32"/>
          <w:szCs w:val="32"/>
        </w:rPr>
        <w:t>从预算单位构成看，德清县洛舍镇中心学校预算包括：本单位预算。</w:t>
      </w:r>
    </w:p>
    <w:p>
      <w:pPr>
        <w:spacing w:line="520" w:lineRule="exact"/>
        <w:ind w:firstLine="640" w:firstLineChars="200"/>
        <w:rPr>
          <w:rFonts w:ascii="楷体_GB2312" w:hAnsi="楷体_GB2312" w:eastAsia="楷体_GB2312" w:cs="楷体_GB2312"/>
          <w:color w:val="000000"/>
          <w:sz w:val="32"/>
          <w:szCs w:val="32"/>
        </w:rPr>
      </w:pPr>
      <w:r>
        <w:rPr>
          <w:rStyle w:val="9"/>
          <w:rFonts w:hint="eastAsia" w:ascii="黑体" w:eastAsia="黑体"/>
          <w:b w:val="0"/>
          <w:color w:val="000000"/>
          <w:sz w:val="32"/>
          <w:szCs w:val="32"/>
        </w:rPr>
        <w:t>二、2024年德清县洛舍镇中心学校单位预算安排情况说明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（一）关于德清县洛舍镇中心学校</w:t>
      </w:r>
      <w:r>
        <w:rPr>
          <w:rStyle w:val="9"/>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综合预算的原则，德清县洛舍镇中心学校</w:t>
      </w:r>
      <w:r>
        <w:rPr>
          <w:rFonts w:hint="eastAsia" w:ascii="仿宋_GB2312" w:eastAsia="仿宋_GB2312"/>
          <w:color w:val="000000"/>
          <w:sz w:val="32"/>
          <w:szCs w:val="32"/>
        </w:rPr>
        <w:t>所有收入和支出均纳入部门预算管理。收入包括：一般公共预算拨款收入、财政专户管理资金收入、其他收入；支出包括：教育支出、社会保障和就业支出、卫生健康支出。德清县洛舍镇中心学校2024年收支总预算2740.72万元。</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（二）关于德清县洛舍镇中心学校2024年收入预算情况说明</w:t>
      </w:r>
    </w:p>
    <w:p>
      <w:pPr>
        <w:spacing w:line="520" w:lineRule="exact"/>
        <w:ind w:firstLine="642"/>
        <w:rPr>
          <w:rFonts w:ascii="仿宋_GB2312" w:eastAsia="仿宋_GB2312"/>
          <w:color w:val="000000"/>
          <w:sz w:val="32"/>
          <w:szCs w:val="32"/>
          <w:highlight w:val="none"/>
        </w:rPr>
      </w:pPr>
      <w:r>
        <w:rPr>
          <w:rFonts w:hint="eastAsia" w:ascii="仿宋_GB2312" w:hAnsi="仿宋_GB2312" w:eastAsia="仿宋_GB2312" w:cs="仿宋_GB2312"/>
          <w:color w:val="000000"/>
          <w:sz w:val="32"/>
          <w:szCs w:val="32"/>
          <w:highlight w:val="none"/>
        </w:rPr>
        <w:t>德清县洛舍镇中心学校2024年收入预算2740.72万元，比上年执行数增加</w:t>
      </w:r>
      <w:r>
        <w:rPr>
          <w:rFonts w:hint="eastAsia" w:ascii="仿宋_GB2312" w:hAnsi="仿宋_GB2312" w:eastAsia="仿宋_GB2312" w:cs="仿宋_GB2312"/>
          <w:color w:val="000000"/>
          <w:sz w:val="32"/>
          <w:szCs w:val="32"/>
          <w:highlight w:val="none"/>
          <w:lang w:val="en-US" w:eastAsia="zh-CN"/>
        </w:rPr>
        <w:t>214.61</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w:t>
      </w:r>
      <w:r>
        <w:rPr>
          <w:rFonts w:hint="eastAsia" w:ascii="仿宋_GB2312" w:hAnsi="仿宋_GB2312" w:eastAsia="仿宋_GB2312" w:cs="仿宋_GB2312"/>
          <w:color w:val="000000"/>
          <w:sz w:val="32"/>
          <w:szCs w:val="32"/>
          <w:highlight w:val="none"/>
        </w:rPr>
        <w:t>长</w:t>
      </w:r>
      <w:r>
        <w:rPr>
          <w:rFonts w:hint="eastAsia" w:ascii="仿宋_GB2312" w:hAnsi="仿宋_GB2312" w:eastAsia="仿宋_GB2312" w:cs="仿宋_GB2312"/>
          <w:color w:val="000000"/>
          <w:sz w:val="32"/>
          <w:szCs w:val="32"/>
          <w:highlight w:val="none"/>
          <w:lang w:val="en-US" w:eastAsia="zh-CN"/>
        </w:rPr>
        <w:t>8.5</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4个储备教师转正、</w:t>
      </w:r>
      <w:r>
        <w:rPr>
          <w:rFonts w:hint="eastAsia" w:ascii="仿宋_GB2312" w:eastAsia="仿宋_GB2312" w:cs="仿宋_GB2312"/>
          <w:color w:val="000000"/>
          <w:sz w:val="30"/>
          <w:szCs w:val="30"/>
          <w:highlight w:val="none"/>
        </w:rPr>
        <w:t>教师增资和工资调标、中小学编外人员待遇提高等</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eastAsia="仿宋_GB2312"/>
          <w:color w:val="000000"/>
          <w:sz w:val="32"/>
          <w:szCs w:val="32"/>
          <w:highlight w:val="none"/>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2613.66</w:t>
      </w:r>
      <w:r>
        <w:rPr>
          <w:rFonts w:hint="eastAsia" w:ascii="仿宋_GB2312" w:eastAsia="仿宋_GB2312"/>
          <w:color w:val="000000"/>
          <w:sz w:val="32"/>
          <w:szCs w:val="32"/>
        </w:rPr>
        <w:t>万元（上年结转0.00万元），占95.4%；专户资金118.55万元，占4.3%；其他收入8.51万元，占0.3%</w:t>
      </w:r>
      <w:r>
        <w:rPr>
          <w:rFonts w:hint="eastAsia" w:ascii="仿宋_GB2312" w:eastAsia="仿宋_GB2312"/>
          <w:color w:val="000000"/>
          <w:sz w:val="32"/>
          <w:szCs w:val="32"/>
          <w:lang w:eastAsia="zh-CN"/>
        </w:rPr>
        <w:t>。</w:t>
      </w:r>
      <w:r>
        <w:rPr>
          <w:rFonts w:hint="eastAsia" w:ascii="仿宋_GB2312" w:eastAsia="仿宋_GB2312"/>
          <w:color w:val="000000"/>
          <w:sz w:val="32"/>
          <w:szCs w:val="32"/>
        </w:rPr>
        <w:br w:type="textWrapping"/>
      </w:r>
      <w:r>
        <w:rPr>
          <w:rFonts w:hint="eastAsia" w:ascii="楷体_GB2312" w:hAnsi="楷体_GB2312" w:eastAsia="楷体_GB2312" w:cs="楷体_GB2312"/>
          <w:bCs/>
          <w:color w:val="000000"/>
          <w:sz w:val="32"/>
          <w:szCs w:val="32"/>
        </w:rPr>
        <w:t>　　（三）关于德清县洛舍镇中心学校2024年支出预算情况说明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德清县洛舍镇中心学校</w:t>
      </w:r>
      <w:r>
        <w:rPr>
          <w:rFonts w:hint="eastAsia" w:ascii="仿宋_GB2312" w:hAnsi="仿宋_GB2312" w:eastAsia="仿宋_GB2312" w:cs="仿宋_GB2312"/>
          <w:color w:val="000000"/>
          <w:sz w:val="32"/>
          <w:szCs w:val="32"/>
          <w:highlight w:val="none"/>
        </w:rPr>
        <w:t>2024年支出预算2740.72万元，比上年执行数增加</w:t>
      </w:r>
      <w:r>
        <w:rPr>
          <w:rFonts w:hint="eastAsia" w:ascii="仿宋_GB2312" w:hAnsi="仿宋_GB2312" w:eastAsia="仿宋_GB2312" w:cs="仿宋_GB2312"/>
          <w:color w:val="000000"/>
          <w:sz w:val="32"/>
          <w:szCs w:val="32"/>
          <w:highlight w:val="none"/>
          <w:lang w:val="en-US" w:eastAsia="zh-CN"/>
        </w:rPr>
        <w:t>222.26</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highlight w:val="none"/>
          <w:lang w:val="en-US" w:eastAsia="zh-CN"/>
        </w:rPr>
        <w:t>8.8</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4个储备教师转正、</w:t>
      </w:r>
      <w:r>
        <w:rPr>
          <w:rFonts w:hint="eastAsia" w:ascii="仿宋_GB2312" w:eastAsia="仿宋_GB2312" w:cs="仿宋_GB2312"/>
          <w:color w:val="000000"/>
          <w:sz w:val="30"/>
          <w:szCs w:val="30"/>
          <w:highlight w:val="none"/>
        </w:rPr>
        <w:t>教师增资和工资调标、中小学编外人员待遇提高等</w:t>
      </w:r>
      <w:r>
        <w:rPr>
          <w:rFonts w:hint="eastAsia" w:ascii="仿宋_GB2312" w:hAnsi="仿宋_GB2312" w:eastAsia="仿宋_GB2312" w:cs="仿宋_GB2312"/>
          <w:color w:val="000000"/>
          <w:sz w:val="32"/>
          <w:szCs w:val="32"/>
          <w:highlight w:val="none"/>
        </w:rPr>
        <w:t>。</w:t>
      </w:r>
    </w:p>
    <w:p>
      <w:pPr>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1.按支出功能分类，包括教育支出2278.52万元、社会保障和就业支出294.70万元、卫生健康支出167.50万元。</w:t>
      </w:r>
    </w:p>
    <w:p>
      <w:pPr>
        <w:spacing w:line="520" w:lineRule="exact"/>
        <w:ind w:firstLine="642"/>
        <w:rPr>
          <w:rFonts w:hint="eastAsia" w:ascii="仿宋_GB2312" w:eastAsia="仿宋_GB2312"/>
          <w:color w:val="000000"/>
          <w:sz w:val="32"/>
          <w:szCs w:val="32"/>
          <w:lang w:eastAsia="zh-CN"/>
        </w:rPr>
      </w:pPr>
      <w:r>
        <w:rPr>
          <w:rFonts w:hint="eastAsia" w:ascii="仿宋_GB2312" w:eastAsia="仿宋_GB2312"/>
          <w:color w:val="000000"/>
          <w:sz w:val="32"/>
          <w:szCs w:val="32"/>
        </w:rPr>
        <w:t>2.按支出用途分类，包括人员支出2424.28万元，占88.5%；日常公用支出164.04万元，占6.0%；项目支出152.40万元，占5.6%</w:t>
      </w:r>
      <w:r>
        <w:rPr>
          <w:rFonts w:hint="eastAsia" w:ascii="仿宋_GB2312" w:eastAsia="仿宋_GB2312"/>
          <w:color w:val="000000"/>
          <w:sz w:val="32"/>
          <w:szCs w:val="32"/>
          <w:lang w:eastAsia="zh-CN"/>
        </w:rPr>
        <w:t>。</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年终结转结余0.00万元。</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（四）关于德清县洛舍镇中心学校2024年财政拨款收支预算情况的总体说明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德清县洛舍镇中心学校2024年财政拨款收支总预算2613.66万元。收入包括：一般公共预算2613.66万元；支出包括：教育支出2151.46万元、社会保障和就业支出294.70万元、卫生健康支出167.50万元。</w:t>
      </w:r>
    </w:p>
    <w:p>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关于德清县洛舍镇中心学校2024年一般公共预算拨款情况说明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ascii="仿宋_GB2312" w:eastAsia="仿宋_GB2312"/>
          <w:color w:val="000000"/>
          <w:sz w:val="32"/>
          <w:szCs w:val="32"/>
          <w:highlight w:val="none"/>
        </w:rPr>
      </w:pPr>
      <w:r>
        <w:rPr>
          <w:rFonts w:hint="eastAsia" w:ascii="仿宋_GB2312" w:hAnsi="仿宋_GB2312" w:eastAsia="仿宋_GB2312" w:cs="仿宋_GB2312"/>
          <w:color w:val="000000"/>
          <w:sz w:val="32"/>
          <w:szCs w:val="32"/>
          <w:highlight w:val="none"/>
        </w:rPr>
        <w:t>德清县洛舍镇中心学校2024年一般公共预算拨款</w:t>
      </w:r>
      <w:r>
        <w:rPr>
          <w:rFonts w:hint="eastAsia" w:ascii="仿宋_GB2312" w:hAnsi="仿宋_GB2312" w:eastAsia="仿宋_GB2312" w:cs="仿宋_GB2312"/>
          <w:bCs/>
          <w:color w:val="000000"/>
          <w:sz w:val="32"/>
          <w:szCs w:val="32"/>
          <w:highlight w:val="none"/>
        </w:rPr>
        <w:t>2613.66</w:t>
      </w:r>
      <w:r>
        <w:rPr>
          <w:rFonts w:hint="eastAsia" w:ascii="仿宋_GB2312" w:hAnsi="仿宋_GB2312" w:eastAsia="仿宋_GB2312" w:cs="仿宋_GB2312"/>
          <w:color w:val="000000"/>
          <w:sz w:val="32"/>
          <w:szCs w:val="32"/>
          <w:highlight w:val="none"/>
        </w:rPr>
        <w:t>万元，比上年执行数增加</w:t>
      </w:r>
      <w:r>
        <w:rPr>
          <w:rFonts w:hint="eastAsia" w:ascii="仿宋_GB2312" w:hAnsi="仿宋_GB2312" w:eastAsia="仿宋_GB2312" w:cs="仿宋_GB2312"/>
          <w:color w:val="000000"/>
          <w:sz w:val="32"/>
          <w:szCs w:val="32"/>
          <w:highlight w:val="none"/>
          <w:lang w:val="en-US" w:eastAsia="zh-CN"/>
        </w:rPr>
        <w:t>226.77</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szCs w:val="32"/>
          <w:highlight w:val="none"/>
          <w:lang w:val="en-US" w:eastAsia="zh-CN"/>
        </w:rPr>
        <w:t>9.5</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4个储备教师转正、</w:t>
      </w:r>
      <w:r>
        <w:rPr>
          <w:rFonts w:hint="eastAsia" w:ascii="仿宋_GB2312" w:eastAsia="仿宋_GB2312" w:cs="仿宋_GB2312"/>
          <w:color w:val="000000"/>
          <w:sz w:val="30"/>
          <w:szCs w:val="30"/>
          <w:highlight w:val="none"/>
        </w:rPr>
        <w:t>教师增资和工资调标、中小学编外人员待遇提高等</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color w:val="000000"/>
          <w:sz w:val="32"/>
          <w:szCs w:val="32"/>
        </w:rPr>
        <w:t>教育支出2151.46万元，占82.3%；社会保障和就业支出294.70万元，占11.3%；卫生健康支出167.50万元，占6.4%</w:t>
      </w:r>
      <w:r>
        <w:rPr>
          <w:rFonts w:hint="eastAsia" w:ascii="仿宋_GB2312" w:hAnsi="仿宋_GB2312" w:eastAsia="仿宋_GB2312" w:cs="仿宋_GB2312"/>
          <w:color w:val="000000"/>
          <w:sz w:val="32"/>
          <w:szCs w:val="32"/>
          <w:lang w:eastAsia="zh-CN"/>
        </w:rPr>
        <w:t>。</w:t>
      </w:r>
    </w:p>
    <w:p>
      <w:pPr>
        <w:spacing w:line="520" w:lineRule="exact"/>
        <w:ind w:firstLine="643" w:firstLineChars="200"/>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一般公共预算拨款具体使用情况。</w:t>
      </w:r>
    </w:p>
    <w:p>
      <w:pPr>
        <w:spacing w:line="520" w:lineRule="exact"/>
        <w:ind w:firstLine="640" w:firstLineChars="200"/>
        <w:rPr>
          <w:rFonts w:ascii="仿宋_GB2312" w:hAnsi="楷体_GB2312" w:eastAsia="仿宋_GB2312" w:cs="楷体_GB2312"/>
          <w:sz w:val="32"/>
          <w:szCs w:val="32"/>
        </w:rPr>
      </w:pPr>
      <w:r>
        <w:rPr>
          <w:rFonts w:hint="eastAsia" w:ascii="仿宋_GB2312" w:eastAsia="仿宋_GB2312"/>
          <w:color w:val="000000"/>
          <w:sz w:val="32"/>
          <w:szCs w:val="32"/>
        </w:rPr>
        <w:t>（1）</w:t>
      </w:r>
      <w:r>
        <w:rPr>
          <w:rFonts w:hint="eastAsia" w:ascii="仿宋_GB2312" w:hAnsi="楷体_GB2312" w:eastAsia="仿宋_GB2312" w:cs="楷体_GB2312"/>
          <w:sz w:val="32"/>
          <w:szCs w:val="32"/>
        </w:rPr>
        <w:t>教育支出(类)普通教育(款)小学教育(项)</w:t>
      </w:r>
      <w:r>
        <w:rPr>
          <w:rFonts w:hint="eastAsia" w:ascii="仿宋_GB2312" w:hAnsi="楷体_GB2312" w:eastAsia="仿宋_GB2312" w:cs="楷体_GB2312"/>
          <w:sz w:val="32"/>
          <w:szCs w:val="32"/>
          <w:lang w:val="en-US" w:eastAsia="zh-CN"/>
        </w:rPr>
        <w:t>1540.57</w:t>
      </w:r>
      <w:r>
        <w:rPr>
          <w:rFonts w:hint="eastAsia" w:ascii="仿宋_GB2312" w:hAnsi="楷体_GB2312" w:eastAsia="仿宋_GB2312" w:cs="楷体_GB2312"/>
          <w:sz w:val="32"/>
          <w:szCs w:val="32"/>
        </w:rPr>
        <w:t>万元，主要用于所属学校小学教育的支出。</w:t>
      </w:r>
    </w:p>
    <w:p>
      <w:pPr>
        <w:spacing w:line="520" w:lineRule="exact"/>
        <w:ind w:firstLine="627" w:firstLineChars="196"/>
        <w:rPr>
          <w:rFonts w:ascii="仿宋_GB2312" w:hAnsi="楷体_GB2312" w:eastAsia="仿宋_GB2312" w:cs="楷体_GB2312"/>
          <w:sz w:val="32"/>
          <w:szCs w:val="32"/>
        </w:rPr>
      </w:pPr>
      <w:r>
        <w:rPr>
          <w:rFonts w:hint="eastAsia" w:ascii="仿宋_GB2312" w:eastAsia="仿宋_GB2312"/>
          <w:color w:val="000000"/>
          <w:sz w:val="32"/>
          <w:szCs w:val="32"/>
        </w:rPr>
        <w:t>（2）</w:t>
      </w:r>
      <w:r>
        <w:rPr>
          <w:rFonts w:hint="eastAsia" w:ascii="仿宋_GB2312" w:hAnsi="楷体_GB2312" w:eastAsia="仿宋_GB2312" w:cs="楷体_GB2312"/>
          <w:sz w:val="32"/>
          <w:szCs w:val="32"/>
        </w:rPr>
        <w:t>教育支出(类)普通教育(款)初中教育(项)</w:t>
      </w:r>
      <w:r>
        <w:rPr>
          <w:rFonts w:hint="eastAsia" w:ascii="仿宋_GB2312" w:hAnsi="楷体_GB2312" w:eastAsia="仿宋_GB2312" w:cs="楷体_GB2312"/>
          <w:sz w:val="32"/>
          <w:szCs w:val="32"/>
          <w:lang w:val="en-US" w:eastAsia="zh-CN"/>
        </w:rPr>
        <w:t>610.89</w:t>
      </w:r>
      <w:r>
        <w:rPr>
          <w:rFonts w:hint="eastAsia" w:ascii="仿宋_GB2312" w:hAnsi="楷体_GB2312" w:eastAsia="仿宋_GB2312" w:cs="楷体_GB2312"/>
          <w:sz w:val="32"/>
          <w:szCs w:val="32"/>
        </w:rPr>
        <w:t>万元，主要用于所属学校小学教育的支出。</w:t>
      </w:r>
    </w:p>
    <w:p>
      <w:pPr>
        <w:pStyle w:val="2"/>
        <w:ind w:firstLine="640" w:firstLineChars="200"/>
        <w:rPr>
          <w:rFonts w:hint="default"/>
        </w:rPr>
      </w:pPr>
      <w:r>
        <w:rPr>
          <w:sz w:val="32"/>
          <w:szCs w:val="32"/>
        </w:rPr>
        <w:t>（</w:t>
      </w:r>
      <w:r>
        <w:rPr>
          <w:rFonts w:hint="eastAsia"/>
          <w:sz w:val="32"/>
          <w:szCs w:val="32"/>
          <w:lang w:val="en-US" w:eastAsia="zh-CN"/>
        </w:rPr>
        <w:t>3</w:t>
      </w:r>
      <w:r>
        <w:rPr>
          <w:sz w:val="32"/>
          <w:szCs w:val="32"/>
        </w:rPr>
        <w:t>）</w:t>
      </w:r>
      <w:r>
        <w:rPr>
          <w:rFonts w:hAnsi="楷体_GB2312" w:cs="楷体_GB2312"/>
          <w:sz w:val="32"/>
          <w:szCs w:val="32"/>
        </w:rPr>
        <w:t>社会保障和就业支出(类) 行政事业单位养老支出(款)事业单位离退休(项)</w:t>
      </w:r>
      <w:r>
        <w:rPr>
          <w:rFonts w:hint="eastAsia" w:hAnsi="楷体_GB2312" w:cs="楷体_GB2312"/>
          <w:sz w:val="32"/>
          <w:szCs w:val="32"/>
          <w:lang w:val="en-US" w:eastAsia="zh-CN"/>
        </w:rPr>
        <w:t>98.67</w:t>
      </w:r>
      <w:r>
        <w:rPr>
          <w:rFonts w:hAnsi="楷体_GB2312" w:cs="楷体_GB2312"/>
          <w:sz w:val="32"/>
          <w:szCs w:val="32"/>
        </w:rPr>
        <w:t>万元，主要用于事业单位离退休人员的福利费和退休人员活动经费的支出。</w:t>
      </w:r>
    </w:p>
    <w:p>
      <w:pPr>
        <w:spacing w:line="520" w:lineRule="exact"/>
        <w:ind w:firstLine="627" w:firstLineChars="196"/>
        <w:rPr>
          <w:rFonts w:ascii="仿宋_GB2312" w:hAnsi="楷体_GB2312" w:eastAsia="仿宋_GB2312" w:cs="楷体_GB2312"/>
          <w:sz w:val="32"/>
          <w:szCs w:val="32"/>
        </w:rPr>
      </w:pP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w:t>
      </w:r>
      <w:r>
        <w:rPr>
          <w:rFonts w:hint="eastAsia" w:ascii="仿宋_GB2312" w:hAnsi="楷体_GB2312" w:eastAsia="仿宋_GB2312" w:cs="楷体_GB2312"/>
          <w:sz w:val="32"/>
          <w:szCs w:val="32"/>
        </w:rPr>
        <w:t>社会保障和就业支出(类) 行政事业单位养老支出(款)机关事业单位基本养老金保险缴费支出(项)</w:t>
      </w:r>
      <w:r>
        <w:rPr>
          <w:rFonts w:hint="eastAsia" w:ascii="仿宋_GB2312" w:hAnsi="楷体_GB2312" w:eastAsia="仿宋_GB2312" w:cs="楷体_GB2312"/>
          <w:sz w:val="32"/>
          <w:szCs w:val="32"/>
          <w:lang w:val="en-US" w:eastAsia="zh-CN"/>
        </w:rPr>
        <w:t>130.69</w:t>
      </w:r>
      <w:r>
        <w:rPr>
          <w:rFonts w:hint="eastAsia" w:ascii="仿宋_GB2312" w:hAnsi="楷体_GB2312" w:eastAsia="仿宋_GB2312" w:cs="楷体_GB2312"/>
          <w:sz w:val="32"/>
          <w:szCs w:val="32"/>
        </w:rPr>
        <w:t>万元，主要用于机关事业单位实施养老保险制度由单位缴纳的基本养老保险费的支出。</w:t>
      </w:r>
    </w:p>
    <w:p>
      <w:pPr>
        <w:spacing w:line="520" w:lineRule="exact"/>
        <w:ind w:firstLine="409" w:firstLineChars="195"/>
        <w:rPr>
          <w:rFonts w:ascii="仿宋_GB2312" w:hAnsi="楷体_GB2312" w:eastAsia="仿宋_GB2312" w:cs="楷体_GB2312"/>
          <w:sz w:val="32"/>
          <w:szCs w:val="32"/>
        </w:rPr>
      </w:pPr>
      <w:r>
        <w:t xml:space="preserve">  </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w:t>
      </w:r>
      <w:r>
        <w:rPr>
          <w:rFonts w:hint="eastAsia" w:ascii="仿宋_GB2312" w:hAnsi="楷体_GB2312" w:eastAsia="仿宋_GB2312" w:cs="楷体_GB2312"/>
          <w:sz w:val="32"/>
          <w:szCs w:val="32"/>
        </w:rPr>
        <w:t>社会保障和就业支出(类) 行政事业单位养老支出(款)机关事业单位职业年金缴费支出(项)</w:t>
      </w:r>
      <w:r>
        <w:rPr>
          <w:rFonts w:hint="eastAsia" w:ascii="仿宋_GB2312" w:hAnsi="楷体_GB2312" w:eastAsia="仿宋_GB2312" w:cs="楷体_GB2312"/>
          <w:sz w:val="32"/>
          <w:szCs w:val="32"/>
          <w:lang w:val="en-US" w:eastAsia="zh-CN"/>
        </w:rPr>
        <w:t>65.34</w:t>
      </w:r>
      <w:r>
        <w:rPr>
          <w:rFonts w:hint="eastAsia" w:ascii="仿宋_GB2312" w:hAnsi="楷体_GB2312" w:eastAsia="仿宋_GB2312" w:cs="楷体_GB2312"/>
          <w:sz w:val="32"/>
          <w:szCs w:val="32"/>
        </w:rPr>
        <w:t>万元，主要用于机关事业单位实施养老保险制度由单位实际缴纳的职业年金支出。</w:t>
      </w:r>
    </w:p>
    <w:p>
      <w:pPr>
        <w:pStyle w:val="2"/>
        <w:ind w:firstLine="640" w:firstLineChars="200"/>
        <w:rPr>
          <w:rFonts w:ascii="仿宋_GB2312" w:hAnsi="仿宋_GB2312" w:eastAsia="仿宋_GB2312" w:cs="仿宋_GB2312"/>
          <w:b/>
          <w:color w:val="000000"/>
          <w:sz w:val="32"/>
          <w:szCs w:val="32"/>
        </w:rPr>
      </w:pPr>
      <w:r>
        <w:rPr>
          <w:sz w:val="32"/>
          <w:szCs w:val="32"/>
        </w:rPr>
        <w:t>（</w:t>
      </w:r>
      <w:r>
        <w:rPr>
          <w:rFonts w:hint="eastAsia"/>
          <w:sz w:val="32"/>
          <w:szCs w:val="32"/>
          <w:lang w:val="en-US" w:eastAsia="zh-CN"/>
        </w:rPr>
        <w:t>6</w:t>
      </w:r>
      <w:r>
        <w:rPr>
          <w:sz w:val="32"/>
          <w:szCs w:val="32"/>
        </w:rPr>
        <w:t>）</w:t>
      </w:r>
      <w:r>
        <w:rPr>
          <w:rFonts w:hAnsi="楷体_GB2312" w:cs="楷体_GB2312"/>
          <w:sz w:val="32"/>
          <w:szCs w:val="32"/>
        </w:rPr>
        <w:t>卫生健康支出(类)行政事业单位医疗（款）事业单位医疗(项)</w:t>
      </w:r>
      <w:r>
        <w:rPr>
          <w:rFonts w:hint="eastAsia" w:hAnsi="楷体_GB2312" w:cs="楷体_GB2312"/>
          <w:sz w:val="32"/>
          <w:szCs w:val="32"/>
          <w:lang w:val="en-US" w:eastAsia="zh-CN"/>
        </w:rPr>
        <w:t>167.5</w:t>
      </w:r>
      <w:r>
        <w:rPr>
          <w:rFonts w:hAnsi="楷体_GB2312" w:cs="楷体_GB2312"/>
          <w:sz w:val="32"/>
          <w:szCs w:val="32"/>
        </w:rPr>
        <w:t>万元，主要用于反映财政部门集中安排的事业单位基本医疗保险缴费经费，未参加医疗保险的事业单位的公费医疗经费，按国家规定享受离休人员待遇的医疗经费。</w:t>
      </w:r>
    </w:p>
    <w:p>
      <w:pPr>
        <w:pStyle w:val="2"/>
      </w:pP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（六）关于德清县洛舍镇中心学校2024年一般公共预算基本支出情况说明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德清县洛舍镇中心学校2024年一般公共预算基本支出2473.77万元，其中：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2310.28万元，主要包括：基本工资、津贴补贴、奖金、绩效工资、机关事业单位基本养老保险缴费、职业年金缴费、职工基本医疗保险缴费、公务员医疗补助缴费、其他社会保障缴费、住房公积金、其他工资福利支出、退休费、生活补助、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163.49万元，主要包括：办公费、印刷费、水费、电费、邮电费、物业管理费、差旅费、维修（护）费、租赁费、培训费、公务接待费、专用材料费、劳务费、工会经费、其他交通费用、其他商品和服务支出。</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（七）关于德清县洛舍镇中心学校2024年政府性基金预算支出情况说明</w:t>
      </w:r>
    </w:p>
    <w:p>
      <w:pPr>
        <w:ind w:firstLine="640" w:firstLineChars="200"/>
        <w:rPr>
          <w:rFonts w:hint="eastAsia" w:eastAsia="仿宋_GB2312"/>
          <w:lang w:eastAsia="zh-CN"/>
        </w:rPr>
      </w:pPr>
      <w:r>
        <w:rPr>
          <w:rFonts w:hint="eastAsia" w:ascii="仿宋_GB2312" w:hAnsi="仿宋_GB2312" w:eastAsia="仿宋_GB2312" w:cs="仿宋_GB2312"/>
          <w:color w:val="000000"/>
          <w:sz w:val="32"/>
          <w:szCs w:val="32"/>
        </w:rPr>
        <w:t>德清县洛舍镇中心学校2024年没有使用政府性基金预算拨款安排的支出</w:t>
      </w:r>
      <w:r>
        <w:rPr>
          <w:rFonts w:hint="eastAsia" w:ascii="仿宋_GB2312" w:eastAsia="仿宋_GB2312"/>
          <w:color w:val="000000"/>
          <w:sz w:val="32"/>
          <w:szCs w:val="32"/>
        </w:rPr>
        <w:t>，与上年持平</w:t>
      </w:r>
      <w:r>
        <w:rPr>
          <w:rFonts w:hint="eastAsia" w:ascii="仿宋_GB2312" w:eastAsia="仿宋_GB2312"/>
          <w:color w:val="000000"/>
          <w:sz w:val="32"/>
          <w:szCs w:val="32"/>
          <w:lang w:eastAsia="zh-CN"/>
        </w:rPr>
        <w:t>。</w:t>
      </w:r>
    </w:p>
    <w:p>
      <w:pPr>
        <w:spacing w:line="520" w:lineRule="exact"/>
        <w:ind w:firstLine="640" w:firstLineChars="200"/>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（八）关于</w:t>
      </w:r>
      <w:r>
        <w:rPr>
          <w:rFonts w:ascii="楷体_GB2312" w:hAnsi="楷体_GB2312" w:eastAsia="楷体_GB2312" w:cs="楷体_GB2312"/>
          <w:bCs/>
          <w:color w:val="000000"/>
          <w:sz w:val="32"/>
          <w:szCs w:val="32"/>
          <w:highlight w:val="none"/>
        </w:rPr>
        <w:t>德清县洛舍镇中心学校</w:t>
      </w:r>
      <w:r>
        <w:rPr>
          <w:rFonts w:hint="eastAsia" w:ascii="楷体_GB2312" w:hAnsi="楷体_GB2312" w:eastAsia="楷体_GB2312" w:cs="楷体_GB2312"/>
          <w:bCs/>
          <w:color w:val="000000"/>
          <w:sz w:val="32"/>
          <w:szCs w:val="32"/>
          <w:highlight w:val="none"/>
        </w:rPr>
        <w:t>国有资本经营预算支出情况说明</w:t>
      </w:r>
    </w:p>
    <w:p>
      <w:pPr>
        <w:spacing w:line="520" w:lineRule="exact"/>
        <w:ind w:firstLine="640" w:firstLineChars="200"/>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rPr>
        <w:t>德清县洛舍镇中心学校2024年没有使用国有资本经营预算拨款安排的支出，与上年持平</w:t>
      </w:r>
      <w:r>
        <w:rPr>
          <w:rFonts w:hint="eastAsia" w:ascii="仿宋_GB2312" w:hAnsi="仿宋_GB2312" w:eastAsia="仿宋_GB2312" w:cs="仿宋_GB2312"/>
          <w:color w:val="000000"/>
          <w:sz w:val="32"/>
          <w:szCs w:val="32"/>
          <w:highlight w:val="none"/>
          <w:lang w:eastAsia="zh-CN"/>
        </w:rPr>
        <w:t>。</w:t>
      </w:r>
    </w:p>
    <w:p>
      <w:pPr>
        <w:spacing w:line="520" w:lineRule="exact"/>
        <w:ind w:firstLine="640" w:firstLineChars="20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（九）关于德清县洛舍镇中心学校2024年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德清县洛舍镇中心学校2024年“三公”经费预算数为1.25万元，</w:t>
      </w:r>
      <w:r>
        <w:rPr>
          <w:rFonts w:hint="eastAsia" w:ascii="仿宋_GB2312" w:hAnsi="仿宋_GB2312" w:eastAsia="仿宋_GB2312"/>
          <w:sz w:val="32"/>
          <w:shd w:val="clear" w:color="auto" w:fill="FFFFFF"/>
        </w:rPr>
        <w:t>比上年预算数减少</w:t>
      </w:r>
      <w:r>
        <w:rPr>
          <w:rFonts w:hint="eastAsia" w:ascii="仿宋_GB2312" w:hAnsi="仿宋_GB2312" w:eastAsia="仿宋_GB2312"/>
          <w:sz w:val="32"/>
          <w:lang w:val="en-US" w:eastAsia="zh-CN"/>
        </w:rPr>
        <w:t>0.25</w:t>
      </w:r>
      <w:r>
        <w:rPr>
          <w:rFonts w:hint="eastAsia" w:ascii="仿宋_GB2312" w:hAnsi="仿宋_GB2312" w:eastAsia="仿宋_GB2312"/>
          <w:sz w:val="32"/>
          <w:shd w:val="clear" w:color="auto" w:fill="FFFFFF"/>
        </w:rPr>
        <w:t>万元，下降</w:t>
      </w:r>
      <w:r>
        <w:rPr>
          <w:rFonts w:hint="eastAsia" w:ascii="仿宋_GB2312" w:hAnsi="仿宋_GB2312" w:eastAsia="仿宋_GB2312"/>
          <w:sz w:val="32"/>
          <w:shd w:val="clear" w:color="auto" w:fill="FFFFFF"/>
          <w:lang w:val="en-US" w:eastAsia="zh-CN"/>
        </w:rPr>
        <w:t>1.7</w:t>
      </w:r>
      <w:r>
        <w:rPr>
          <w:rFonts w:hint="eastAsia" w:ascii="仿宋_GB2312" w:hAnsi="仿宋_GB2312" w:eastAsia="仿宋_GB2312"/>
          <w:sz w:val="32"/>
          <w:shd w:val="clear" w:color="auto" w:fill="FFFFFF"/>
        </w:rPr>
        <w:t>%</w:t>
      </w:r>
      <w:r>
        <w:rPr>
          <w:rFonts w:hint="eastAsia" w:ascii="仿宋_GB2312" w:hAnsi="仿宋_GB2312" w:eastAsia="仿宋_GB2312"/>
          <w:sz w:val="32"/>
        </w:rPr>
        <w:t>，具体如下：</w:t>
      </w:r>
    </w:p>
    <w:p>
      <w:pPr>
        <w:numPr>
          <w:ilvl w:val="0"/>
          <w:numId w:val="2"/>
        </w:numPr>
        <w:spacing w:line="52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kern w:val="0"/>
          <w:sz w:val="32"/>
          <w:szCs w:val="32"/>
        </w:rPr>
        <w:t>因公出国（境）费用：</w:t>
      </w:r>
      <w:r>
        <w:rPr>
          <w:rFonts w:hint="eastAsia" w:ascii="仿宋_GB2312" w:hAnsi="仿宋_GB2312" w:eastAsia="仿宋_GB2312" w:cs="仿宋_GB2312"/>
          <w:sz w:val="32"/>
          <w:szCs w:val="32"/>
        </w:rPr>
        <w:t>根据因公出国计划和实际工作需要，2024年安排因公出国（境）费用预算0.00万元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与上年预算数持平</w:t>
      </w:r>
      <w:r>
        <w:rPr>
          <w:rFonts w:hint="eastAsia" w:ascii="仿宋_GB2312" w:hAnsi="仿宋_GB2312" w:eastAsia="仿宋_GB2312" w:cs="仿宋_GB2312"/>
          <w:sz w:val="32"/>
          <w:szCs w:val="32"/>
          <w:lang w:eastAsia="zh-CN"/>
        </w:rPr>
        <w:t>。</w:t>
      </w:r>
    </w:p>
    <w:p>
      <w:pPr>
        <w:numPr>
          <w:ilvl w:val="0"/>
          <w:numId w:val="0"/>
        </w:num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2.公务接待费：2024年安排公务接待费预算1.25万元，比上年预算数</w:t>
      </w:r>
      <w:r>
        <w:rPr>
          <w:rFonts w:hint="eastAsia" w:ascii="仿宋_GB2312" w:hAnsi="仿宋_GB2312" w:eastAsia="仿宋_GB2312"/>
          <w:sz w:val="32"/>
          <w:shd w:val="clear" w:color="auto" w:fill="FFFFFF"/>
        </w:rPr>
        <w:t>减少</w:t>
      </w:r>
      <w:r>
        <w:rPr>
          <w:rFonts w:hint="eastAsia" w:ascii="仿宋_GB2312" w:hAnsi="仿宋_GB2312" w:eastAsia="仿宋_GB2312"/>
          <w:sz w:val="32"/>
          <w:lang w:val="en-US" w:eastAsia="zh-CN"/>
        </w:rPr>
        <w:t>0.25</w:t>
      </w:r>
      <w:r>
        <w:rPr>
          <w:rFonts w:hint="eastAsia" w:ascii="仿宋_GB2312" w:hAnsi="仿宋_GB2312" w:eastAsia="仿宋_GB2312"/>
          <w:sz w:val="32"/>
          <w:shd w:val="clear" w:color="auto" w:fill="FFFFFF"/>
        </w:rPr>
        <w:t>万元，</w:t>
      </w:r>
      <w:r>
        <w:rPr>
          <w:rFonts w:hint="eastAsia" w:ascii="仿宋_GB2312" w:hAnsi="仿宋_GB2312" w:eastAsia="仿宋_GB2312" w:cs="仿宋_GB2312"/>
          <w:sz w:val="32"/>
          <w:szCs w:val="32"/>
        </w:rPr>
        <w:t>下降</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%。主要用于接待</w:t>
      </w:r>
      <w:r>
        <w:rPr>
          <w:rFonts w:hint="eastAsia" w:ascii="仿宋_GB2312" w:hAnsi="仿宋_GB2312" w:eastAsia="仿宋_GB2312" w:cs="仿宋_GB2312"/>
          <w:sz w:val="32"/>
          <w:szCs w:val="32"/>
          <w:lang w:val="en-US" w:eastAsia="zh-CN"/>
        </w:rPr>
        <w:t>外单位</w:t>
      </w:r>
      <w:r>
        <w:rPr>
          <w:rFonts w:hint="eastAsia" w:ascii="仿宋_GB2312" w:eastAsia="仿宋_GB2312"/>
          <w:kern w:val="0"/>
          <w:sz w:val="32"/>
          <w:szCs w:val="32"/>
        </w:rPr>
        <w:t>来校进行重大政策调研、指导、交流</w:t>
      </w:r>
      <w:r>
        <w:rPr>
          <w:rFonts w:hint="eastAsia" w:ascii="仿宋_GB2312" w:hAnsi="仿宋_GB2312" w:eastAsia="仿宋_GB2312" w:cs="仿宋_GB2312"/>
          <w:sz w:val="32"/>
          <w:szCs w:val="32"/>
        </w:rPr>
        <w:t>等支出。减少的主要原因是</w:t>
      </w:r>
      <w:r>
        <w:rPr>
          <w:rFonts w:hint="eastAsia" w:ascii="仿宋_GB2312" w:hAnsi="仿宋_GB2312" w:eastAsia="仿宋_GB2312" w:cs="仿宋_GB2312"/>
          <w:sz w:val="32"/>
          <w:szCs w:val="32"/>
          <w:lang w:val="en-US" w:eastAsia="zh-CN"/>
        </w:rPr>
        <w:t>2024</w:t>
      </w:r>
      <w:r>
        <w:rPr>
          <w:rFonts w:hint="eastAsia" w:ascii="仿宋_GB2312" w:eastAsia="仿宋_GB2312"/>
          <w:kern w:val="0"/>
          <w:sz w:val="32"/>
          <w:szCs w:val="32"/>
        </w:rPr>
        <w:t>年来校进行重大政策调研、指导、交流等接待支出减少，我们始终按照“过紧日子”和坚持厉行节约反对浪费的要求，大力压减公务接待支出</w:t>
      </w:r>
      <w:r>
        <w:rPr>
          <w:rFonts w:hint="eastAsia" w:ascii="仿宋_GB2312" w:hAnsi="仿宋_GB2312" w:eastAsia="仿宋_GB2312" w:cs="仿宋_GB2312"/>
          <w:sz w:val="32"/>
          <w:szCs w:val="32"/>
        </w:rPr>
        <w:t>。</w:t>
      </w:r>
    </w:p>
    <w:p>
      <w:pPr>
        <w:pStyle w:val="14"/>
        <w:spacing w:line="520" w:lineRule="exact"/>
        <w:ind w:firstLine="640" w:firstLineChars="200"/>
        <w:rPr>
          <w:rFonts w:hint="eastAsia" w:ascii="仿宋_GB2312" w:eastAsia="仿宋_GB2312"/>
          <w:b/>
          <w:bCs/>
          <w:sz w:val="32"/>
          <w:szCs w:val="32"/>
          <w:lang w:eastAsia="zh-CN"/>
        </w:rPr>
      </w:pPr>
      <w:r>
        <w:rPr>
          <w:rFonts w:hint="eastAsia" w:ascii="仿宋_GB2312" w:eastAsia="仿宋_GB2312"/>
          <w:sz w:val="32"/>
          <w:szCs w:val="32"/>
        </w:rPr>
        <w:t>3.公务用车购置及运行维护费：2024年安排公务用车购置及运行维护费预算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lang w:val="en-US" w:eastAsia="zh-CN"/>
        </w:rPr>
        <w:t>与上年预算数持平</w:t>
      </w:r>
      <w:r>
        <w:rPr>
          <w:rFonts w:hint="eastAsia" w:ascii="仿宋_GB2312" w:hAnsi="仿宋_GB2312" w:eastAsia="仿宋_GB2312" w:cs="仿宋_GB2312"/>
          <w:color w:val="auto"/>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w:t>
      </w:r>
      <w:r>
        <w:rPr>
          <w:rFonts w:hint="eastAsia" w:ascii="仿宋_GB2312" w:hAnsi="仿宋_GB2312" w:eastAsia="仿宋_GB2312" w:cs="仿宋_GB2312"/>
          <w:sz w:val="32"/>
          <w:szCs w:val="32"/>
          <w:lang w:val="en-US" w:eastAsia="zh-CN"/>
        </w:rPr>
        <w:t>与上年预算数持平</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hAnsi="仿宋_GB2312" w:eastAsia="仿宋_GB2312" w:cs="仿宋_GB2312"/>
          <w:sz w:val="32"/>
          <w:szCs w:val="32"/>
          <w:lang w:val="en-US" w:eastAsia="zh-CN"/>
        </w:rPr>
        <w:t>与上年预算数持平</w:t>
      </w:r>
      <w:r>
        <w:rPr>
          <w:rFonts w:hint="eastAsia" w:ascii="仿宋_GB2312" w:eastAsia="仿宋_GB2312"/>
          <w:sz w:val="32"/>
          <w:szCs w:val="32"/>
          <w:highlight w:val="none"/>
        </w:rPr>
        <w:t>。</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numPr>
          <w:ilvl w:val="0"/>
          <w:numId w:val="0"/>
        </w:numPr>
        <w:spacing w:line="520" w:lineRule="exact"/>
        <w:ind w:firstLine="643" w:firstLineChars="20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2024年德清县洛舍镇中心学校</w:t>
      </w:r>
      <w:r>
        <w:rPr>
          <w:rFonts w:hint="eastAsia" w:ascii="仿宋_GB2312" w:eastAsia="仿宋_GB2312"/>
          <w:color w:val="000000"/>
          <w:sz w:val="32"/>
          <w:szCs w:val="32"/>
        </w:rPr>
        <w:t>政府采购预算总额</w:t>
      </w:r>
      <w:r>
        <w:rPr>
          <w:rFonts w:ascii="仿宋_GB2312" w:eastAsia="仿宋_GB2312"/>
          <w:color w:val="000000"/>
          <w:sz w:val="32"/>
          <w:szCs w:val="32"/>
        </w:rPr>
        <w:t>37.61</w:t>
      </w:r>
      <w:r>
        <w:rPr>
          <w:rFonts w:hint="eastAsia" w:ascii="仿宋_GB2312" w:eastAsia="仿宋_GB2312"/>
          <w:color w:val="000000"/>
          <w:sz w:val="32"/>
          <w:szCs w:val="32"/>
        </w:rPr>
        <w:t>万元，其中：政府采购货物预算20.63万元、政府采购工程预算0.00万元、政府采购服务预算</w:t>
      </w:r>
      <w:r>
        <w:rPr>
          <w:rFonts w:ascii="仿宋_GB2312" w:eastAsia="仿宋_GB2312"/>
          <w:color w:val="000000"/>
          <w:sz w:val="32"/>
          <w:szCs w:val="32"/>
        </w:rPr>
        <w:t>16.98</w:t>
      </w:r>
      <w:r>
        <w:rPr>
          <w:rFonts w:hint="eastAsia" w:ascii="仿宋_GB2312" w:eastAsia="仿宋_GB2312"/>
          <w:color w:val="000000"/>
          <w:sz w:val="32"/>
          <w:szCs w:val="32"/>
        </w:rPr>
        <w:t>万元。</w:t>
      </w:r>
    </w:p>
    <w:p>
      <w:pPr>
        <w:pStyle w:val="14"/>
        <w:spacing w:line="520" w:lineRule="exact"/>
        <w:ind w:firstLine="642"/>
        <w:rPr>
          <w:rFonts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w:t>
      </w:r>
      <w:r>
        <w:rPr>
          <w:rFonts w:hint="eastAsia" w:ascii="仿宋_GB2312" w:eastAsia="仿宋_GB2312"/>
          <w:sz w:val="32"/>
          <w:szCs w:val="32"/>
        </w:rPr>
        <w:t>德清县洛舍镇中心学校</w:t>
      </w:r>
      <w:r>
        <w:rPr>
          <w:rFonts w:hint="eastAsia" w:ascii="仿宋_GB2312" w:hAnsi="仿宋_GB2312" w:eastAsia="仿宋_GB2312" w:cs="仿宋_GB2312"/>
          <w:spacing w:val="6"/>
          <w:sz w:val="32"/>
          <w:szCs w:val="32"/>
        </w:rPr>
        <w:t>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台（套）。 </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单位</w:t>
      </w:r>
      <w:r>
        <w:rPr>
          <w:rFonts w:ascii="仿宋_GB2312" w:hAnsi="仿宋_GB2312" w:eastAsia="仿宋_GB2312" w:cs="仿宋_GB2312"/>
          <w:sz w:val="32"/>
          <w:szCs w:val="32"/>
        </w:rPr>
        <w:t>预算未安排购置车辆、单位价值50万元以上通用设备及单位价值100万元以上专用设备</w:t>
      </w:r>
      <w:r>
        <w:rPr>
          <w:rFonts w:hint="eastAsia" w:ascii="仿宋_GB2312" w:hAnsi="仿宋_GB2312" w:eastAsia="仿宋_GB2312" w:cs="仿宋_GB2312"/>
          <w:sz w:val="32"/>
          <w:szCs w:val="32"/>
        </w:rPr>
        <w:t>。</w:t>
      </w:r>
    </w:p>
    <w:p>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w:t>
      </w:r>
      <w:r>
        <w:rPr>
          <w:rFonts w:hint="eastAsia" w:ascii="仿宋_GB2312" w:eastAsia="仿宋_GB2312"/>
          <w:b/>
          <w:bCs/>
          <w:sz w:val="32"/>
          <w:szCs w:val="32"/>
          <w:lang w:val="en-US" w:eastAsia="zh-CN"/>
        </w:rPr>
        <w:t>3</w:t>
      </w:r>
      <w:r>
        <w:rPr>
          <w:rFonts w:hint="eastAsia" w:ascii="仿宋_GB2312" w:eastAsia="仿宋_GB2312"/>
          <w:b/>
          <w:bCs/>
          <w:sz w:val="32"/>
          <w:szCs w:val="32"/>
        </w:rPr>
        <w:t>.预算绩效情况说明。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2024年德清县洛舍镇中心学校其他运转类项目和特定目标类项目均实行绩效目标管理，共计1个一级项目，涉及当年资金152.40万元。同时，将按照相关制度规定开展绩效自评。</w:t>
      </w:r>
    </w:p>
    <w:p>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.项目支出：是预算单位为完成其特定的行政工作任务或事业发展目标所发生的支出。</w:t>
      </w:r>
    </w:p>
    <w:p>
      <w:pPr>
        <w:spacing w:line="276" w:lineRule="auto"/>
        <w:ind w:firstLine="640" w:firstLineChars="200"/>
        <w:rPr>
          <w:rFonts w:ascii="仿宋_GB2312" w:eastAsia="仿宋_GB2312"/>
          <w:bCs/>
          <w:color w:val="000000"/>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r>
        <w:rPr>
          <w:rFonts w:hint="eastAsia" w:ascii="仿宋_GB2312" w:hAnsi="仿宋_GB2312" w:eastAsia="仿宋_GB2312"/>
          <w:sz w:val="32"/>
        </w:rPr>
        <w:t>7、</w:t>
      </w:r>
      <w:r>
        <w:rPr>
          <w:rFonts w:hint="eastAsia" w:ascii="仿宋_GB2312" w:eastAsia="仿宋_GB2312"/>
          <w:bCs/>
          <w:color w:val="000000"/>
          <w:sz w:val="32"/>
          <w:szCs w:val="32"/>
        </w:rPr>
        <w:t>事业单位离退休：指事业单位开支的离退休经费。</w:t>
      </w:r>
    </w:p>
    <w:p>
      <w:pPr>
        <w:spacing w:line="276" w:lineRule="auto"/>
        <w:ind w:firstLine="640" w:firstLineChars="200"/>
        <w:rPr>
          <w:rFonts w:ascii="仿宋_GB2312" w:eastAsia="仿宋_GB2312"/>
          <w:bCs/>
          <w:color w:val="000000"/>
          <w:sz w:val="32"/>
          <w:szCs w:val="32"/>
        </w:rPr>
      </w:pPr>
      <w:r>
        <w:rPr>
          <w:rFonts w:hint="eastAsia" w:ascii="仿宋_GB2312" w:eastAsia="仿宋_GB2312"/>
          <w:bCs/>
          <w:color w:val="000000"/>
          <w:sz w:val="32"/>
          <w:szCs w:val="32"/>
          <w:lang w:val="en-US" w:eastAsia="zh-CN"/>
        </w:rPr>
        <w:t>7</w:t>
      </w:r>
      <w:r>
        <w:rPr>
          <w:rFonts w:hint="eastAsia" w:ascii="仿宋_GB2312" w:eastAsia="仿宋_GB2312"/>
          <w:bCs/>
          <w:color w:val="000000"/>
          <w:sz w:val="32"/>
          <w:szCs w:val="32"/>
        </w:rPr>
        <w:t>、机关事业单位基本养老保险缴费支出：指机关事业单位实施养老保险制度由单位缴纳的基本养老保险费支出。</w:t>
      </w:r>
    </w:p>
    <w:p>
      <w:pPr>
        <w:spacing w:line="276" w:lineRule="auto"/>
        <w:ind w:firstLine="640" w:firstLineChars="200"/>
        <w:rPr>
          <w:rFonts w:ascii="仿宋_GB2312" w:eastAsia="仿宋_GB2312"/>
          <w:bCs/>
          <w:color w:val="000000"/>
          <w:sz w:val="32"/>
          <w:szCs w:val="32"/>
        </w:rPr>
      </w:pPr>
      <w:r>
        <w:rPr>
          <w:rFonts w:hint="eastAsia" w:ascii="仿宋_GB2312" w:eastAsia="仿宋_GB2312"/>
          <w:bCs/>
          <w:color w:val="000000"/>
          <w:sz w:val="32"/>
          <w:szCs w:val="32"/>
          <w:lang w:val="en-US" w:eastAsia="zh-CN"/>
        </w:rPr>
        <w:t>8</w:t>
      </w:r>
      <w:r>
        <w:rPr>
          <w:rFonts w:hint="eastAsia" w:ascii="仿宋_GB2312" w:eastAsia="仿宋_GB2312"/>
          <w:bCs/>
          <w:color w:val="000000"/>
          <w:sz w:val="32"/>
          <w:szCs w:val="32"/>
        </w:rPr>
        <w:t>、机关事业单位职业年金缴费支出：指机关事业单位实施养老保险制度由单位实际缴纳的职业年金支出。</w:t>
      </w:r>
    </w:p>
    <w:p>
      <w:pPr>
        <w:spacing w:line="276" w:lineRule="auto"/>
        <w:ind w:firstLine="640" w:firstLineChars="200"/>
        <w:rPr>
          <w:rFonts w:ascii="仿宋_GB2312" w:eastAsia="仿宋_GB2312"/>
          <w:bCs/>
          <w:color w:val="000000"/>
          <w:sz w:val="32"/>
          <w:szCs w:val="32"/>
        </w:rPr>
      </w:pPr>
      <w:r>
        <w:rPr>
          <w:rFonts w:hint="eastAsia" w:ascii="仿宋_GB2312" w:eastAsia="仿宋_GB2312"/>
          <w:bCs/>
          <w:color w:val="000000"/>
          <w:sz w:val="32"/>
          <w:szCs w:val="32"/>
          <w:lang w:val="en-US" w:eastAsia="zh-CN"/>
        </w:rPr>
        <w:t>9</w:t>
      </w:r>
      <w:r>
        <w:rPr>
          <w:rFonts w:hint="eastAsia" w:ascii="仿宋_GB2312" w:eastAsia="仿宋_GB2312"/>
          <w:bCs/>
          <w:color w:val="000000"/>
          <w:sz w:val="32"/>
          <w:szCs w:val="32"/>
        </w:rPr>
        <w:t>、事业单位医疗：反映财政部门安排的事业单位基本医疗保险缴费经费，未参加医疗保险的事业单位的公费医疗经费，按国家规定享受离休人员待遇的医疗经费。</w:t>
      </w:r>
    </w:p>
    <w:p>
      <w:pPr>
        <w:spacing w:line="276" w:lineRule="auto"/>
        <w:ind w:firstLine="640" w:firstLineChars="200"/>
        <w:rPr>
          <w:rFonts w:ascii="仿宋_GB2312" w:eastAsia="仿宋_GB2312"/>
          <w:bCs/>
          <w:color w:val="000000"/>
          <w:sz w:val="32"/>
          <w:szCs w:val="32"/>
        </w:rPr>
      </w:pPr>
      <w:r>
        <w:rPr>
          <w:rFonts w:hint="eastAsia" w:ascii="仿宋_GB2312" w:eastAsia="仿宋_GB2312"/>
          <w:bCs/>
          <w:color w:val="000000"/>
          <w:sz w:val="32"/>
          <w:szCs w:val="32"/>
          <w:lang w:val="en-US" w:eastAsia="zh-CN"/>
        </w:rPr>
        <w:t>10</w:t>
      </w:r>
      <w:r>
        <w:rPr>
          <w:rFonts w:hint="eastAsia" w:ascii="仿宋_GB2312" w:eastAsia="仿宋_GB2312"/>
          <w:bCs/>
          <w:color w:val="000000"/>
          <w:sz w:val="32"/>
          <w:szCs w:val="32"/>
        </w:rPr>
        <w:t>、公务员医疗补助：指财政部门安排的公务员医疗补助经费。</w:t>
      </w:r>
    </w:p>
    <w:p>
      <w:pPr>
        <w:pStyle w:val="2"/>
        <w:ind w:firstLine="640" w:firstLineChars="200"/>
        <w:rPr>
          <w:rFonts w:hint="default"/>
          <w:sz w:val="32"/>
          <w:szCs w:val="32"/>
        </w:rPr>
      </w:pPr>
      <w:r>
        <w:rPr>
          <w:rFonts w:hint="eastAsia"/>
          <w:sz w:val="32"/>
          <w:lang w:val="en-US" w:eastAsia="zh-CN"/>
        </w:rPr>
        <w:t>11</w:t>
      </w:r>
      <w:r>
        <w:rPr>
          <w:sz w:val="32"/>
        </w:rPr>
        <w:t>、</w:t>
      </w:r>
      <w:r>
        <w:rPr>
          <w:sz w:val="32"/>
          <w:szCs w:val="32"/>
        </w:rPr>
        <w:t>教育支出(类)普通教育(款)小学教育(项)，主要用于各部门举办小学教育的支出。</w:t>
      </w:r>
    </w:p>
    <w:p>
      <w:pPr>
        <w:spacing w:line="520" w:lineRule="exact"/>
        <w:ind w:firstLine="627" w:firstLineChars="196"/>
        <w:rPr>
          <w:rFonts w:ascii="仿宋_GB2312" w:eastAsia="仿宋_GB2312"/>
          <w:color w:val="000000"/>
          <w:sz w:val="32"/>
          <w:szCs w:val="32"/>
        </w:rPr>
      </w:pPr>
      <w:r>
        <w:rPr>
          <w:rFonts w:hint="eastAsia" w:ascii="仿宋_GB2312" w:eastAsia="仿宋_GB2312"/>
          <w:color w:val="000000"/>
          <w:sz w:val="32"/>
          <w:szCs w:val="32"/>
          <w:lang w:val="en-US" w:eastAsia="zh-CN"/>
        </w:rPr>
        <w:t>12</w:t>
      </w:r>
      <w:r>
        <w:rPr>
          <w:rFonts w:ascii="仿宋_GB2312" w:eastAsia="仿宋_GB2312"/>
          <w:color w:val="000000"/>
          <w:sz w:val="32"/>
          <w:szCs w:val="32"/>
        </w:rPr>
        <w:t>、教育支出(类)普通教育(款)初中教育(项)，主要用于各部门举办初中教育的支出。</w:t>
      </w:r>
    </w:p>
    <w:p>
      <w:pPr>
        <w:spacing w:line="520" w:lineRule="exact"/>
        <w:ind w:firstLine="640" w:firstLineChars="200"/>
        <w:rPr>
          <w:rStyle w:val="9"/>
          <w:rFonts w:ascii="黑体" w:eastAsia="黑体"/>
          <w:b w:val="0"/>
          <w:color w:val="000000"/>
          <w:sz w:val="32"/>
          <w:szCs w:val="32"/>
        </w:rPr>
      </w:pPr>
      <w:r>
        <w:rPr>
          <w:rStyle w:val="9"/>
          <w:rFonts w:hint="eastAsia" w:ascii="黑体" w:eastAsia="黑体"/>
          <w:b w:val="0"/>
          <w:color w:val="000000"/>
          <w:sz w:val="32"/>
          <w:szCs w:val="32"/>
        </w:rPr>
        <w:t>四、2024年德清县洛舍镇中心学校单位预算表</w:t>
      </w:r>
    </w:p>
    <w:p>
      <w:pPr>
        <w:pStyle w:val="2"/>
      </w:pPr>
    </w:p>
    <w:p>
      <w:pPr>
        <w:spacing w:line="520" w:lineRule="exact"/>
        <w:ind w:firstLine="640" w:firstLineChars="200"/>
        <w:rPr>
          <w:rFonts w:ascii="仿宋_GB2312" w:hAnsi="仿宋_GB2312" w:eastAsia="仿宋_GB2312" w:cs="仿宋_GB2312"/>
          <w:sz w:val="32"/>
          <w:szCs w:val="32"/>
        </w:rPr>
      </w:pPr>
    </w:p>
    <w:p/>
    <w:p>
      <w:pPr>
        <w:pStyle w:val="2"/>
      </w:pPr>
    </w:p>
    <w:p>
      <w:pPr>
        <w:pStyle w:val="2"/>
      </w:pPr>
    </w:p>
    <w:p>
      <w:pPr>
        <w:pStyle w:val="2"/>
      </w:pPr>
    </w:p>
    <w:p>
      <w:pPr>
        <w:pStyle w:val="2"/>
      </w:pPr>
    </w:p>
    <w:p>
      <w:pPr>
        <w:pStyle w:val="2"/>
      </w:pPr>
    </w:p>
    <w:p>
      <w:pPr>
        <w:pStyle w:val="2"/>
      </w:pPr>
    </w:p>
    <w:p>
      <w:r>
        <w:br w:type="page"/>
      </w:r>
    </w:p>
    <w:p>
      <w:pPr>
        <w:pStyle w:val="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6"/>
          <w:cols w:space="425" w:num="1"/>
          <w:docGrid w:type="lines" w:linePitch="312" w:charSpace="0"/>
        </w:sectPr>
      </w:pPr>
    </w:p>
    <w:p>
      <w:pPr>
        <w:pStyle w:val="2"/>
      </w:pPr>
      <w:r>
        <w:object>
          <v:shape id="_x0000_i1025" o:spt="75" type="#_x0000_t75" style="height:324.2pt;width:697.75pt;" o:ole="t" filled="f" o:preferrelative="t" stroked="f" coordsize="21600,21600">
            <v:path/>
            <v:fill on="f" focussize="0,0"/>
            <v:stroke on="f"/>
            <v:imagedata r:id="rId11" o:title=""/>
            <o:lock v:ext="edit" aspectratio="f"/>
            <w10:wrap type="none"/>
            <w10:anchorlock/>
          </v:shape>
          <o:OLEObject Type="Embed" ProgID="Excel.Sheet.8" ShapeID="_x0000_i1025" DrawAspect="Content" ObjectID="_1468075725" r:id="rId10">
            <o:LockedField>false</o:LockedField>
          </o:OLEObject>
        </w:object>
      </w:r>
    </w:p>
    <w:p>
      <w:r>
        <w:br w:type="page"/>
      </w:r>
    </w:p>
    <w:p>
      <w:pPr>
        <w:pStyle w:val="2"/>
      </w:pPr>
      <w:r>
        <w:object>
          <v:shape id="_x0000_i1026" o:spt="75" type="#_x0000_t75" style="height:119.2pt;width:697.9pt;" o:ole="t" filled="f" o:preferrelative="t" stroked="f" coordsize="21600,21600">
            <v:path/>
            <v:fill on="f" focussize="0,0"/>
            <v:stroke on="f"/>
            <v:imagedata r:id="rId13" o:title=""/>
            <o:lock v:ext="edit" aspectratio="f"/>
            <w10:wrap type="none"/>
            <w10:anchorlock/>
          </v:shape>
          <o:OLEObject Type="Embed" ProgID="Excel.Sheet.8" ShapeID="_x0000_i1026" DrawAspect="Content" ObjectID="_1468075726" r:id="rId12">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27" o:spt="75" type="#_x0000_t75" style="height:351.9pt;width:697.45pt;" o:ole="t" filled="f" o:preferrelative="t" stroked="f" coordsize="21600,21600">
            <v:path/>
            <v:fill on="f" focussize="0,0"/>
            <v:stroke on="f"/>
            <v:imagedata r:id="rId15" o:title=""/>
            <o:lock v:ext="edit" aspectratio="f"/>
            <w10:wrap type="none"/>
            <w10:anchorlock/>
          </v:shape>
          <o:OLEObject Type="Embed" ProgID="Excel.Sheet.8" ShapeID="_x0000_i1027" DrawAspect="Content" ObjectID="_1468075727" r:id="rId14">
            <o:LockedField>false</o:LockedField>
          </o:OLEObject>
        </w:object>
      </w:r>
    </w:p>
    <w:p>
      <w:pPr>
        <w:pStyle w:val="2"/>
      </w:pPr>
    </w:p>
    <w:p>
      <w:pPr>
        <w:pStyle w:val="2"/>
      </w:pPr>
    </w:p>
    <w:p>
      <w:pPr>
        <w:pStyle w:val="2"/>
      </w:pPr>
    </w:p>
    <w:p>
      <w:pPr>
        <w:pStyle w:val="2"/>
      </w:pPr>
      <w:r>
        <w:object>
          <v:shape id="_x0000_i1028" o:spt="75" type="#_x0000_t75" style="height:365.95pt;width:697.75pt;" o:ole="t" filled="f" o:preferrelative="t" stroked="f" coordsize="21600,21600">
            <v:path/>
            <v:fill on="f" focussize="0,0"/>
            <v:stroke on="f"/>
            <v:imagedata r:id="rId17" o:title=""/>
            <o:lock v:ext="edit" aspectratio="f"/>
            <w10:wrap type="none"/>
            <w10:anchorlock/>
          </v:shape>
          <o:OLEObject Type="Embed" ProgID="Excel.Sheet.8" ShapeID="_x0000_i1028" DrawAspect="Content" ObjectID="_1468075728" r:id="rId16">
            <o:LockedField>false</o:LockedField>
          </o:OLEObject>
        </w:object>
      </w:r>
    </w:p>
    <w:p>
      <w:pPr>
        <w:pStyle w:val="2"/>
      </w:pPr>
    </w:p>
    <w:p>
      <w:pPr>
        <w:pStyle w:val="2"/>
      </w:pPr>
    </w:p>
    <w:p>
      <w:pPr>
        <w:pStyle w:val="2"/>
      </w:pPr>
      <w:r>
        <w:object>
          <v:shape id="_x0000_i1029" o:spt="75" type="#_x0000_t75" style="height:382pt;width:697.5pt;" o:ole="t" filled="f" o:preferrelative="t" stroked="f" coordsize="21600,21600">
            <v:path/>
            <v:fill on="f" focussize="0,0"/>
            <v:stroke on="f"/>
            <v:imagedata r:id="rId19" o:title=""/>
            <o:lock v:ext="edit" aspectratio="f"/>
            <w10:wrap type="none"/>
            <w10:anchorlock/>
          </v:shape>
          <o:OLEObject Type="Embed" ProgID="Excel.Sheet.8" ShapeID="_x0000_i1029" DrawAspect="Content" ObjectID="_1468075729" r:id="rId18">
            <o:LockedField>false</o:LockedField>
          </o:OLEObject>
        </w:object>
      </w:r>
    </w:p>
    <w:p>
      <w:pPr>
        <w:pStyle w:val="2"/>
      </w:pPr>
    </w:p>
    <w:p>
      <w:pPr>
        <w:pStyle w:val="2"/>
      </w:pPr>
    </w:p>
    <w:p>
      <w:pPr>
        <w:pStyle w:val="2"/>
      </w:pPr>
      <w:r>
        <w:object>
          <v:shape id="_x0000_i1030" o:spt="75" type="#_x0000_t75" style="height:387.65pt;width:697.9pt;" o:ole="t" filled="f" o:preferrelative="t" stroked="f" coordsize="21600,21600">
            <v:path/>
            <v:fill on="f" focussize="0,0"/>
            <v:stroke on="f"/>
            <v:imagedata r:id="rId21" o:title=""/>
            <o:lock v:ext="edit" aspectratio="f"/>
            <w10:wrap type="none"/>
            <w10:anchorlock/>
          </v:shape>
          <o:OLEObject Type="Embed" ProgID="Excel.Sheet.8" ShapeID="_x0000_i1030" DrawAspect="Content" ObjectID="_1468075730" r:id="rId20">
            <o:LockedField>false</o:LockedField>
          </o:OLEObject>
        </w:object>
      </w:r>
    </w:p>
    <w:p>
      <w:pPr>
        <w:pStyle w:val="2"/>
      </w:pPr>
    </w:p>
    <w:p>
      <w:pPr>
        <w:pStyle w:val="2"/>
      </w:pPr>
      <w:r>
        <w:object>
          <v:shape id="_x0000_i1031" o:spt="75" type="#_x0000_t75" style="height:377pt;width:697.9pt;" o:ole="t" filled="f" o:preferrelative="t" stroked="f" coordsize="21600,21600">
            <v:path/>
            <v:fill on="f" focussize="0,0"/>
            <v:stroke on="f"/>
            <v:imagedata r:id="rId23" o:title=""/>
            <o:lock v:ext="edit" aspectratio="f"/>
            <w10:wrap type="none"/>
            <w10:anchorlock/>
          </v:shape>
          <o:OLEObject Type="Embed" ProgID="Excel.Sheet.8" ShapeID="_x0000_i1031" DrawAspect="Content" ObjectID="_1468075731" r:id="rId22">
            <o:LockedField>false</o:LockedField>
          </o:OLEObject>
        </w:object>
      </w:r>
    </w:p>
    <w:p>
      <w:pPr>
        <w:pStyle w:val="2"/>
      </w:pPr>
    </w:p>
    <w:p>
      <w:pPr>
        <w:pStyle w:val="2"/>
      </w:pPr>
      <w:r>
        <w:object>
          <v:shape id="_x0000_i1032" o:spt="75" type="#_x0000_t75" style="height:209.4pt;width:627.6pt;" o:ole="t" filled="f" o:preferrelative="t" stroked="f" coordsize="21600,21600">
            <v:path/>
            <v:fill on="f" focussize="0,0"/>
            <v:stroke on="f"/>
            <v:imagedata r:id="rId25" o:title=""/>
            <o:lock v:ext="edit" aspectratio="f"/>
            <w10:wrap type="none"/>
            <w10:anchorlock/>
          </v:shape>
          <o:OLEObject Type="Embed" ProgID="Excel.Sheet.8" ShapeID="_x0000_i1032" DrawAspect="Content" ObjectID="_1468075732" r:id="rId24">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3" o:spt="75" type="#_x0000_t75" style="height:140.95pt;width:697.65pt;" o:ole="t" filled="f" o:preferrelative="t" stroked="f" coordsize="21600,21600">
            <v:path/>
            <v:fill on="f" focussize="0,0"/>
            <v:stroke on="f"/>
            <v:imagedata r:id="rId27" o:title=""/>
            <o:lock v:ext="edit" aspectratio="f"/>
            <w10:wrap type="none"/>
            <w10:anchorlock/>
          </v:shape>
          <o:OLEObject Type="Embed" ProgID="Excel.Sheet.8" ShapeID="_x0000_i1033" DrawAspect="Content" ObjectID="_1468075733" r:id="rId26">
            <o:LockedField>false</o:LockedField>
          </o:OLEObject>
        </w:object>
      </w:r>
    </w:p>
    <w:p>
      <w:pPr>
        <w:pStyle w:val="2"/>
        <w:rPr>
          <w:rFonts w:hint="default" w:eastAsia="仿宋_GB2312"/>
          <w:lang w:val="en-US" w:eastAsia="zh-CN"/>
        </w:rPr>
      </w:pPr>
      <w:r>
        <w:rPr>
          <w:rFonts w:hint="eastAsia"/>
          <w:lang w:val="en-US" w:eastAsia="zh-CN"/>
        </w:rPr>
        <w:t>德清县洛舍镇当年没有政府性基金拨款安排的支出，故本表无数据。</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4" o:spt="75" type="#_x0000_t75" style="height:117.75pt;width:697.25pt;" o:ole="t" filled="f" o:preferrelative="t" stroked="f" coordsize="21600,21600">
            <v:path/>
            <v:fill on="f" focussize="0,0"/>
            <v:stroke on="f"/>
            <v:imagedata r:id="rId29" o:title=""/>
            <o:lock v:ext="edit" aspectratio="f"/>
            <w10:wrap type="none"/>
            <w10:anchorlock/>
          </v:shape>
          <o:OLEObject Type="Embed" ProgID="Excel.Sheet.8" ShapeID="_x0000_i1034" DrawAspect="Content" ObjectID="_1468075734" r:id="rId28">
            <o:LockedField>false</o:LockedField>
          </o:OLEObject>
        </w:object>
      </w:r>
    </w:p>
    <w:p>
      <w:pPr>
        <w:pStyle w:val="2"/>
        <w:rPr>
          <w:rFonts w:hint="default" w:eastAsia="仿宋_GB2312"/>
          <w:lang w:val="en-US" w:eastAsia="zh-CN"/>
        </w:rPr>
      </w:pPr>
      <w:r>
        <w:rPr>
          <w:rFonts w:hint="eastAsia"/>
          <w:lang w:val="en-US" w:eastAsia="zh-CN"/>
        </w:rPr>
        <w:t>德清县洛舍镇当年没有国有资本经营预算拨款安排的支出，故本表无数据。</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5" o:spt="75" type="#_x0000_t75" style="height:162.5pt;width:697.75pt;" o:ole="t" filled="f" o:preferrelative="t" stroked="f" coordsize="21600,21600">
            <v:path/>
            <v:fill on="f" focussize="0,0"/>
            <v:stroke on="f"/>
            <v:imagedata r:id="rId31" o:title=""/>
            <o:lock v:ext="edit" aspectratio="f"/>
            <w10:wrap type="none"/>
            <w10:anchorlock/>
          </v:shape>
          <o:OLEObject Type="Embed" ProgID="Excel.Sheet.8" ShapeID="_x0000_i1035" DrawAspect="Content" ObjectID="_1468075735" r:id="rId30">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6" o:spt="75" type="#_x0000_t75" style="height:243.3pt;width:697.75pt;" o:ole="t" filled="f" o:preferrelative="t" stroked="f" coordsize="21600,21600">
            <v:path/>
            <v:fill on="f" focussize="0,0"/>
            <v:stroke on="f"/>
            <v:imagedata r:id="rId33" o:title=""/>
            <o:lock v:ext="edit" aspectratio="f"/>
            <w10:wrap type="none"/>
            <w10:anchorlock/>
          </v:shape>
          <o:OLEObject Type="Embed" ProgID="Excel.Sheet.8" ShapeID="_x0000_i1036" DrawAspect="Content" ObjectID="_1468075736" r:id="rId32">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bookmarkStart w:id="0" w:name="_GoBack"/>
      <w:bookmarkEnd w:id="0"/>
    </w:p>
    <w:sectPr>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abstractNum w:abstractNumId="1">
    <w:nsid w:val="68226D07"/>
    <w:multiLevelType w:val="singleLevel"/>
    <w:tmpl w:val="68226D07"/>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ZlMTU2MTUxZjg1Mjc0YzNiZGZiMTkyYjM5MWMwMTAifQ=="/>
  </w:docVars>
  <w:rsids>
    <w:rsidRoot w:val="0018453C"/>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5041B"/>
    <w:rsid w:val="00352D79"/>
    <w:rsid w:val="003533AA"/>
    <w:rsid w:val="00372A55"/>
    <w:rsid w:val="003A54FF"/>
    <w:rsid w:val="004C1A7E"/>
    <w:rsid w:val="004E07B6"/>
    <w:rsid w:val="004F65D0"/>
    <w:rsid w:val="004F6D96"/>
    <w:rsid w:val="0054517F"/>
    <w:rsid w:val="0055355B"/>
    <w:rsid w:val="00556206"/>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6362"/>
    <w:rsid w:val="00A86842"/>
    <w:rsid w:val="00AB2741"/>
    <w:rsid w:val="00B109C2"/>
    <w:rsid w:val="00B85FDA"/>
    <w:rsid w:val="00BA6311"/>
    <w:rsid w:val="00C35F38"/>
    <w:rsid w:val="00C35FDD"/>
    <w:rsid w:val="00C47BB8"/>
    <w:rsid w:val="00C50353"/>
    <w:rsid w:val="00C52D1F"/>
    <w:rsid w:val="00CC1B9F"/>
    <w:rsid w:val="00CE3F52"/>
    <w:rsid w:val="00D7617F"/>
    <w:rsid w:val="00D81B35"/>
    <w:rsid w:val="00DA6F5B"/>
    <w:rsid w:val="00DA7F84"/>
    <w:rsid w:val="00E16F71"/>
    <w:rsid w:val="00E20FB4"/>
    <w:rsid w:val="00E40834"/>
    <w:rsid w:val="00E429D8"/>
    <w:rsid w:val="00E44C58"/>
    <w:rsid w:val="00E925CD"/>
    <w:rsid w:val="00E95C9E"/>
    <w:rsid w:val="00ED0384"/>
    <w:rsid w:val="00F23B56"/>
    <w:rsid w:val="00F56A05"/>
    <w:rsid w:val="00F7116F"/>
    <w:rsid w:val="01405C62"/>
    <w:rsid w:val="01F263DB"/>
    <w:rsid w:val="01F648EB"/>
    <w:rsid w:val="020A2568"/>
    <w:rsid w:val="024C6702"/>
    <w:rsid w:val="026505B4"/>
    <w:rsid w:val="028630A1"/>
    <w:rsid w:val="02895B83"/>
    <w:rsid w:val="02FD4879"/>
    <w:rsid w:val="030513F7"/>
    <w:rsid w:val="038C7FF1"/>
    <w:rsid w:val="038E7C3D"/>
    <w:rsid w:val="03AA3E3B"/>
    <w:rsid w:val="03EA5C50"/>
    <w:rsid w:val="04600135"/>
    <w:rsid w:val="05054F3D"/>
    <w:rsid w:val="056235E1"/>
    <w:rsid w:val="05F46152"/>
    <w:rsid w:val="05F835B0"/>
    <w:rsid w:val="06113422"/>
    <w:rsid w:val="063B27DE"/>
    <w:rsid w:val="06462DE7"/>
    <w:rsid w:val="065E25EC"/>
    <w:rsid w:val="06835E42"/>
    <w:rsid w:val="07487AC1"/>
    <w:rsid w:val="07623DA7"/>
    <w:rsid w:val="081119C7"/>
    <w:rsid w:val="08DE4DFD"/>
    <w:rsid w:val="0A1D1E06"/>
    <w:rsid w:val="0A4C7CCD"/>
    <w:rsid w:val="0B0F299D"/>
    <w:rsid w:val="0B31588C"/>
    <w:rsid w:val="0B486D9D"/>
    <w:rsid w:val="0B4F52A1"/>
    <w:rsid w:val="0B652DFD"/>
    <w:rsid w:val="0B654246"/>
    <w:rsid w:val="0B9F3D21"/>
    <w:rsid w:val="0BD448F3"/>
    <w:rsid w:val="0C7B7749"/>
    <w:rsid w:val="0CBB5B5B"/>
    <w:rsid w:val="0CE2397A"/>
    <w:rsid w:val="0CEE5818"/>
    <w:rsid w:val="0D4728C2"/>
    <w:rsid w:val="0DDF3EA9"/>
    <w:rsid w:val="0DF91E0E"/>
    <w:rsid w:val="0E5034B4"/>
    <w:rsid w:val="0F0A0BC6"/>
    <w:rsid w:val="0F216C64"/>
    <w:rsid w:val="0F3E23E2"/>
    <w:rsid w:val="0F5C4EB1"/>
    <w:rsid w:val="0F760C96"/>
    <w:rsid w:val="0F8B51E9"/>
    <w:rsid w:val="106B2554"/>
    <w:rsid w:val="1085571C"/>
    <w:rsid w:val="109E3C76"/>
    <w:rsid w:val="120D40DA"/>
    <w:rsid w:val="12445622"/>
    <w:rsid w:val="12970A77"/>
    <w:rsid w:val="12D300E7"/>
    <w:rsid w:val="136B79EF"/>
    <w:rsid w:val="13811EEE"/>
    <w:rsid w:val="13FF3975"/>
    <w:rsid w:val="14861683"/>
    <w:rsid w:val="14887B46"/>
    <w:rsid w:val="14EF3497"/>
    <w:rsid w:val="150A4901"/>
    <w:rsid w:val="153C45B3"/>
    <w:rsid w:val="157947AC"/>
    <w:rsid w:val="15DB09EF"/>
    <w:rsid w:val="1650535C"/>
    <w:rsid w:val="16B75B8F"/>
    <w:rsid w:val="16FE1938"/>
    <w:rsid w:val="170C3948"/>
    <w:rsid w:val="17EC7FC1"/>
    <w:rsid w:val="17F81734"/>
    <w:rsid w:val="180061CB"/>
    <w:rsid w:val="18154C5A"/>
    <w:rsid w:val="18EF3804"/>
    <w:rsid w:val="190E00AE"/>
    <w:rsid w:val="192137DF"/>
    <w:rsid w:val="195C3A7E"/>
    <w:rsid w:val="19C60DDD"/>
    <w:rsid w:val="1A2375F0"/>
    <w:rsid w:val="1AC0275A"/>
    <w:rsid w:val="1AE500E3"/>
    <w:rsid w:val="1B1D1342"/>
    <w:rsid w:val="1B2A6629"/>
    <w:rsid w:val="1BBC2184"/>
    <w:rsid w:val="1C103D2D"/>
    <w:rsid w:val="1C1965EC"/>
    <w:rsid w:val="1C7701B9"/>
    <w:rsid w:val="1C8431EB"/>
    <w:rsid w:val="1CEA3F89"/>
    <w:rsid w:val="1CF73295"/>
    <w:rsid w:val="1D451326"/>
    <w:rsid w:val="1D5F4748"/>
    <w:rsid w:val="1D99665F"/>
    <w:rsid w:val="1E621D9B"/>
    <w:rsid w:val="1E9448CB"/>
    <w:rsid w:val="1E945AB3"/>
    <w:rsid w:val="1EFB5835"/>
    <w:rsid w:val="1F875DC8"/>
    <w:rsid w:val="1F8A1433"/>
    <w:rsid w:val="1FD94E57"/>
    <w:rsid w:val="204E1BA1"/>
    <w:rsid w:val="205247F6"/>
    <w:rsid w:val="206501BF"/>
    <w:rsid w:val="20C21B5F"/>
    <w:rsid w:val="20D8491F"/>
    <w:rsid w:val="2163103A"/>
    <w:rsid w:val="217D79B3"/>
    <w:rsid w:val="21933ED0"/>
    <w:rsid w:val="219B3B12"/>
    <w:rsid w:val="21C222F9"/>
    <w:rsid w:val="21F8300E"/>
    <w:rsid w:val="21FD7606"/>
    <w:rsid w:val="22D4227E"/>
    <w:rsid w:val="22FA27EC"/>
    <w:rsid w:val="230477A4"/>
    <w:rsid w:val="234550B7"/>
    <w:rsid w:val="2384696C"/>
    <w:rsid w:val="23B86B2D"/>
    <w:rsid w:val="23B968AE"/>
    <w:rsid w:val="240772FF"/>
    <w:rsid w:val="24183DF0"/>
    <w:rsid w:val="247778DD"/>
    <w:rsid w:val="247A77A8"/>
    <w:rsid w:val="24D6630F"/>
    <w:rsid w:val="24F84929"/>
    <w:rsid w:val="252A0A7B"/>
    <w:rsid w:val="257B506C"/>
    <w:rsid w:val="25AF42DB"/>
    <w:rsid w:val="25B348BA"/>
    <w:rsid w:val="25DE1005"/>
    <w:rsid w:val="25FD2566"/>
    <w:rsid w:val="263D13CC"/>
    <w:rsid w:val="26816946"/>
    <w:rsid w:val="26946721"/>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9041E"/>
    <w:rsid w:val="2D7C6F9A"/>
    <w:rsid w:val="2DC930E8"/>
    <w:rsid w:val="2ED263DE"/>
    <w:rsid w:val="2F312BD6"/>
    <w:rsid w:val="2F4F315F"/>
    <w:rsid w:val="2F5260FE"/>
    <w:rsid w:val="2F762E67"/>
    <w:rsid w:val="2F78760A"/>
    <w:rsid w:val="30780EC9"/>
    <w:rsid w:val="314E4A9B"/>
    <w:rsid w:val="31651329"/>
    <w:rsid w:val="318665B1"/>
    <w:rsid w:val="31C46552"/>
    <w:rsid w:val="31EC7268"/>
    <w:rsid w:val="32691E0F"/>
    <w:rsid w:val="33722AF4"/>
    <w:rsid w:val="339F6CDD"/>
    <w:rsid w:val="344952F9"/>
    <w:rsid w:val="34561A0A"/>
    <w:rsid w:val="34F20284"/>
    <w:rsid w:val="3619346A"/>
    <w:rsid w:val="366152C5"/>
    <w:rsid w:val="36AF19C0"/>
    <w:rsid w:val="37DD34EA"/>
    <w:rsid w:val="37E0514A"/>
    <w:rsid w:val="3859649B"/>
    <w:rsid w:val="386D2696"/>
    <w:rsid w:val="38A02D03"/>
    <w:rsid w:val="38CA384A"/>
    <w:rsid w:val="39227B1B"/>
    <w:rsid w:val="392F714F"/>
    <w:rsid w:val="39406911"/>
    <w:rsid w:val="39850296"/>
    <w:rsid w:val="39C26750"/>
    <w:rsid w:val="39FD2617"/>
    <w:rsid w:val="3A6A0CCC"/>
    <w:rsid w:val="3A7F1D43"/>
    <w:rsid w:val="3A8D223E"/>
    <w:rsid w:val="3B291386"/>
    <w:rsid w:val="3B563038"/>
    <w:rsid w:val="3B7A306D"/>
    <w:rsid w:val="3B80307E"/>
    <w:rsid w:val="3BCA7BD7"/>
    <w:rsid w:val="3BE41159"/>
    <w:rsid w:val="3C6C37E2"/>
    <w:rsid w:val="3C7D1C3F"/>
    <w:rsid w:val="3C822352"/>
    <w:rsid w:val="3CEA3E5A"/>
    <w:rsid w:val="3CFD6A0C"/>
    <w:rsid w:val="3DDA1E4D"/>
    <w:rsid w:val="400943B7"/>
    <w:rsid w:val="40143523"/>
    <w:rsid w:val="406B2735"/>
    <w:rsid w:val="41696777"/>
    <w:rsid w:val="4171469C"/>
    <w:rsid w:val="42C454C8"/>
    <w:rsid w:val="43482ADF"/>
    <w:rsid w:val="43497E11"/>
    <w:rsid w:val="438C52D1"/>
    <w:rsid w:val="43A45FF4"/>
    <w:rsid w:val="43AF1DC7"/>
    <w:rsid w:val="442360D8"/>
    <w:rsid w:val="44826AF1"/>
    <w:rsid w:val="450B3104"/>
    <w:rsid w:val="45374F70"/>
    <w:rsid w:val="45A32D85"/>
    <w:rsid w:val="45E922E2"/>
    <w:rsid w:val="46181B9F"/>
    <w:rsid w:val="46B73DB3"/>
    <w:rsid w:val="46B85A12"/>
    <w:rsid w:val="46C20ABF"/>
    <w:rsid w:val="471C5409"/>
    <w:rsid w:val="475E76EE"/>
    <w:rsid w:val="47B54AE2"/>
    <w:rsid w:val="484652C3"/>
    <w:rsid w:val="488713AB"/>
    <w:rsid w:val="489E735B"/>
    <w:rsid w:val="48EF215B"/>
    <w:rsid w:val="49523BA5"/>
    <w:rsid w:val="49547ADE"/>
    <w:rsid w:val="499358EA"/>
    <w:rsid w:val="49A70025"/>
    <w:rsid w:val="4A9518DB"/>
    <w:rsid w:val="4AB935E6"/>
    <w:rsid w:val="4B0A3155"/>
    <w:rsid w:val="4B1F601E"/>
    <w:rsid w:val="4B65339C"/>
    <w:rsid w:val="4BE2220E"/>
    <w:rsid w:val="4CBF2857"/>
    <w:rsid w:val="4CF82AE4"/>
    <w:rsid w:val="4D097364"/>
    <w:rsid w:val="4D41465D"/>
    <w:rsid w:val="4D667BB3"/>
    <w:rsid w:val="4D7808AB"/>
    <w:rsid w:val="4DC87963"/>
    <w:rsid w:val="4E0626FD"/>
    <w:rsid w:val="4EA45B39"/>
    <w:rsid w:val="4EDD690D"/>
    <w:rsid w:val="4EED2017"/>
    <w:rsid w:val="4F2E2211"/>
    <w:rsid w:val="4F4E78CD"/>
    <w:rsid w:val="4FA62E1E"/>
    <w:rsid w:val="4FAC0AB2"/>
    <w:rsid w:val="4FC809F8"/>
    <w:rsid w:val="4FE85961"/>
    <w:rsid w:val="50072C4D"/>
    <w:rsid w:val="50341189"/>
    <w:rsid w:val="50837233"/>
    <w:rsid w:val="50CD4459"/>
    <w:rsid w:val="514C5668"/>
    <w:rsid w:val="51513799"/>
    <w:rsid w:val="518C29B6"/>
    <w:rsid w:val="52170DB7"/>
    <w:rsid w:val="52AA23A8"/>
    <w:rsid w:val="52B7187A"/>
    <w:rsid w:val="52BF3A93"/>
    <w:rsid w:val="52E26D1E"/>
    <w:rsid w:val="53A5465B"/>
    <w:rsid w:val="53B6028C"/>
    <w:rsid w:val="54392B16"/>
    <w:rsid w:val="54442E65"/>
    <w:rsid w:val="545B2AA1"/>
    <w:rsid w:val="549B5701"/>
    <w:rsid w:val="54A9277D"/>
    <w:rsid w:val="54C40FED"/>
    <w:rsid w:val="55182E77"/>
    <w:rsid w:val="553F16B7"/>
    <w:rsid w:val="558856A9"/>
    <w:rsid w:val="55CA2A9E"/>
    <w:rsid w:val="55CA3B80"/>
    <w:rsid w:val="55E50F1B"/>
    <w:rsid w:val="565F6886"/>
    <w:rsid w:val="56BC237C"/>
    <w:rsid w:val="56CD4B4D"/>
    <w:rsid w:val="571855D2"/>
    <w:rsid w:val="5726041F"/>
    <w:rsid w:val="575C7815"/>
    <w:rsid w:val="5798381B"/>
    <w:rsid w:val="57D4447A"/>
    <w:rsid w:val="57F759F2"/>
    <w:rsid w:val="585447AE"/>
    <w:rsid w:val="58AF736D"/>
    <w:rsid w:val="58B15EE1"/>
    <w:rsid w:val="58EC4DE1"/>
    <w:rsid w:val="596B72CE"/>
    <w:rsid w:val="59B3494A"/>
    <w:rsid w:val="59E072E2"/>
    <w:rsid w:val="59EB1B1F"/>
    <w:rsid w:val="59EC6E24"/>
    <w:rsid w:val="5A0B2520"/>
    <w:rsid w:val="5A186813"/>
    <w:rsid w:val="5A3B2376"/>
    <w:rsid w:val="5A40591F"/>
    <w:rsid w:val="5A6F0692"/>
    <w:rsid w:val="5ABF2E42"/>
    <w:rsid w:val="5B586398"/>
    <w:rsid w:val="5B916903"/>
    <w:rsid w:val="5BEF472E"/>
    <w:rsid w:val="5C932202"/>
    <w:rsid w:val="5CA72002"/>
    <w:rsid w:val="5CC87E6F"/>
    <w:rsid w:val="5CD918EA"/>
    <w:rsid w:val="5D166D00"/>
    <w:rsid w:val="5D247D3D"/>
    <w:rsid w:val="5D9A37E5"/>
    <w:rsid w:val="5DAE1AC9"/>
    <w:rsid w:val="5E153AF5"/>
    <w:rsid w:val="5E8F7081"/>
    <w:rsid w:val="5F0E1E7F"/>
    <w:rsid w:val="5F112305"/>
    <w:rsid w:val="5F2767B3"/>
    <w:rsid w:val="5F61384D"/>
    <w:rsid w:val="5FE31F70"/>
    <w:rsid w:val="60045498"/>
    <w:rsid w:val="614C1844"/>
    <w:rsid w:val="61504A17"/>
    <w:rsid w:val="617A6C2D"/>
    <w:rsid w:val="618968F0"/>
    <w:rsid w:val="619E6355"/>
    <w:rsid w:val="61BD64DA"/>
    <w:rsid w:val="6215384D"/>
    <w:rsid w:val="627460EE"/>
    <w:rsid w:val="627B0635"/>
    <w:rsid w:val="62AC06BC"/>
    <w:rsid w:val="633B4987"/>
    <w:rsid w:val="63525D55"/>
    <w:rsid w:val="63F321C7"/>
    <w:rsid w:val="64C20A08"/>
    <w:rsid w:val="64F06443"/>
    <w:rsid w:val="651C3567"/>
    <w:rsid w:val="65737FB9"/>
    <w:rsid w:val="65DF5ECF"/>
    <w:rsid w:val="661D7FD4"/>
    <w:rsid w:val="665A45AE"/>
    <w:rsid w:val="66A662C4"/>
    <w:rsid w:val="66DE2D4E"/>
    <w:rsid w:val="67222B8A"/>
    <w:rsid w:val="679D182D"/>
    <w:rsid w:val="67BB6396"/>
    <w:rsid w:val="68794E30"/>
    <w:rsid w:val="687B5327"/>
    <w:rsid w:val="688621C1"/>
    <w:rsid w:val="68C15BDE"/>
    <w:rsid w:val="68C61A62"/>
    <w:rsid w:val="68DF3C2E"/>
    <w:rsid w:val="68FB7057"/>
    <w:rsid w:val="6A4F5F93"/>
    <w:rsid w:val="6AD23ACD"/>
    <w:rsid w:val="6AE706B2"/>
    <w:rsid w:val="6B103823"/>
    <w:rsid w:val="6B315A81"/>
    <w:rsid w:val="6C3F4637"/>
    <w:rsid w:val="6C9D07C7"/>
    <w:rsid w:val="6CB426A8"/>
    <w:rsid w:val="6D3835CD"/>
    <w:rsid w:val="6D9B59D3"/>
    <w:rsid w:val="6DB8732C"/>
    <w:rsid w:val="6DDF18A8"/>
    <w:rsid w:val="6E7742D5"/>
    <w:rsid w:val="6E947A29"/>
    <w:rsid w:val="6EFB1E55"/>
    <w:rsid w:val="6F4D07E7"/>
    <w:rsid w:val="6FAD1DAD"/>
    <w:rsid w:val="70187047"/>
    <w:rsid w:val="701E0D35"/>
    <w:rsid w:val="708C2BAE"/>
    <w:rsid w:val="714A12C7"/>
    <w:rsid w:val="717A54B6"/>
    <w:rsid w:val="71E47115"/>
    <w:rsid w:val="72124418"/>
    <w:rsid w:val="72BF52A3"/>
    <w:rsid w:val="733F35F9"/>
    <w:rsid w:val="73520170"/>
    <w:rsid w:val="73B32D5B"/>
    <w:rsid w:val="73DF484A"/>
    <w:rsid w:val="74906E74"/>
    <w:rsid w:val="74D2633E"/>
    <w:rsid w:val="75127B2A"/>
    <w:rsid w:val="756B70AB"/>
    <w:rsid w:val="7590142E"/>
    <w:rsid w:val="76066788"/>
    <w:rsid w:val="762D45E7"/>
    <w:rsid w:val="76432C97"/>
    <w:rsid w:val="76472E5B"/>
    <w:rsid w:val="764F12E9"/>
    <w:rsid w:val="76622032"/>
    <w:rsid w:val="76DA2B8D"/>
    <w:rsid w:val="773F1B2E"/>
    <w:rsid w:val="776141C0"/>
    <w:rsid w:val="77E71EE7"/>
    <w:rsid w:val="78403651"/>
    <w:rsid w:val="784051C1"/>
    <w:rsid w:val="789E16E5"/>
    <w:rsid w:val="78DB40C6"/>
    <w:rsid w:val="7954401D"/>
    <w:rsid w:val="79547EF1"/>
    <w:rsid w:val="79A24C96"/>
    <w:rsid w:val="79ED32F3"/>
    <w:rsid w:val="7A574C10"/>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44454"/>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qFormat/>
    <w:uiPriority w:val="0"/>
    <w:rPr>
      <w:rFonts w:ascii="宋体" w:hAnsi="宋体" w:eastAsia="宋体" w:cs="Times New Roman"/>
      <w:sz w:val="24"/>
      <w:lang w:val="zh-CN" w:eastAsia="zh-CN" w:bidi="ar-SA"/>
    </w:rPr>
  </w:style>
  <w:style w:type="paragraph" w:customStyle="1" w:styleId="14">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image" Target="media/image12.emf"/><Relationship Id="rId32" Type="http://schemas.openxmlformats.org/officeDocument/2006/relationships/oleObject" Target="embeddings/oleObject12.bin"/><Relationship Id="rId31" Type="http://schemas.openxmlformats.org/officeDocument/2006/relationships/image" Target="media/image11.emf"/><Relationship Id="rId30" Type="http://schemas.openxmlformats.org/officeDocument/2006/relationships/oleObject" Target="embeddings/oleObject11.bin"/><Relationship Id="rId3" Type="http://schemas.openxmlformats.org/officeDocument/2006/relationships/header" Target="header1.xml"/><Relationship Id="rId29" Type="http://schemas.openxmlformats.org/officeDocument/2006/relationships/image" Target="media/image10.emf"/><Relationship Id="rId28" Type="http://schemas.openxmlformats.org/officeDocument/2006/relationships/oleObject" Target="embeddings/oleObject10.bin"/><Relationship Id="rId27" Type="http://schemas.openxmlformats.org/officeDocument/2006/relationships/image" Target="media/image9.emf"/><Relationship Id="rId26" Type="http://schemas.openxmlformats.org/officeDocument/2006/relationships/oleObject" Target="embeddings/oleObject9.bin"/><Relationship Id="rId25" Type="http://schemas.openxmlformats.org/officeDocument/2006/relationships/image" Target="media/image8.emf"/><Relationship Id="rId24" Type="http://schemas.openxmlformats.org/officeDocument/2006/relationships/oleObject" Target="embeddings/oleObject8.bin"/><Relationship Id="rId23" Type="http://schemas.openxmlformats.org/officeDocument/2006/relationships/image" Target="media/image7.emf"/><Relationship Id="rId22" Type="http://schemas.openxmlformats.org/officeDocument/2006/relationships/oleObject" Target="embeddings/oleObject7.bin"/><Relationship Id="rId21" Type="http://schemas.openxmlformats.org/officeDocument/2006/relationships/image" Target="media/image6.e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5.emf"/><Relationship Id="rId18" Type="http://schemas.openxmlformats.org/officeDocument/2006/relationships/oleObject" Target="embeddings/oleObject5.bin"/><Relationship Id="rId17" Type="http://schemas.openxmlformats.org/officeDocument/2006/relationships/image" Target="media/image4.emf"/><Relationship Id="rId16" Type="http://schemas.openxmlformats.org/officeDocument/2006/relationships/oleObject" Target="embeddings/oleObject4.bin"/><Relationship Id="rId15" Type="http://schemas.openxmlformats.org/officeDocument/2006/relationships/image" Target="media/image3.emf"/><Relationship Id="rId14" Type="http://schemas.openxmlformats.org/officeDocument/2006/relationships/oleObject" Target="embeddings/oleObject3.bin"/><Relationship Id="rId13" Type="http://schemas.openxmlformats.org/officeDocument/2006/relationships/image" Target="media/image2.emf"/><Relationship Id="rId12" Type="http://schemas.openxmlformats.org/officeDocument/2006/relationships/oleObject" Target="embeddings/oleObject2.bin"/><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xc</Company>
  <Pages>19</Pages>
  <Words>9627</Words>
  <Characters>17492</Characters>
  <Lines>145</Lines>
  <Paragraphs>54</Paragraphs>
  <TotalTime>1</TotalTime>
  <ScaleCrop>false</ScaleCrop>
  <LinksUpToDate>false</LinksUpToDate>
  <CharactersWithSpaces>27065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2020-01-06T08:45:00Z</dcterms:created>
  <dc:creator>dsx</dc:creator>
  <cp:lastModifiedBy>Administrator</cp:lastModifiedBy>
  <dcterms:modified xsi:type="dcterms:W3CDTF">2024-03-11T12:53:11Z</dcterms:modified>
  <dc:title>关于2019年部门预算的批复</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