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fldChar w:fldCharType="begin"/>
      </w:r>
      <w:r>
        <w:rPr>
          <w:rFonts w:hint="eastAsia" w:ascii="方正小标宋简体" w:hAnsi="方正小标宋简体" w:eastAsia="方正小标宋简体" w:cs="方正小标宋简体"/>
          <w:bCs/>
          <w:spacing w:val="15"/>
          <w:sz w:val="44"/>
          <w:szCs w:val="44"/>
        </w:rPr>
        <w:instrText xml:space="preserve">MERGEFIELD ${page855778723.ds388518707_V_RPT_BAS_AGENCY_INFO_NAME}</w:instrText>
      </w:r>
      <w:r>
        <w:rPr>
          <w:rFonts w:ascii="方正小标宋简体" w:hAnsi="方正小标宋简体" w:eastAsia="方正小标宋简体" w:cs="方正小标宋简体"/>
          <w:bCs/>
          <w:spacing w:val="15"/>
          <w:sz w:val="44"/>
          <w:szCs w:val="44"/>
        </w:rPr>
        <w:fldChar w:fldCharType="separate"/>
      </w:r>
      <w:r>
        <w:rPr>
          <w:rFonts w:hint="eastAsia" w:ascii="方正小标宋简体" w:hAnsi="方正小标宋简体" w:eastAsia="方正小标宋简体" w:cs="方正小标宋简体"/>
          <w:bCs/>
          <w:spacing w:val="15"/>
          <w:sz w:val="44"/>
          <w:szCs w:val="44"/>
        </w:rPr>
        <w:t>德清县上柏小学</w:t>
      </w:r>
      <w:r>
        <w:fldChar w:fldCharType="end"/>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10"/>
          <w:color w:val="000000"/>
          <w:sz w:val="30"/>
          <w:szCs w:val="30"/>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r>
        <w:rPr>
          <w:rStyle w:val="10"/>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w:t>
      </w:r>
      <w:r>
        <w:rPr>
          <w:rStyle w:val="10"/>
          <w:rFonts w:hint="eastAsia" w:ascii="黑体" w:eastAsia="黑体"/>
          <w:b w:val="0"/>
          <w:color w:val="000000"/>
          <w:sz w:val="32"/>
          <w:szCs w:val="32"/>
        </w:rPr>
        <w:t>部门概况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（二）部门机构设置情况</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二、2024年</w:t>
      </w:r>
      <w:r>
        <w:rPr>
          <w:rStyle w:val="10"/>
          <w:rFonts w:ascii="黑体" w:eastAsia="黑体"/>
          <w:b w:val="0"/>
          <w:color w:val="000000"/>
          <w:sz w:val="32"/>
          <w:szCs w:val="32"/>
        </w:rPr>
        <w:fldChar w:fldCharType="begin"/>
      </w:r>
      <w:r>
        <w:rPr>
          <w:rStyle w:val="10"/>
          <w:rFonts w:hint="eastAsia" w:ascii="黑体" w:eastAsia="黑体"/>
          <w:b w:val="0"/>
          <w:color w:val="000000"/>
          <w:sz w:val="32"/>
          <w:szCs w:val="32"/>
        </w:rPr>
        <w:instrText xml:space="preserve">MERGEFIELD ${page855778723.ds388518707_V_RPT_BAS_AGENCY_INFO_NAME}</w:instrText>
      </w:r>
      <w:r>
        <w:rPr>
          <w:rStyle w:val="10"/>
          <w:rFonts w:ascii="黑体" w:eastAsia="黑体"/>
          <w:b w:val="0"/>
          <w:color w:val="000000"/>
          <w:sz w:val="32"/>
          <w:szCs w:val="32"/>
        </w:rPr>
        <w:fldChar w:fldCharType="separate"/>
      </w:r>
      <w:r>
        <w:rPr>
          <w:rStyle w:val="10"/>
          <w:rFonts w:hint="eastAsia" w:ascii="黑体" w:eastAsia="黑体"/>
          <w:b w:val="0"/>
          <w:color w:val="000000"/>
          <w:sz w:val="32"/>
          <w:szCs w:val="32"/>
        </w:rPr>
        <w:t>德清县上柏小学</w:t>
      </w:r>
      <w:r>
        <w:fldChar w:fldCharType="end"/>
      </w:r>
      <w:r>
        <w:rPr>
          <w:rStyle w:val="10"/>
          <w:rFonts w:hint="eastAsia" w:ascii="黑体" w:eastAsia="黑体"/>
          <w:b w:val="0"/>
          <w:color w:val="000000"/>
          <w:sz w:val="32"/>
          <w:szCs w:val="32"/>
        </w:rPr>
        <w:t>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德清县上柏小学</w:t>
      </w:r>
      <w:r>
        <w:fldChar w:fldCharType="end"/>
      </w:r>
      <w:r>
        <w:rPr>
          <w:rFonts w:hint="eastAsia" w:ascii="楷体_GB2312" w:hAnsi="楷体_GB2312" w:eastAsia="楷体_GB2312" w:cs="楷体_GB2312"/>
          <w:bCs/>
          <w:sz w:val="32"/>
          <w:szCs w:val="32"/>
        </w:rPr>
        <w:t>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6"/>
        <w:spacing w:line="520" w:lineRule="exact"/>
        <w:rPr>
          <w:rStyle w:val="10"/>
          <w:rFonts w:ascii="黑体" w:hAnsi="Calibri" w:eastAsia="黑体"/>
          <w:b w:val="0"/>
          <w:color w:val="000000"/>
          <w:kern w:val="2"/>
          <w:sz w:val="32"/>
          <w:szCs w:val="32"/>
        </w:rPr>
      </w:pPr>
      <w:r>
        <w:rPr>
          <w:rStyle w:val="10"/>
          <w:rFonts w:hint="eastAsia" w:ascii="黑体" w:hAnsi="Calibri" w:eastAsia="黑体"/>
          <w:b w:val="0"/>
          <w:color w:val="000000"/>
          <w:kern w:val="2"/>
          <w:sz w:val="32"/>
          <w:szCs w:val="32"/>
        </w:rPr>
        <w:t>三、名词解释</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四、2024年</w:t>
      </w:r>
      <w:r>
        <w:rPr>
          <w:rStyle w:val="10"/>
          <w:rFonts w:ascii="黑体" w:eastAsia="黑体"/>
          <w:b w:val="0"/>
          <w:color w:val="000000"/>
          <w:sz w:val="32"/>
          <w:szCs w:val="32"/>
        </w:rPr>
        <w:fldChar w:fldCharType="begin"/>
      </w:r>
      <w:r>
        <w:rPr>
          <w:rStyle w:val="10"/>
          <w:rFonts w:hint="eastAsia" w:ascii="黑体" w:eastAsia="黑体"/>
          <w:b w:val="0"/>
          <w:color w:val="000000"/>
          <w:sz w:val="32"/>
          <w:szCs w:val="32"/>
        </w:rPr>
        <w:instrText xml:space="preserve">MERGEFIELD ${page855778723.ds388518707_V_RPT_BAS_AGENCY_INFO_NAME}</w:instrText>
      </w:r>
      <w:r>
        <w:rPr>
          <w:rStyle w:val="10"/>
          <w:rFonts w:ascii="黑体" w:eastAsia="黑体"/>
          <w:b w:val="0"/>
          <w:color w:val="000000"/>
          <w:sz w:val="32"/>
          <w:szCs w:val="32"/>
        </w:rPr>
        <w:fldChar w:fldCharType="separate"/>
      </w:r>
      <w:r>
        <w:rPr>
          <w:rStyle w:val="10"/>
          <w:rFonts w:hint="eastAsia" w:ascii="黑体" w:eastAsia="黑体"/>
          <w:b w:val="0"/>
          <w:color w:val="000000"/>
          <w:sz w:val="32"/>
          <w:szCs w:val="32"/>
        </w:rPr>
        <w:t>德清县上柏小学</w:t>
      </w:r>
      <w:r>
        <w:fldChar w:fldCharType="end"/>
      </w:r>
      <w:r>
        <w:rPr>
          <w:rStyle w:val="10"/>
          <w:rFonts w:hint="eastAsia" w:ascii="黑体" w:eastAsia="黑体"/>
          <w:b w:val="0"/>
          <w:color w:val="000000"/>
          <w:sz w:val="32"/>
          <w:szCs w:val="32"/>
        </w:rPr>
        <w:t>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（一）2024年县级单位收支预算总表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（二）2024年县级单位收入预算总表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（三）2024年县级单位支出预算总表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（四）2024年县级单位财政拨款收支预算总表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（五）2024年县级单位一般公共预算支出表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（六）2024年县级单位一般公共预算基本支出表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（七）2024年县级单位一般公共预算“三公”经费支出表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（八）2024年县级单位政府性基金预算支出表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（九）2024年县级单位国有资本经营预算支出表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（十）2024年县级单位项目支出预算表</w:t>
      </w:r>
    </w:p>
    <w:p>
      <w:pPr>
        <w:spacing w:line="520" w:lineRule="exact"/>
        <w:ind w:firstLine="627" w:firstLineChars="196"/>
        <w:rPr>
          <w:rStyle w:val="10"/>
          <w:rFonts w:ascii="黑体" w:eastAsia="黑体"/>
          <w:b w:val="0"/>
          <w:color w:val="00000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tabs>
          <w:tab w:val="left" w:pos="2608"/>
        </w:tabs>
        <w:rPr>
          <w:rStyle w:val="10"/>
          <w:rFonts w:hint="default" w:ascii="黑体" w:eastAsia="黑体"/>
          <w:b w:val="0"/>
          <w:sz w:val="32"/>
          <w:szCs w:val="32"/>
        </w:rPr>
      </w:pPr>
      <w:r>
        <w:rPr>
          <w:rStyle w:val="10"/>
          <w:rFonts w:ascii="黑体" w:eastAsia="黑体"/>
          <w:b w:val="0"/>
          <w:sz w:val="32"/>
          <w:szCs w:val="32"/>
        </w:rPr>
        <w:tab/>
      </w:r>
    </w:p>
    <w:p>
      <w:pPr>
        <w:spacing w:line="520" w:lineRule="exact"/>
        <w:ind w:firstLine="640" w:firstLineChars="200"/>
        <w:rPr>
          <w:rStyle w:val="10"/>
          <w:rFonts w:ascii="黑体" w:eastAsia="黑体"/>
          <w:b w:val="0"/>
          <w:color w:val="000000"/>
          <w:sz w:val="32"/>
          <w:szCs w:val="32"/>
        </w:rPr>
      </w:pPr>
      <w:r>
        <w:rPr>
          <w:rStyle w:val="10"/>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276" w:lineRule="auto"/>
        <w:ind w:firstLine="627" w:firstLineChars="196"/>
        <w:rPr>
          <w:rFonts w:ascii="仿宋_GB2312" w:eastAsia="仿宋_GB2312"/>
          <w:bCs/>
          <w:sz w:val="32"/>
          <w:szCs w:val="32"/>
        </w:rPr>
      </w:pPr>
      <w:r>
        <w:rPr>
          <w:rFonts w:hint="eastAsia" w:ascii="仿宋_GB2312" w:eastAsia="仿宋_GB2312"/>
          <w:bCs/>
          <w:sz w:val="32"/>
          <w:szCs w:val="32"/>
        </w:rPr>
        <w:t>1、实施小学义务制教育。</w:t>
      </w:r>
    </w:p>
    <w:p>
      <w:pPr>
        <w:spacing w:line="276" w:lineRule="auto"/>
        <w:ind w:firstLine="627" w:firstLineChars="196"/>
        <w:rPr>
          <w:rFonts w:ascii="仿宋_GB2312" w:eastAsia="仿宋_GB2312"/>
          <w:bCs/>
          <w:sz w:val="32"/>
          <w:szCs w:val="32"/>
        </w:rPr>
      </w:pPr>
      <w:r>
        <w:rPr>
          <w:rFonts w:hint="eastAsia" w:ascii="仿宋_GB2312" w:eastAsia="仿宋_GB2312"/>
          <w:bCs/>
          <w:sz w:val="32"/>
          <w:szCs w:val="32"/>
        </w:rPr>
        <w:t>2、促进基础教育发展，保证教育教学质量。</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从预算单位构成看，德清县</w:t>
      </w:r>
      <w:r>
        <w:rPr>
          <w:rFonts w:ascii="仿宋_GB2312" w:eastAsia="仿宋_GB2312"/>
          <w:bCs/>
          <w:sz w:val="32"/>
          <w:szCs w:val="32"/>
        </w:rPr>
        <w:t>上柏小学</w:t>
      </w:r>
      <w:r>
        <w:rPr>
          <w:rFonts w:hint="eastAsia" w:ascii="仿宋_GB2312" w:eastAsia="仿宋_GB2312"/>
          <w:bCs/>
          <w:sz w:val="32"/>
          <w:szCs w:val="32"/>
        </w:rPr>
        <w:t>预算包括：本单位预算。</w:t>
      </w:r>
    </w:p>
    <w:p>
      <w:pPr>
        <w:spacing w:line="520" w:lineRule="exact"/>
        <w:ind w:firstLine="640" w:firstLineChars="200"/>
        <w:rPr>
          <w:rStyle w:val="10"/>
          <w:rFonts w:ascii="楷体_GB2312" w:hAnsi="楷体_GB2312" w:eastAsia="楷体_GB2312" w:cs="楷体_GB2312"/>
          <w:b w:val="0"/>
          <w:bCs w:val="0"/>
          <w:color w:val="000000"/>
          <w:sz w:val="32"/>
          <w:szCs w:val="32"/>
        </w:rPr>
      </w:pPr>
      <w:r>
        <w:rPr>
          <w:rStyle w:val="10"/>
          <w:rFonts w:hint="eastAsia" w:ascii="黑体" w:eastAsia="黑体"/>
          <w:b w:val="0"/>
          <w:color w:val="000000"/>
          <w:sz w:val="32"/>
          <w:szCs w:val="32"/>
        </w:rPr>
        <w:t>二、2024年</w:t>
      </w:r>
      <w:r>
        <w:rPr>
          <w:rStyle w:val="10"/>
          <w:rFonts w:ascii="黑体" w:eastAsia="黑体"/>
          <w:b w:val="0"/>
          <w:color w:val="000000"/>
          <w:sz w:val="32"/>
          <w:szCs w:val="32"/>
        </w:rPr>
        <w:fldChar w:fldCharType="begin"/>
      </w:r>
      <w:r>
        <w:rPr>
          <w:rStyle w:val="10"/>
          <w:rFonts w:hint="eastAsia" w:ascii="黑体" w:eastAsia="黑体"/>
          <w:b w:val="0"/>
          <w:color w:val="000000"/>
          <w:sz w:val="32"/>
          <w:szCs w:val="32"/>
        </w:rPr>
        <w:instrText xml:space="preserve">MERGEFIELD ${page855778723.ds388518707_V_RPT_BAS_AGENCY_INFO_NAME}</w:instrText>
      </w:r>
      <w:r>
        <w:rPr>
          <w:rStyle w:val="10"/>
          <w:rFonts w:ascii="黑体" w:eastAsia="黑体"/>
          <w:b w:val="0"/>
          <w:color w:val="000000"/>
          <w:sz w:val="32"/>
          <w:szCs w:val="32"/>
        </w:rPr>
        <w:fldChar w:fldCharType="separate"/>
      </w:r>
      <w:r>
        <w:rPr>
          <w:rStyle w:val="10"/>
          <w:rFonts w:hint="eastAsia" w:ascii="黑体" w:eastAsia="黑体"/>
          <w:b w:val="0"/>
          <w:color w:val="000000"/>
          <w:sz w:val="32"/>
          <w:szCs w:val="32"/>
        </w:rPr>
        <w:t>德清县上柏小学</w:t>
      </w:r>
      <w:r>
        <w:fldChar w:fldCharType="end"/>
      </w:r>
      <w:r>
        <w:rPr>
          <w:rStyle w:val="10"/>
          <w:rFonts w:hint="eastAsia" w:ascii="黑体" w:eastAsia="黑体"/>
          <w:b w:val="0"/>
          <w:color w:val="000000"/>
          <w:sz w:val="32"/>
          <w:szCs w:val="32"/>
        </w:rPr>
        <w:t>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w:t>
      </w:r>
      <w:r>
        <w:rPr>
          <w:rFonts w:ascii="楷体_GB2312" w:hAnsi="楷体_GB2312" w:eastAsia="楷体_GB2312" w:cs="楷体_GB2312"/>
          <w:color w:val="000000"/>
          <w:sz w:val="32"/>
          <w:szCs w:val="32"/>
        </w:rPr>
        <w:fldChar w:fldCharType="begin"/>
      </w:r>
      <w:r>
        <w:rPr>
          <w:rFonts w:hint="eastAsia" w:ascii="楷体_GB2312" w:hAnsi="楷体_GB2312" w:eastAsia="楷体_GB2312" w:cs="楷体_GB2312"/>
          <w:color w:val="000000"/>
          <w:sz w:val="32"/>
          <w:szCs w:val="32"/>
        </w:rPr>
        <w:instrText xml:space="preserve">MERGEFIELD ${page855778723.ds388518707_V_RPT_BAS_AGENCY_INFO_NAME}</w:instrText>
      </w:r>
      <w:r>
        <w:rPr>
          <w:rFonts w:ascii="楷体_GB2312" w:hAnsi="楷体_GB2312" w:eastAsia="楷体_GB2312" w:cs="楷体_GB2312"/>
          <w:color w:val="000000"/>
          <w:sz w:val="32"/>
          <w:szCs w:val="32"/>
        </w:rPr>
        <w:fldChar w:fldCharType="separate"/>
      </w:r>
      <w:r>
        <w:rPr>
          <w:rFonts w:hint="eastAsia" w:ascii="楷体_GB2312" w:hAnsi="楷体_GB2312" w:eastAsia="楷体_GB2312" w:cs="楷体_GB2312"/>
          <w:color w:val="000000"/>
          <w:sz w:val="32"/>
          <w:szCs w:val="32"/>
        </w:rPr>
        <w:t>德清县上柏小学</w:t>
      </w:r>
      <w:r>
        <w:fldChar w:fldCharType="end"/>
      </w:r>
      <w:r>
        <w:rPr>
          <w:rStyle w:val="10"/>
          <w:rFonts w:hint="eastAsia" w:ascii="楷体_GB2312" w:hAnsi="楷体_GB2312" w:eastAsia="楷体_GB2312" w:cs="楷体_GB2312"/>
          <w:b w:val="0"/>
          <w:bCs w:val="0"/>
          <w:color w:val="000000"/>
          <w:sz w:val="32"/>
          <w:szCs w:val="32"/>
        </w:rPr>
        <w:t>2024年收支预算情况的总体说明</w:t>
      </w:r>
    </w:p>
    <w:p>
      <w:pPr>
        <w:pStyle w:val="2"/>
        <w:ind w:firstLine="640" w:firstLineChars="200"/>
        <w:rPr>
          <w:rFonts w:hint="default"/>
        </w:rPr>
      </w:pPr>
      <w:r>
        <w:rPr>
          <w:bCs/>
          <w:sz w:val="32"/>
          <w:szCs w:val="32"/>
        </w:rPr>
        <w:t>按照综合预算的原则，德清县上柏小学</w:t>
      </w:r>
      <w:r>
        <w:rPr>
          <w:sz w:val="32"/>
          <w:szCs w:val="32"/>
        </w:rPr>
        <w:t>所有收入和支出均纳入部门预算管理。收入包括：一般公共预算拨款收入、财政专户管理资金收入、上级补助收入；支出包括：教育支出、卫生健康支出。德清县上柏小学2024年收支总预算2087.05万元。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德清县上柏小学</w:t>
      </w:r>
      <w:r>
        <w:fldChar w:fldCharType="end"/>
      </w:r>
      <w:r>
        <w:rPr>
          <w:rFonts w:hint="eastAsia" w:ascii="楷体_GB2312" w:hAnsi="楷体_GB2312" w:eastAsia="楷体_GB2312" w:cs="楷体_GB2312"/>
          <w:bCs/>
          <w:color w:val="000000"/>
          <w:sz w:val="32"/>
          <w:szCs w:val="32"/>
        </w:rPr>
        <w:t>2024年收入预算情况说明</w:t>
      </w:r>
    </w:p>
    <w:p>
      <w:pPr>
        <w:spacing w:line="520" w:lineRule="exact"/>
        <w:ind w:firstLine="642"/>
        <w:rPr>
          <w:rFonts w:ascii="仿宋_GB2312" w:eastAsia="仿宋_GB2312"/>
          <w:color w:val="000000"/>
          <w:sz w:val="32"/>
          <w:szCs w:val="32"/>
          <w:highlight w:val="yellow"/>
        </w:rPr>
      </w:pPr>
      <w:r>
        <w:rPr>
          <w:rFonts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德清县上柏小学</w:t>
      </w:r>
      <w:r>
        <w:fldChar w:fldCharType="end"/>
      </w:r>
      <w:r>
        <w:rPr>
          <w:rFonts w:hint="eastAsia" w:ascii="仿宋_GB2312" w:hAnsi="仿宋_GB2312" w:eastAsia="仿宋_GB2312" w:cs="仿宋_GB2312"/>
          <w:color w:val="000000"/>
          <w:sz w:val="32"/>
          <w:szCs w:val="32"/>
        </w:rPr>
        <w:t>2024年收入预算2087.05万元，比上年执行数增加109.91万元，增长</w:t>
      </w:r>
      <w:r>
        <w:rPr>
          <w:rFonts w:hint="eastAsia" w:ascii="仿宋_GB2312" w:hAnsi="仿宋_GB2312" w:eastAsia="仿宋_GB2312" w:cs="仿宋_GB2312"/>
          <w:color w:val="000000"/>
          <w:sz w:val="32"/>
        </w:rPr>
        <w:t>5.6%，</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工资调标，社保调增</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highlight w:val="yellow"/>
        </w:rPr>
      </w:pPr>
      <w:r>
        <w:rPr>
          <w:rFonts w:hint="eastAsia" w:ascii="仿宋_GB2312" w:eastAsia="仿宋_GB2312"/>
          <w:color w:val="000000"/>
          <w:sz w:val="32"/>
          <w:szCs w:val="32"/>
        </w:rPr>
        <w:t>其中：一般公共预算拨款收入1967.84万元，占94.3%；专户资金115.01万元，占5.5%；其他收入4.2万元，占0.2% 。</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德清县上柏小学</w:t>
      </w:r>
      <w:r>
        <w:fldChar w:fldCharType="end"/>
      </w:r>
      <w:r>
        <w:rPr>
          <w:rFonts w:hint="eastAsia" w:ascii="楷体_GB2312" w:hAnsi="楷体_GB2312" w:eastAsia="楷体_GB2312" w:cs="楷体_GB2312"/>
          <w:bCs/>
          <w:color w:val="000000"/>
          <w:sz w:val="32"/>
          <w:szCs w:val="32"/>
        </w:rPr>
        <w:t>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德清县上柏小学</w:t>
      </w:r>
      <w:r>
        <w:fldChar w:fldCharType="end"/>
      </w:r>
      <w:r>
        <w:rPr>
          <w:rFonts w:hint="eastAsia" w:ascii="仿宋_GB2312" w:hAnsi="仿宋_GB2312" w:eastAsia="仿宋_GB2312" w:cs="仿宋_GB2312"/>
          <w:color w:val="000000"/>
          <w:sz w:val="32"/>
          <w:szCs w:val="32"/>
        </w:rPr>
        <w:t>2024年支出预算2087.05万元，比上年执行数</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rPr>
        <w:t>109.91万元，</w:t>
      </w:r>
      <w:r>
        <w:rPr>
          <w:rFonts w:hint="eastAsia" w:ascii="仿宋_GB2312" w:hAnsi="仿宋_GB2312" w:eastAsia="仿宋_GB2312" w:cs="仿宋_GB2312"/>
          <w:color w:val="000000"/>
          <w:sz w:val="32"/>
        </w:rPr>
        <w:t>增长5.6%，</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工资调标，社保调增</w:t>
      </w:r>
      <w:r>
        <w:rPr>
          <w:rFonts w:hint="eastAsia" w:ascii="仿宋_GB2312" w:hAnsi="仿宋_GB2312" w:eastAsia="仿宋_GB2312" w:cs="仿宋_GB2312"/>
          <w:color w:val="000000"/>
          <w:sz w:val="32"/>
          <w:szCs w:val="32"/>
          <w:highlight w:val="none"/>
        </w:rPr>
        <w:t>。</w:t>
      </w:r>
      <w:bookmarkStart w:id="0" w:name="_GoBack"/>
      <w:bookmarkEnd w:id="0"/>
    </w:p>
    <w:p>
      <w:pPr>
        <w:spacing w:line="520" w:lineRule="exact"/>
        <w:ind w:firstLine="642"/>
        <w:rPr>
          <w:rFonts w:ascii="仿宋_GB2312" w:eastAsia="仿宋_GB2312"/>
          <w:color w:val="000000"/>
          <w:sz w:val="32"/>
          <w:szCs w:val="32"/>
          <w:highlight w:val="yellow"/>
        </w:rPr>
      </w:pP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1.按支出功能分类，教育支出1687.06万元、社会保障和就业支出300.29万元、卫生健康支出99.7万元。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2.按支出用途分类，包括人员支出1888.29万元，占90.5%；日常公用支出141.84万元，占6.8%；项目支出56.92万元，占2.7% 。</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结转下年</w:t>
      </w: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${page855778723.ds388518707_V_REP_BGT_DEP_INCOME_JZXN}</w:instrText>
      </w:r>
      <w:r>
        <w:rPr>
          <w:rFonts w:ascii="仿宋_GB2312" w:eastAsia="仿宋_GB2312"/>
          <w:color w:val="000000"/>
          <w:sz w:val="32"/>
          <w:szCs w:val="32"/>
        </w:rPr>
        <w:fldChar w:fldCharType="separate"/>
      </w:r>
      <w:r>
        <w:rPr>
          <w:rFonts w:hint="eastAsia" w:ascii="仿宋_GB2312" w:eastAsia="仿宋_GB2312"/>
          <w:color w:val="000000"/>
          <w:sz w:val="32"/>
          <w:szCs w:val="32"/>
        </w:rPr>
        <w:t>0.00</w:t>
      </w:r>
      <w:r>
        <w:fldChar w:fldCharType="end"/>
      </w:r>
      <w:r>
        <w:rPr>
          <w:rFonts w:hint="eastAsia" w:ascii="仿宋_GB2312" w:eastAsia="仿宋_GB2312"/>
          <w:color w:val="000000"/>
          <w:sz w:val="32"/>
          <w:szCs w:val="32"/>
        </w:rPr>
        <w:t>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德清县上柏小学</w:t>
      </w:r>
      <w:r>
        <w:fldChar w:fldCharType="end"/>
      </w:r>
      <w:r>
        <w:rPr>
          <w:rFonts w:hint="eastAsia" w:ascii="楷体_GB2312" w:hAnsi="楷体_GB2312" w:eastAsia="楷体_GB2312" w:cs="楷体_GB2312"/>
          <w:bCs/>
          <w:color w:val="000000"/>
          <w:sz w:val="32"/>
          <w:szCs w:val="32"/>
        </w:rPr>
        <w:t>2024年财政拨款收支预算情况的总体说明</w:t>
      </w:r>
    </w:p>
    <w:p>
      <w:pPr>
        <w:spacing w:line="520" w:lineRule="exact"/>
        <w:ind w:firstLine="640"/>
        <w:rPr>
          <w:rFonts w:ascii="仿宋_GB2312" w:eastAsia="仿宋_GB2312"/>
          <w:color w:val="000000"/>
          <w:sz w:val="32"/>
          <w:szCs w:val="32"/>
        </w:rPr>
      </w:pP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ascii="仿宋_GB2312" w:eastAsia="仿宋_GB2312"/>
          <w:color w:val="000000"/>
          <w:sz w:val="32"/>
          <w:szCs w:val="32"/>
        </w:rPr>
        <w:fldChar w:fldCharType="separate"/>
      </w:r>
      <w:r>
        <w:rPr>
          <w:rFonts w:hint="eastAsia" w:ascii="仿宋_GB2312" w:eastAsia="仿宋_GB2312"/>
          <w:color w:val="000000"/>
          <w:sz w:val="32"/>
          <w:szCs w:val="32"/>
        </w:rPr>
        <w:t>德清县上柏小学</w:t>
      </w:r>
      <w:r>
        <w:fldChar w:fldCharType="end"/>
      </w:r>
      <w:r>
        <w:rPr>
          <w:rFonts w:hint="eastAsia" w:ascii="仿宋_GB2312" w:eastAsia="仿宋_GB2312"/>
          <w:color w:val="000000"/>
          <w:sz w:val="32"/>
          <w:szCs w:val="32"/>
        </w:rPr>
        <w:t>2024年财政拨款收支总预算1967.84万元。收入包括：一般公共预算1967.84万元；支出包括：教育支出1597.85万元、社会保障和就业支出300.29万元、卫生健康支出99.7万元。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德清县上柏小学</w:t>
      </w:r>
      <w:r>
        <w:fldChar w:fldCharType="end"/>
      </w:r>
      <w:r>
        <w:rPr>
          <w:rFonts w:hint="eastAsia" w:ascii="楷体_GB2312" w:hAnsi="楷体_GB2312" w:eastAsia="楷体_GB2312" w:cs="楷体_GB2312"/>
          <w:bCs/>
          <w:color w:val="000000"/>
          <w:sz w:val="32"/>
          <w:szCs w:val="32"/>
        </w:rPr>
        <w:t>2024年一般公共预算当年拨款情况说明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1.一般公共预算当年拨款规模变化情况。</w:t>
      </w:r>
    </w:p>
    <w:p>
      <w:pPr>
        <w:spacing w:line="520" w:lineRule="exact"/>
        <w:ind w:firstLine="642"/>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德清县上柏小学</w:t>
      </w:r>
      <w:r>
        <w:fldChar w:fldCharType="end"/>
      </w:r>
      <w:r>
        <w:rPr>
          <w:rFonts w:hint="eastAsia" w:ascii="仿宋_GB2312" w:hAnsi="仿宋_GB2312" w:eastAsia="仿宋_GB2312" w:cs="仿宋_GB2312"/>
          <w:color w:val="000000"/>
          <w:sz w:val="32"/>
          <w:szCs w:val="32"/>
        </w:rPr>
        <w:t>2024年一般公共预算当年拨款</w:t>
      </w:r>
      <w:r>
        <w:rPr>
          <w:rFonts w:hint="eastAsia" w:ascii="仿宋_GB2312" w:hAnsi="仿宋_GB2312" w:eastAsia="仿宋_GB2312" w:cs="仿宋_GB2312"/>
          <w:bCs/>
          <w:color w:val="000000"/>
          <w:sz w:val="32"/>
          <w:szCs w:val="32"/>
        </w:rPr>
        <w:t>1967.84</w:t>
      </w:r>
      <w:r>
        <w:rPr>
          <w:rFonts w:hint="eastAsia" w:ascii="仿宋_GB2312" w:hAnsi="仿宋_GB2312" w:eastAsia="仿宋_GB2312" w:cs="仿宋_GB2312"/>
          <w:color w:val="000000"/>
          <w:sz w:val="32"/>
          <w:szCs w:val="32"/>
        </w:rPr>
        <w:t>万元，比上年执行数增加119.51万元，增长6.5</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主要是教育支出增加。</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2.一般公共预算当年拨款结构情况。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教育（类）支出1567.85万元，占79.7%；社会保障和就业（类）支出300.29万元，占15.2%；卫生健康（类）支出99.7万元，占5.1% 。</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一般公共预算当年拨款具体使用情况。</w:t>
      </w:r>
    </w:p>
    <w:p>
      <w:pPr>
        <w:pStyle w:val="17"/>
        <w:numPr>
          <w:ilvl w:val="0"/>
          <w:numId w:val="0"/>
        </w:numPr>
        <w:spacing w:line="52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lang w:eastAsia="zh-CN"/>
        </w:rPr>
        <w:t>（</w:t>
      </w:r>
      <w:r>
        <w:rPr>
          <w:rFonts w:hint="eastAsia" w:ascii="仿宋_GB2312" w:hAnsi="楷体_GB2312" w:eastAsia="仿宋_GB2312" w:cs="楷体_GB2312"/>
          <w:sz w:val="32"/>
          <w:szCs w:val="32"/>
          <w:lang w:val="en-US" w:eastAsia="zh-CN"/>
        </w:rPr>
        <w:t>1</w:t>
      </w:r>
      <w:r>
        <w:rPr>
          <w:rFonts w:hint="eastAsia" w:ascii="仿宋_GB2312" w:hAnsi="楷体_GB2312" w:eastAsia="仿宋_GB2312" w:cs="楷体_GB2312"/>
          <w:sz w:val="32"/>
          <w:szCs w:val="32"/>
          <w:lang w:eastAsia="zh-CN"/>
        </w:rPr>
        <w:t>）</w:t>
      </w:r>
      <w:r>
        <w:rPr>
          <w:rFonts w:hint="eastAsia" w:ascii="仿宋_GB2312" w:hAnsi="楷体_GB2312" w:eastAsia="仿宋_GB2312" w:cs="楷体_GB2312"/>
          <w:sz w:val="32"/>
          <w:szCs w:val="32"/>
        </w:rPr>
        <w:t>教育支出(类)普通教育(款)小学教育(项)</w:t>
      </w:r>
      <w:r>
        <w:rPr>
          <w:rFonts w:hint="eastAsia" w:ascii="仿宋_GB2312" w:eastAsia="仿宋_GB2312"/>
          <w:color w:val="000000"/>
          <w:sz w:val="32"/>
          <w:szCs w:val="32"/>
        </w:rPr>
        <w:t>1567.85</w:t>
      </w:r>
    </w:p>
    <w:p>
      <w:pPr>
        <w:spacing w:line="520" w:lineRule="exact"/>
        <w:rPr>
          <w:rFonts w:ascii="仿宋_GB2312" w:hAnsi="楷体_GB2312" w:eastAsia="仿宋_GB2312" w:cs="楷体_GB2312"/>
          <w:sz w:val="32"/>
          <w:szCs w:val="32"/>
        </w:rPr>
      </w:pPr>
      <w:r>
        <w:rPr>
          <w:rFonts w:hint="eastAsia" w:ascii="仿宋_GB2312" w:hAnsi="楷体_GB2312" w:eastAsia="仿宋_GB2312" w:cs="楷体_GB2312"/>
          <w:sz w:val="32"/>
          <w:szCs w:val="32"/>
        </w:rPr>
        <w:t>万元，主要用于学校小学教育的支出。</w:t>
      </w:r>
    </w:p>
    <w:p>
      <w:pPr>
        <w:spacing w:line="520" w:lineRule="exact"/>
        <w:ind w:firstLine="640" w:firstLineChars="200"/>
        <w:rPr>
          <w:rFonts w:ascii="仿宋_GB2312" w:hAnsi="楷体_GB2312" w:eastAsia="仿宋_GB2312" w:cs="楷体_GB2312"/>
          <w:sz w:val="32"/>
          <w:szCs w:val="32"/>
        </w:rPr>
      </w:pPr>
      <w:r>
        <w:rPr>
          <w:rFonts w:hint="eastAsia" w:ascii="仿宋_GB2312" w:eastAsia="仿宋_GB2312"/>
          <w:color w:val="000000"/>
          <w:sz w:val="32"/>
          <w:szCs w:val="32"/>
        </w:rPr>
        <w:t>（2）</w:t>
      </w:r>
      <w:r>
        <w:rPr>
          <w:rFonts w:hint="eastAsia" w:ascii="仿宋_GB2312" w:hAnsi="楷体_GB2312" w:eastAsia="仿宋_GB2312" w:cs="楷体_GB2312"/>
          <w:sz w:val="32"/>
          <w:szCs w:val="32"/>
        </w:rPr>
        <w:t>社会保障和就业支出(类)行政事业单位养老支出(款)事业单位离退支出(项) 165.86 万元，主要用于机关事业单位实施养老保险制度由单位缴纳的基本养老保险费的支出。</w:t>
      </w:r>
    </w:p>
    <w:p>
      <w:pPr>
        <w:spacing w:line="520" w:lineRule="exact"/>
        <w:ind w:firstLine="627" w:firstLineChars="196"/>
        <w:rPr>
          <w:rFonts w:ascii="仿宋_GB2312" w:hAnsi="楷体_GB2312" w:eastAsia="仿宋_GB2312" w:cs="楷体_GB2312"/>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w:t>
      </w:r>
      <w:r>
        <w:rPr>
          <w:rFonts w:hint="eastAsia" w:ascii="仿宋_GB2312" w:hAnsi="楷体_GB2312" w:eastAsia="仿宋_GB2312" w:cs="楷体_GB2312"/>
          <w:sz w:val="32"/>
          <w:szCs w:val="32"/>
        </w:rPr>
        <w:t>社会保障和就业支出(类)行政事业单位养老支出(款)机关事业单位基本养老金保险缴费支出(项)89.62万元，主要用于机关事业单位实施养老保险制度由单位缴纳的基本养老保险费的支出。</w:t>
      </w:r>
    </w:p>
    <w:p>
      <w:pPr>
        <w:spacing w:line="276" w:lineRule="auto"/>
        <w:ind w:firstLine="640"/>
        <w:jc w:val="left"/>
        <w:rPr>
          <w:rFonts w:ascii="仿宋_GB2312" w:hAnsi="楷体_GB2312" w:eastAsia="仿宋_GB2312" w:cs="楷体_GB2312"/>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w:t>
      </w:r>
      <w:r>
        <w:rPr>
          <w:rFonts w:hint="eastAsia" w:ascii="仿宋_GB2312" w:hAnsi="楷体_GB2312" w:eastAsia="仿宋_GB2312" w:cs="楷体_GB2312"/>
          <w:sz w:val="32"/>
          <w:szCs w:val="32"/>
        </w:rPr>
        <w:t>社会保障和就业支出(类)行政事业单位养老支出(款)机关事业单位职业年金缴费支出(项)44.81万元，主要用于机关事业单位实施养老保险制度由单位实际缴纳的职业年金支出。</w:t>
      </w:r>
    </w:p>
    <w:p>
      <w:pPr>
        <w:spacing w:line="276" w:lineRule="auto"/>
        <w:ind w:firstLine="64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5</w:t>
      </w:r>
      <w:r>
        <w:rPr>
          <w:rFonts w:hint="eastAsia" w:ascii="仿宋_GB2312" w:hAnsi="楷体_GB2312" w:eastAsia="仿宋_GB2312" w:cs="楷体_GB2312"/>
          <w:sz w:val="32"/>
          <w:szCs w:val="32"/>
        </w:rPr>
        <w:t>）卫生健康支出(类)行政事业单位医疗（款）事业单位医疗(项)99.7万元，主要用于反映财政部门集中安排的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德清县上柏小学</w:t>
      </w:r>
      <w:r>
        <w:fldChar w:fldCharType="end"/>
      </w:r>
      <w:r>
        <w:rPr>
          <w:rFonts w:hint="eastAsia" w:ascii="楷体_GB2312" w:hAnsi="楷体_GB2312" w:eastAsia="楷体_GB2312" w:cs="楷体_GB2312"/>
          <w:bCs/>
          <w:color w:val="000000"/>
          <w:sz w:val="32"/>
          <w:szCs w:val="32"/>
        </w:rPr>
        <w:t>2024年一般公共预算基本支出情况说明</w:t>
      </w:r>
    </w:p>
    <w:p>
      <w:pPr>
        <w:spacing w:line="520" w:lineRule="exact"/>
        <w:ind w:firstLine="642"/>
        <w:rPr>
          <w:rFonts w:ascii="仿宋_GB2312" w:eastAsia="仿宋_GB2312"/>
          <w:color w:val="000000"/>
          <w:sz w:val="32"/>
          <w:szCs w:val="32"/>
        </w:rPr>
      </w:pP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ascii="仿宋_GB2312" w:eastAsia="仿宋_GB2312"/>
          <w:color w:val="000000"/>
          <w:sz w:val="32"/>
          <w:szCs w:val="32"/>
        </w:rPr>
        <w:fldChar w:fldCharType="separate"/>
      </w:r>
      <w:r>
        <w:rPr>
          <w:rFonts w:hint="eastAsia" w:ascii="仿宋_GB2312" w:eastAsia="仿宋_GB2312"/>
          <w:color w:val="000000"/>
          <w:sz w:val="32"/>
          <w:szCs w:val="32"/>
        </w:rPr>
        <w:t>德清县上柏小学</w:t>
      </w:r>
      <w:r>
        <w:fldChar w:fldCharType="end"/>
      </w:r>
      <w:r>
        <w:rPr>
          <w:rFonts w:hint="eastAsia" w:ascii="仿宋_GB2312" w:eastAsia="仿宋_GB2312"/>
          <w:color w:val="000000"/>
          <w:sz w:val="32"/>
          <w:szCs w:val="32"/>
        </w:rPr>
        <w:t>2024年一般公共预算基本支出1930.12万元，其中：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1788.28万元，主要包括：基本工资、津贴补贴、奖金、伙食补助费、绩效工资、机关事业单位基本养老保险缴费、职业年金缴费、职工基本医疗保险缴费、公务员医疗补助缴费、其他社会保障缴费、住房公积金、其他工资福利支出、退休费、生活补助、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141.84万元，主要包括：办公费、印刷费、水费、电费、邮电费、物业管理费、差旅费、维修（护）费、租赁费、培训费、公务接待费、专用材料费、劳务费、工会经费、其他交通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德清县上柏小学</w:t>
      </w:r>
      <w:r>
        <w:fldChar w:fldCharType="end"/>
      </w:r>
      <w:r>
        <w:rPr>
          <w:rFonts w:hint="eastAsia" w:ascii="楷体_GB2312" w:hAnsi="楷体_GB2312" w:eastAsia="楷体_GB2312" w:cs="楷体_GB2312"/>
          <w:bCs/>
          <w:color w:val="000000"/>
          <w:sz w:val="32"/>
          <w:szCs w:val="32"/>
        </w:rPr>
        <w:t>2024年政府性基金预算支出情况说明</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2024年没有使用政府性基金预算拨款安排的支出。</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（八）国有资本经营预算</w:t>
      </w:r>
    </w:p>
    <w:p>
      <w:pPr>
        <w:spacing w:line="520" w:lineRule="exact"/>
        <w:rPr>
          <w:b/>
          <w:sz w:val="20"/>
        </w:rPr>
      </w:pPr>
      <w:r>
        <w:rPr>
          <w:rFonts w:hint="eastAsia" w:ascii="仿宋_GB2312" w:hAnsi="仿宋_GB2312" w:eastAsia="仿宋_GB2312" w:cs="仿宋_GB2312"/>
          <w:sz w:val="32"/>
          <w:szCs w:val="32"/>
        </w:rPr>
        <w:t xml:space="preserve">    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sz w:val="32"/>
          <w:szCs w:val="32"/>
        </w:rPr>
        <w:t>（九）关</w:t>
      </w:r>
      <w:r>
        <w:rPr>
          <w:rFonts w:hint="eastAsia" w:ascii="楷体_GB2312" w:hAnsi="楷体_GB2312" w:eastAsia="楷体_GB2312" w:cs="楷体_GB2312"/>
          <w:bCs/>
          <w:color w:val="000000"/>
          <w:sz w:val="32"/>
          <w:szCs w:val="32"/>
        </w:rPr>
        <w:t>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${page855778723.ds388518707_V_RPT_BAS_AGENCY_INFO_NAME}</w:instrText>
      </w:r>
      <w:r>
        <w:rPr>
          <w:rFonts w:ascii="楷体_GB2312" w:hAnsi="楷体_GB2312" w:eastAsia="楷体_GB2312" w:cs="楷体_GB2312"/>
          <w:bCs/>
          <w:color w:val="000000"/>
          <w:sz w:val="32"/>
          <w:szCs w:val="32"/>
        </w:rPr>
        <w:fldChar w:fldCharType="separate"/>
      </w:r>
      <w:r>
        <w:rPr>
          <w:rFonts w:hint="eastAsia" w:ascii="楷体_GB2312" w:hAnsi="楷体_GB2312" w:eastAsia="楷体_GB2312" w:cs="楷体_GB2312"/>
          <w:bCs/>
          <w:color w:val="000000"/>
          <w:sz w:val="32"/>
          <w:szCs w:val="32"/>
        </w:rPr>
        <w:t>德清县上柏小学</w:t>
      </w:r>
      <w:r>
        <w:fldChar w:fldCharType="end"/>
      </w:r>
      <w:r>
        <w:rPr>
          <w:rFonts w:hint="eastAsia" w:ascii="楷体_GB2312" w:hAnsi="楷体_GB2312" w:eastAsia="楷体_GB2312" w:cs="楷体_GB2312"/>
          <w:bCs/>
          <w:color w:val="000000"/>
          <w:sz w:val="32"/>
          <w:szCs w:val="32"/>
        </w:rPr>
        <w:t>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ascii="仿宋_GB2312" w:hAnsi="仿宋_GB2312" w:eastAsia="仿宋_GB2312"/>
          <w:sz w:val="32"/>
        </w:rPr>
        <w:fldChar w:fldCharType="begin"/>
      </w:r>
      <w:r>
        <w:rPr>
          <w:rFonts w:hint="eastAsia" w:ascii="仿宋_GB2312" w:hAnsi="仿宋_GB2312" w:eastAsia="仿宋_GB2312"/>
          <w:sz w:val="32"/>
        </w:rPr>
        <w:instrText xml:space="preserve">MERGEFIELD ${page855778723.ds388518707_V_RPT_BAS_AGENCY_INFO_NAME}</w:instrText>
      </w:r>
      <w:r>
        <w:rPr>
          <w:rFonts w:ascii="仿宋_GB2312" w:hAnsi="仿宋_GB2312" w:eastAsia="仿宋_GB2312"/>
          <w:sz w:val="32"/>
        </w:rPr>
        <w:fldChar w:fldCharType="separate"/>
      </w:r>
      <w:r>
        <w:rPr>
          <w:rFonts w:hint="eastAsia" w:ascii="仿宋_GB2312" w:hAnsi="仿宋_GB2312" w:eastAsia="仿宋_GB2312"/>
          <w:sz w:val="32"/>
        </w:rPr>
        <w:t>德清县上柏小学</w:t>
      </w:r>
      <w:r>
        <w:fldChar w:fldCharType="end"/>
      </w:r>
      <w:r>
        <w:rPr>
          <w:rFonts w:hint="eastAsia" w:ascii="仿宋_GB2312" w:hAnsi="仿宋_GB2312" w:eastAsia="仿宋_GB2312"/>
          <w:sz w:val="32"/>
        </w:rPr>
        <w:t>2024年“三公”经费预算数为1.19万元，</w:t>
      </w:r>
      <w:r>
        <w:rPr>
          <w:rFonts w:hint="eastAsia" w:ascii="仿宋_GB2312" w:hAnsi="仿宋_GB2312" w:eastAsia="仿宋_GB2312"/>
          <w:sz w:val="32"/>
          <w:shd w:val="clear" w:color="auto" w:fill="FFFFFF"/>
        </w:rPr>
        <w:t>比上年预算数减少0.13万元，下降9.8%。</w:t>
      </w:r>
    </w:p>
    <w:p>
      <w:pPr>
        <w:spacing w:line="276"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ascii="仿宋_GB2312" w:hAnsi="仿宋_GB2312" w:eastAsia="仿宋_GB2312" w:cs="仿宋_GB2312"/>
          <w:kern w:val="0"/>
          <w:sz w:val="32"/>
          <w:szCs w:val="32"/>
        </w:rPr>
        <w:t>2024</w:t>
      </w:r>
      <w:r>
        <w:rPr>
          <w:rFonts w:hint="eastAsia" w:ascii="仿宋_GB2312" w:hAnsi="仿宋_GB2312" w:eastAsia="仿宋_GB2312" w:cs="仿宋_GB2312"/>
          <w:kern w:val="0"/>
          <w:sz w:val="32"/>
          <w:szCs w:val="32"/>
        </w:rPr>
        <w:t>年预算</w:t>
      </w:r>
      <w:r>
        <w:rPr>
          <w:rFonts w:ascii="仿宋_GB2312" w:hAnsi="仿宋_GB2312" w:eastAsia="仿宋_GB2312" w:cs="仿宋_GB2312"/>
          <w:kern w:val="0"/>
          <w:sz w:val="32"/>
          <w:szCs w:val="32"/>
        </w:rPr>
        <w:t>未安排</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与上年预算数持平</w:t>
      </w:r>
      <w:r>
        <w:rPr>
          <w:rFonts w:ascii="仿宋_GB2312" w:hAnsi="仿宋_GB2312" w:eastAsia="仿宋_GB2312" w:cs="仿宋_GB2312"/>
          <w:sz w:val="32"/>
          <w:szCs w:val="32"/>
        </w:rPr>
        <w:t>，</w:t>
      </w:r>
      <w:r>
        <w:rPr>
          <w:rFonts w:ascii="仿宋_GB2312" w:hAnsi="仿宋_GB2312" w:eastAsia="仿宋_GB2312" w:cs="仿宋_GB2312"/>
          <w:kern w:val="0"/>
          <w:sz w:val="32"/>
          <w:szCs w:val="32"/>
        </w:rPr>
        <w:t>主要原因是由相关部门从严审批控制，根据实际情况调整，年初未纳入部门预算。</w:t>
      </w:r>
    </w:p>
    <w:p>
      <w:pPr>
        <w:spacing w:line="276"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2.公务接待费：2024年安排公务接待费预算1.19万元，比上年预算数下降9.8%。主要用于接待</w:t>
      </w:r>
      <w:r>
        <w:rPr>
          <w:rFonts w:hint="eastAsia" w:ascii="仿宋_GB2312" w:eastAsia="仿宋_GB2312"/>
          <w:kern w:val="0"/>
          <w:sz w:val="32"/>
          <w:szCs w:val="32"/>
        </w:rPr>
        <w:t>接待上级及兄弟学校等来我校进行调研、指导、交流等接待支出。</w:t>
      </w:r>
      <w:r>
        <w:rPr>
          <w:rFonts w:ascii="仿宋_GB2312" w:hAnsi="仿宋_GB2312" w:eastAsia="仿宋_GB2312" w:cs="仿宋_GB2312"/>
          <w:kern w:val="0"/>
          <w:sz w:val="32"/>
          <w:szCs w:val="32"/>
        </w:rPr>
        <w:t>减少的原因主要是</w:t>
      </w:r>
      <w:r>
        <w:rPr>
          <w:rFonts w:hint="eastAsia" w:ascii="仿宋_GB2312" w:hAnsi="仿宋_GB2312" w:eastAsia="仿宋_GB2312" w:cs="仿宋_GB2312"/>
          <w:kern w:val="0"/>
          <w:sz w:val="32"/>
          <w:szCs w:val="32"/>
          <w:lang w:val="en-US" w:eastAsia="zh-CN"/>
        </w:rPr>
        <w:t>厉行节约，</w:t>
      </w:r>
      <w:r>
        <w:rPr>
          <w:rFonts w:ascii="仿宋_GB2312" w:hAnsi="仿宋_GB2312" w:eastAsia="仿宋_GB2312" w:cs="仿宋_GB2312"/>
          <w:kern w:val="0"/>
          <w:sz w:val="32"/>
          <w:szCs w:val="32"/>
        </w:rPr>
        <w:t>严</w:t>
      </w:r>
      <w:r>
        <w:rPr>
          <w:rFonts w:hint="eastAsia" w:ascii="仿宋_GB2312" w:hAnsi="仿宋_GB2312" w:eastAsia="仿宋_GB2312" w:cs="仿宋_GB2312"/>
          <w:kern w:val="0"/>
          <w:sz w:val="32"/>
          <w:szCs w:val="32"/>
          <w:lang w:val="en-US" w:eastAsia="zh-CN"/>
        </w:rPr>
        <w:t>格公务接待</w:t>
      </w:r>
      <w:r>
        <w:rPr>
          <w:rFonts w:ascii="仿宋_GB2312" w:hAnsi="仿宋_GB2312" w:eastAsia="仿宋_GB2312" w:cs="仿宋_GB2312"/>
          <w:kern w:val="0"/>
          <w:sz w:val="32"/>
          <w:szCs w:val="32"/>
        </w:rPr>
        <w:t>审批控制。</w:t>
      </w:r>
    </w:p>
    <w:p>
      <w:pPr>
        <w:pStyle w:val="16"/>
        <w:spacing w:line="520" w:lineRule="exact"/>
        <w:ind w:firstLine="640" w:firstLineChars="200"/>
        <w:rPr>
          <w:rFonts w:ascii="仿宋_GB2312" w:eastAsia="仿宋_GB2312"/>
          <w:sz w:val="32"/>
          <w:szCs w:val="32"/>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kern w:val="0"/>
          <w:sz w:val="32"/>
          <w:szCs w:val="32"/>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kern w:val="0"/>
          <w:sz w:val="32"/>
          <w:szCs w:val="32"/>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kern w:val="0"/>
          <w:sz w:val="32"/>
          <w:szCs w:val="32"/>
          <w:lang w:val="en-US" w:eastAsia="zh-CN"/>
        </w:rPr>
        <w:t>与上年预算数持平</w:t>
      </w:r>
      <w:r>
        <w:rPr>
          <w:rFonts w:hint="eastAsia" w:ascii="仿宋_GB2312" w:eastAsia="仿宋_GB2312"/>
          <w:sz w:val="32"/>
          <w:szCs w:val="32"/>
          <w:highlight w:val="none"/>
        </w:rPr>
        <w:t>。</w:t>
      </w:r>
    </w:p>
    <w:p>
      <w:pPr>
        <w:spacing w:line="520" w:lineRule="exact"/>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w:t>
      </w:r>
      <w:r>
        <w:rPr>
          <w:rFonts w:hint="eastAsia" w:ascii="楷体_GB2312" w:hAnsi="楷体_GB2312" w:eastAsia="楷体_GB2312" w:cs="楷体_GB2312"/>
          <w:bCs/>
          <w:sz w:val="32"/>
          <w:szCs w:val="32"/>
          <w:lang w:val="en-US" w:eastAsia="zh-CN"/>
        </w:rPr>
        <w:t>十</w:t>
      </w:r>
      <w:r>
        <w:rPr>
          <w:rFonts w:hint="eastAsia" w:ascii="楷体_GB2312" w:hAnsi="楷体_GB2312" w:eastAsia="楷体_GB2312" w:cs="楷体_GB2312"/>
          <w:bCs/>
          <w:sz w:val="32"/>
          <w:szCs w:val="32"/>
        </w:rPr>
        <w:t>）其他重要事项的情况说明</w:t>
      </w:r>
    </w:p>
    <w:p>
      <w:pPr>
        <w:pStyle w:val="16"/>
        <w:spacing w:line="520" w:lineRule="exact"/>
        <w:ind w:firstLine="643" w:firstLineChars="200"/>
        <w:rPr>
          <w:rFonts w:ascii="仿宋_GB2312" w:eastAsia="仿宋_GB2312"/>
          <w:b/>
          <w:bCs/>
          <w:sz w:val="32"/>
          <w:szCs w:val="32"/>
        </w:rPr>
      </w:pPr>
      <w:r>
        <w:rPr>
          <w:rFonts w:hint="eastAsia" w:ascii="仿宋_GB2312" w:eastAsia="仿宋_GB2312"/>
          <w:b/>
          <w:bCs/>
          <w:sz w:val="32"/>
          <w:szCs w:val="32"/>
        </w:rPr>
        <w:t>1.政府采购情况。</w:t>
      </w:r>
    </w:p>
    <w:p>
      <w:pPr>
        <w:pStyle w:val="16"/>
        <w:spacing w:line="520" w:lineRule="exact"/>
        <w:ind w:firstLine="640" w:firstLineChars="200"/>
        <w:rPr>
          <w:rFonts w:ascii="仿宋_GB2312" w:eastAsia="仿宋_GB2312"/>
          <w:sz w:val="32"/>
          <w:szCs w:val="32"/>
        </w:rPr>
      </w:pPr>
      <w:r>
        <w:rPr>
          <w:rFonts w:hint="eastAsia" w:ascii="仿宋_GB2312" w:eastAsia="仿宋_GB2312"/>
          <w:sz w:val="32"/>
          <w:szCs w:val="32"/>
        </w:rPr>
        <w:t>2024年</w:t>
      </w:r>
      <w:r>
        <w:rPr>
          <w:rFonts w:ascii="仿宋_GB2312" w:eastAsia="仿宋_GB2312"/>
          <w:sz w:val="32"/>
          <w:szCs w:val="32"/>
        </w:rPr>
        <w:fldChar w:fldCharType="begin"/>
      </w:r>
      <w:r>
        <w:rPr>
          <w:rFonts w:hint="eastAsia" w:ascii="仿宋_GB2312" w:eastAsia="仿宋_GB2312"/>
          <w:sz w:val="32"/>
          <w:szCs w:val="32"/>
        </w:rPr>
        <w:instrText xml:space="preserve">MERGEFIELD ${page855778723.ds388518707_V_RPT_BAS_AGENCY_INFO_NAME}</w:instrText>
      </w:r>
      <w:r>
        <w:rPr>
          <w:rFonts w:ascii="仿宋_GB2312" w:eastAsia="仿宋_GB2312"/>
          <w:sz w:val="32"/>
          <w:szCs w:val="32"/>
        </w:rPr>
        <w:fldChar w:fldCharType="separate"/>
      </w:r>
      <w:r>
        <w:rPr>
          <w:rFonts w:hint="eastAsia" w:ascii="仿宋_GB2312" w:eastAsia="仿宋_GB2312"/>
          <w:sz w:val="32"/>
          <w:szCs w:val="32"/>
        </w:rPr>
        <w:t>德清县上柏小学</w:t>
      </w:r>
      <w:r>
        <w:fldChar w:fldCharType="end"/>
      </w:r>
      <w:r>
        <w:rPr>
          <w:rFonts w:hint="eastAsia" w:ascii="仿宋_GB2312" w:eastAsia="仿宋_GB2312"/>
          <w:color w:val="000000"/>
          <w:sz w:val="32"/>
          <w:szCs w:val="32"/>
        </w:rPr>
        <w:t>各单位政府采购预算总额31.5万元，其中：政府采购货物预算2万元、政府采购工程预算</w:t>
      </w: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${page991489089.ds360843206_ExpandCol3415079511}</w:instrText>
      </w:r>
      <w:r>
        <w:rPr>
          <w:rFonts w:ascii="仿宋_GB2312" w:eastAsia="仿宋_GB2312"/>
          <w:color w:val="000000"/>
          <w:sz w:val="32"/>
          <w:szCs w:val="32"/>
        </w:rPr>
        <w:fldChar w:fldCharType="separate"/>
      </w:r>
      <w:r>
        <w:rPr>
          <w:rFonts w:hint="eastAsia" w:ascii="仿宋_GB2312" w:eastAsia="仿宋_GB2312"/>
          <w:color w:val="000000"/>
          <w:sz w:val="32"/>
          <w:szCs w:val="32"/>
        </w:rPr>
        <w:t>0.00</w:t>
      </w:r>
      <w:r>
        <w:fldChar w:fldCharType="end"/>
      </w:r>
      <w:r>
        <w:rPr>
          <w:rFonts w:hint="eastAsia" w:ascii="仿宋_GB2312" w:eastAsia="仿宋_GB2312"/>
          <w:color w:val="000000"/>
          <w:sz w:val="32"/>
          <w:szCs w:val="32"/>
        </w:rPr>
        <w:t>万元、政府采购服务预算29.5万元。</w:t>
      </w:r>
    </w:p>
    <w:p>
      <w:pPr>
        <w:pStyle w:val="16"/>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ascii="仿宋_GB2312" w:hAnsi="仿宋_GB2312" w:eastAsia="仿宋_GB2312" w:cs="仿宋_GB2312"/>
          <w:spacing w:val="6"/>
          <w:sz w:val="32"/>
          <w:szCs w:val="32"/>
        </w:rPr>
        <w:fldChar w:fldCharType="begin"/>
      </w:r>
      <w:r>
        <w:rPr>
          <w:rFonts w:hint="eastAsia" w:ascii="仿宋_GB2312" w:hAnsi="仿宋_GB2312" w:eastAsia="仿宋_GB2312" w:cs="仿宋_GB2312"/>
          <w:spacing w:val="6"/>
          <w:sz w:val="32"/>
          <w:szCs w:val="32"/>
        </w:rPr>
        <w:instrText xml:space="preserve">MERGEFIELD ${page855778723.ds388518707_V_RPT_BAS_AGENCY_INFO_LEINAME}</w:instrText>
      </w:r>
      <w:r>
        <w:rPr>
          <w:rFonts w:ascii="仿宋_GB2312" w:hAnsi="仿宋_GB2312" w:eastAsia="仿宋_GB2312" w:cs="仿宋_GB2312"/>
          <w:spacing w:val="6"/>
          <w:sz w:val="32"/>
          <w:szCs w:val="32"/>
        </w:rPr>
        <w:fldChar w:fldCharType="end"/>
      </w:r>
      <w:r>
        <w:rPr>
          <w:rFonts w:hint="eastAsia" w:ascii="仿宋_GB2312" w:hAnsi="仿宋_GB2312" w:eastAsia="仿宋_GB2312" w:cs="仿宋_GB2312"/>
          <w:spacing w:val="6"/>
          <w:sz w:val="32"/>
          <w:szCs w:val="32"/>
        </w:rPr>
        <w:t>预算单位共有车辆</w:t>
      </w:r>
      <w:r>
        <w:rPr>
          <w:rFonts w:hint="eastAsia" w:ascii="仿宋_GB2312" w:hAnsi="仿宋_GB2312" w:eastAsia="仿宋_GB2312" w:cs="仿宋_GB2312"/>
          <w:sz w:val="32"/>
          <w:szCs w:val="32"/>
        </w:rPr>
        <w:t xml:space="preserve">0辆，其中，省部级领导用车0辆、机要通信用车及应急保障用车0辆、执法执勤用车0辆、特种专业技术用车0辆、老干部服务用车0辆、行政执法专用车0辆。单位价值50万元以上通用设备0台（套），单位价值100万元以上专用设备0台（套）。 </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2024年单位预算未安排购置车辆、单位价值50万元以上通用设备及单位价值100万元以上专用设备。</w:t>
      </w:r>
    </w:p>
    <w:p>
      <w:pPr>
        <w:pStyle w:val="16"/>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w:t>
      </w:r>
      <w:r>
        <w:rPr>
          <w:rFonts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${page855778723.ds388518707_V_RPT_BAS_AGENCY_INFO_NAME}</w:instrText>
      </w:r>
      <w:r>
        <w:rPr>
          <w:rFonts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德清县上柏小学</w:t>
      </w:r>
      <w:r>
        <w:fldChar w:fldCharType="end"/>
      </w:r>
      <w:r>
        <w:rPr>
          <w:rFonts w:hint="eastAsia" w:ascii="仿宋_GB2312" w:hAnsi="仿宋_GB2312" w:eastAsia="仿宋_GB2312" w:cs="仿宋_GB2312"/>
          <w:sz w:val="32"/>
          <w:szCs w:val="32"/>
        </w:rPr>
        <w:t>其他运转类项目和特定目标类项目均实行绩效目标管理，共计1个一级项目，涉及当年资金37.72万元。</w:t>
      </w:r>
    </w:p>
    <w:p>
      <w:pPr>
        <w:pStyle w:val="16"/>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政府性基金预算财政拨款和国有资本经营预算拨款。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2.专户资金:教育收费作为本部门的事业收入，纳入财政专户管理的资金。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3.其他收入：预算单位在“一般公共预算”“政府性基金预算”“专户资金”“事业收入”“事业单位经营收入”等之外取得的各项收入（含上级补助收入和附属单位缴款等收入）。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276" w:lineRule="auto"/>
        <w:ind w:firstLine="640"/>
        <w:jc w:val="left"/>
        <w:rPr>
          <w:rFonts w:ascii="仿宋_GB2312" w:eastAsia="仿宋_GB2312"/>
          <w:color w:val="000000"/>
          <w:sz w:val="32"/>
          <w:szCs w:val="32"/>
        </w:rPr>
      </w:pPr>
      <w:r>
        <w:rPr>
          <w:rFonts w:hint="eastAsia" w:ascii="仿宋_GB2312" w:hAnsi="仿宋_GB2312" w:eastAsia="仿宋_GB2312" w:cs="仿宋_GB2312"/>
          <w:sz w:val="32"/>
          <w:szCs w:val="32"/>
          <w:lang w:val="en-US" w:eastAsia="zh-CN"/>
        </w:rPr>
        <w:t>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社会保障和就业（类）行政事业单位养老支出（款）事业单位离退休（项）：指事业单位开支的离退休经费</w:t>
      </w:r>
      <w:r>
        <w:rPr>
          <w:rFonts w:hint="eastAsia" w:ascii="仿宋_GB2312" w:eastAsia="仿宋_GB2312"/>
          <w:color w:val="000000"/>
          <w:sz w:val="32"/>
          <w:szCs w:val="32"/>
        </w:rPr>
        <w:t>。</w:t>
      </w:r>
    </w:p>
    <w:p>
      <w:pPr>
        <w:spacing w:line="276" w:lineRule="auto"/>
        <w:ind w:firstLine="640"/>
        <w:jc w:val="left"/>
        <w:rPr>
          <w:rFonts w:ascii="仿宋_GB2312" w:hAnsi="仿宋_GB2312" w:eastAsia="仿宋_GB2312" w:cs="仿宋_GB2312"/>
          <w:sz w:val="32"/>
          <w:szCs w:val="32"/>
        </w:rPr>
      </w:pP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、社会保障和就业（类）行政事业单位养老支出（款）机关事业单位基本养老保险缴费支出（项）：</w:t>
      </w:r>
      <w:r>
        <w:rPr>
          <w:rFonts w:hint="eastAsia" w:ascii="仿宋_GB2312" w:hAnsi="仿宋_GB2312" w:eastAsia="仿宋_GB2312" w:cs="仿宋_GB2312"/>
          <w:sz w:val="32"/>
          <w:szCs w:val="32"/>
        </w:rPr>
        <w:t>指机关事业单位实施养老保险制度由单位缴纳的基本养老保险费支出。</w:t>
      </w:r>
    </w:p>
    <w:p>
      <w:pPr>
        <w:pStyle w:val="2"/>
        <w:rPr>
          <w:rFonts w:hint="default" w:cs="仿宋_GB2312"/>
          <w:sz w:val="32"/>
          <w:szCs w:val="32"/>
        </w:rPr>
      </w:pPr>
      <w:r>
        <w:rPr>
          <w:sz w:val="32"/>
          <w:szCs w:val="32"/>
        </w:rPr>
        <w:t xml:space="preserve">    </w:t>
      </w:r>
      <w:r>
        <w:rPr>
          <w:rFonts w:hint="eastAsia"/>
          <w:sz w:val="32"/>
          <w:szCs w:val="32"/>
          <w:lang w:val="en-US" w:eastAsia="zh-CN"/>
        </w:rPr>
        <w:t>9</w:t>
      </w:r>
      <w:r>
        <w:rPr>
          <w:sz w:val="32"/>
          <w:szCs w:val="32"/>
        </w:rPr>
        <w:t>、社会保障和就业（类）行政事业单位养老支出（款）机关事业单位职业年金缴费支出（项）：</w:t>
      </w:r>
      <w:r>
        <w:rPr>
          <w:rFonts w:cs="仿宋_GB2312"/>
          <w:sz w:val="32"/>
          <w:szCs w:val="32"/>
        </w:rPr>
        <w:t>指机关事业单位实施养老保险制度由单位实际缴纳的职业年金支出。</w:t>
      </w:r>
    </w:p>
    <w:p>
      <w:pPr>
        <w:pStyle w:val="2"/>
        <w:rPr>
          <w:rFonts w:cs="仿宋_GB2312"/>
          <w:sz w:val="32"/>
          <w:szCs w:val="32"/>
        </w:rPr>
      </w:pPr>
      <w:r>
        <w:t xml:space="preserve">      </w:t>
      </w:r>
      <w:r>
        <w:rPr>
          <w:rFonts w:hint="eastAsia"/>
          <w:sz w:val="32"/>
          <w:szCs w:val="32"/>
          <w:lang w:val="en-US" w:eastAsia="zh-CN"/>
        </w:rPr>
        <w:t>10</w:t>
      </w:r>
      <w:r>
        <w:rPr>
          <w:sz w:val="32"/>
          <w:szCs w:val="32"/>
        </w:rPr>
        <w:t>、卫生健康支出（类）行政事业单位医疗（款）事业单位医疗（项）：</w:t>
      </w:r>
      <w:r>
        <w:rPr>
          <w:rFonts w:cs="仿宋_GB2312"/>
          <w:sz w:val="32"/>
          <w:szCs w:val="32"/>
        </w:rPr>
        <w:t>反映财政部门安排的事业单位基本医疗保险缴费经费，未参加医疗保险的事业单位的公费医疗经费，按国家规定享受离休人员待遇的医疗经费。</w:t>
      </w:r>
    </w:p>
    <w:p>
      <w:pPr>
        <w:spacing w:line="520" w:lineRule="exact"/>
        <w:ind w:firstLine="640" w:firstLineChars="200"/>
        <w:rPr>
          <w:rStyle w:val="10"/>
          <w:rFonts w:ascii="黑体" w:eastAsia="黑体"/>
          <w:b w:val="0"/>
          <w:color w:val="000000"/>
          <w:sz w:val="32"/>
          <w:szCs w:val="32"/>
        </w:rPr>
      </w:pPr>
      <w:r>
        <w:rPr>
          <w:rStyle w:val="10"/>
          <w:rFonts w:hint="eastAsia" w:ascii="黑体" w:eastAsia="黑体"/>
          <w:b w:val="0"/>
          <w:color w:val="000000"/>
          <w:sz w:val="32"/>
          <w:szCs w:val="32"/>
        </w:rPr>
        <w:t>四、2024年</w:t>
      </w:r>
      <w:r>
        <w:rPr>
          <w:rStyle w:val="10"/>
          <w:rFonts w:ascii="黑体" w:eastAsia="黑体"/>
          <w:b w:val="0"/>
          <w:color w:val="000000"/>
          <w:sz w:val="32"/>
          <w:szCs w:val="32"/>
        </w:rPr>
        <w:fldChar w:fldCharType="begin"/>
      </w:r>
      <w:r>
        <w:rPr>
          <w:rStyle w:val="10"/>
          <w:rFonts w:hint="eastAsia" w:ascii="黑体" w:eastAsia="黑体"/>
          <w:b w:val="0"/>
          <w:color w:val="000000"/>
          <w:sz w:val="32"/>
          <w:szCs w:val="32"/>
        </w:rPr>
        <w:instrText xml:space="preserve">MERGEFIELD ${page855778723.ds388518707_V_RPT_BAS_AGENCY_INFO_NAME}</w:instrText>
      </w:r>
      <w:r>
        <w:rPr>
          <w:rStyle w:val="10"/>
          <w:rFonts w:ascii="黑体" w:eastAsia="黑体"/>
          <w:b w:val="0"/>
          <w:color w:val="000000"/>
          <w:sz w:val="32"/>
          <w:szCs w:val="32"/>
        </w:rPr>
        <w:fldChar w:fldCharType="separate"/>
      </w:r>
      <w:r>
        <w:rPr>
          <w:rStyle w:val="10"/>
          <w:rFonts w:hint="eastAsia" w:ascii="黑体" w:eastAsia="黑体"/>
          <w:b w:val="0"/>
          <w:color w:val="000000"/>
          <w:sz w:val="32"/>
          <w:szCs w:val="32"/>
        </w:rPr>
        <w:t>德清县上柏小学</w:t>
      </w:r>
      <w:r>
        <w:fldChar w:fldCharType="end"/>
      </w:r>
      <w:r>
        <w:rPr>
          <w:rStyle w:val="10"/>
          <w:rFonts w:hint="eastAsia" w:ascii="黑体" w:eastAsia="黑体"/>
          <w:b w:val="0"/>
          <w:color w:val="000000"/>
          <w:sz w:val="32"/>
          <w:szCs w:val="32"/>
        </w:rPr>
        <w:t>单位预算表</w:t>
      </w:r>
    </w:p>
    <w:p>
      <w:pPr>
        <w:pStyle w:val="2"/>
        <w:rPr>
          <w:rFonts w:hint="default" w:cs="仿宋_GB2312"/>
          <w:sz w:val="32"/>
          <w:szCs w:val="32"/>
        </w:rPr>
      </w:pPr>
    </w:p>
    <w:p>
      <w:pPr>
        <w:pStyle w:val="2"/>
        <w:rPr>
          <w:rFonts w:hint="default" w:cs="仿宋_GB2312"/>
          <w:sz w:val="32"/>
          <w:szCs w:val="32"/>
        </w:rPr>
      </w:pPr>
    </w:p>
    <w:p>
      <w:pPr>
        <w:pStyle w:val="2"/>
        <w:rPr>
          <w:rFonts w:hint="default" w:cs="仿宋_GB2312"/>
          <w:sz w:val="32"/>
          <w:szCs w:val="32"/>
        </w:rPr>
      </w:pPr>
    </w:p>
    <w:p>
      <w:pPr>
        <w:pStyle w:val="2"/>
        <w:rPr>
          <w:rFonts w:hint="default" w:cs="仿宋_GB2312"/>
          <w:sz w:val="32"/>
          <w:szCs w:val="32"/>
        </w:rPr>
      </w:pPr>
    </w:p>
    <w:p>
      <w:pPr>
        <w:pStyle w:val="2"/>
        <w:rPr>
          <w:rFonts w:hint="default" w:cs="仿宋_GB2312"/>
          <w:sz w:val="32"/>
          <w:szCs w:val="32"/>
        </w:rPr>
      </w:pPr>
    </w:p>
    <w:p>
      <w:pPr>
        <w:pStyle w:val="2"/>
        <w:rPr>
          <w:rFonts w:hint="default" w:cs="仿宋_GB2312"/>
          <w:sz w:val="32"/>
          <w:szCs w:val="32"/>
        </w:rPr>
      </w:pPr>
    </w:p>
    <w:p>
      <w:pPr>
        <w:pStyle w:val="2"/>
        <w:rPr>
          <w:rFonts w:hint="default" w:cs="仿宋_GB2312"/>
          <w:sz w:val="32"/>
          <w:szCs w:val="32"/>
        </w:rPr>
      </w:pPr>
    </w:p>
    <w:p>
      <w:pPr>
        <w:pStyle w:val="2"/>
        <w:rPr>
          <w:rFonts w:hint="default" w:cs="仿宋_GB2312"/>
          <w:sz w:val="32"/>
          <w:szCs w:val="32"/>
        </w:rPr>
        <w:sectPr>
          <w:pgSz w:w="11906" w:h="16838"/>
          <w:pgMar w:top="1440" w:right="1800" w:bottom="1440" w:left="1800" w:header="851" w:footer="992" w:gutter="0"/>
          <w:pgNumType w:start="6"/>
          <w:cols w:space="425" w:num="1"/>
          <w:docGrid w:type="lines" w:linePitch="312" w:charSpace="0"/>
        </w:sectPr>
      </w:pPr>
    </w:p>
    <w:tbl>
      <w:tblPr>
        <w:tblStyle w:val="7"/>
        <w:tblW w:w="14920" w:type="dxa"/>
        <w:tblInd w:w="94" w:type="dxa"/>
        <w:tblLayout w:type="autofit"/>
        <w:tblCellMar>
          <w:top w:w="0" w:type="dxa"/>
          <w:left w:w="108" w:type="dxa"/>
          <w:bottom w:w="0" w:type="dxa"/>
          <w:right w:w="108" w:type="dxa"/>
        </w:tblCellMar>
      </w:tblPr>
      <w:tblGrid>
        <w:gridCol w:w="4020"/>
        <w:gridCol w:w="3580"/>
        <w:gridCol w:w="5280"/>
        <w:gridCol w:w="2040"/>
      </w:tblGrid>
      <w:tr>
        <w:tblPrEx>
          <w:tblCellMar>
            <w:top w:w="0" w:type="dxa"/>
            <w:left w:w="108" w:type="dxa"/>
            <w:bottom w:w="0" w:type="dxa"/>
            <w:right w:w="108" w:type="dxa"/>
          </w:tblCellMar>
        </w:tblPrEx>
        <w:trPr>
          <w:trHeight w:val="570" w:hRule="atLeast"/>
        </w:trPr>
        <w:tc>
          <w:tcPr>
            <w:tcW w:w="14920" w:type="dxa"/>
            <w:gridSpan w:val="4"/>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2024年单位收支预算总表（01）</w:t>
            </w:r>
          </w:p>
        </w:tc>
      </w:tr>
      <w:tr>
        <w:tblPrEx>
          <w:tblCellMar>
            <w:top w:w="0" w:type="dxa"/>
            <w:left w:w="108" w:type="dxa"/>
            <w:bottom w:w="0" w:type="dxa"/>
            <w:right w:w="108" w:type="dxa"/>
          </w:tblCellMar>
        </w:tblPrEx>
        <w:trPr>
          <w:trHeight w:val="300" w:hRule="atLeast"/>
        </w:trPr>
        <w:tc>
          <w:tcPr>
            <w:tcW w:w="402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35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52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04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76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7320" w:type="dxa"/>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35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5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0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1967.84</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1687.06</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1967.84</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1687.06</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小学教育</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1687.06</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二、财政专户管理资金</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115.01</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三、事业收入</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四、事业单位经营收入</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五、上级补助收入</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六、附属单位上缴收入</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七、其他收入</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4.20</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r>
      <w:tr>
        <w:tblPrEx>
          <w:tblCellMar>
            <w:top w:w="0" w:type="dxa"/>
            <w:left w:w="108" w:type="dxa"/>
            <w:bottom w:w="0" w:type="dxa"/>
            <w:right w:w="108" w:type="dxa"/>
          </w:tblCellMar>
        </w:tblPrEx>
        <w:trPr>
          <w:trHeight w:val="390" w:hRule="atLeast"/>
        </w:trPr>
        <w:tc>
          <w:tcPr>
            <w:tcW w:w="4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r>
      <w:tr>
        <w:tblPrEx>
          <w:tblCellMar>
            <w:top w:w="0" w:type="dxa"/>
            <w:left w:w="108" w:type="dxa"/>
            <w:bottom w:w="0" w:type="dxa"/>
            <w:right w:w="108" w:type="dxa"/>
          </w:tblCellMar>
        </w:tblPrEx>
        <w:trPr>
          <w:trHeight w:val="315" w:hRule="atLeast"/>
        </w:trPr>
        <w:tc>
          <w:tcPr>
            <w:tcW w:w="402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2087.05</w:t>
            </w:r>
          </w:p>
        </w:tc>
        <w:tc>
          <w:tcPr>
            <w:tcW w:w="5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本年支出合计</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2087.05</w:t>
            </w:r>
          </w:p>
        </w:tc>
      </w:tr>
      <w:tr>
        <w:tblPrEx>
          <w:tblCellMar>
            <w:top w:w="0" w:type="dxa"/>
            <w:left w:w="108" w:type="dxa"/>
            <w:bottom w:w="0" w:type="dxa"/>
            <w:right w:w="108" w:type="dxa"/>
          </w:tblCellMar>
        </w:tblPrEx>
        <w:trPr>
          <w:trHeight w:val="315" w:hRule="atLeast"/>
        </w:trPr>
        <w:tc>
          <w:tcPr>
            <w:tcW w:w="40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358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年终结转结余</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40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58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2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402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3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2087.05</w:t>
            </w:r>
          </w:p>
        </w:tc>
        <w:tc>
          <w:tcPr>
            <w:tcW w:w="5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2087.05</w:t>
            </w:r>
          </w:p>
        </w:tc>
      </w:tr>
    </w:tbl>
    <w:p>
      <w:pPr>
        <w:pStyle w:val="2"/>
        <w:rPr>
          <w:rFonts w:hint="default"/>
        </w:rPr>
      </w:pPr>
    </w:p>
    <w:tbl>
      <w:tblPr>
        <w:tblStyle w:val="7"/>
        <w:tblW w:w="14530" w:type="dxa"/>
        <w:tblInd w:w="94" w:type="dxa"/>
        <w:tblLayout w:type="autofit"/>
        <w:tblCellMar>
          <w:top w:w="0" w:type="dxa"/>
          <w:left w:w="108" w:type="dxa"/>
          <w:bottom w:w="0" w:type="dxa"/>
          <w:right w:w="108" w:type="dxa"/>
        </w:tblCellMar>
      </w:tblPr>
      <w:tblGrid>
        <w:gridCol w:w="1228"/>
        <w:gridCol w:w="880"/>
        <w:gridCol w:w="940"/>
        <w:gridCol w:w="880"/>
        <w:gridCol w:w="636"/>
        <w:gridCol w:w="614"/>
        <w:gridCol w:w="223"/>
        <w:gridCol w:w="574"/>
        <w:gridCol w:w="185"/>
        <w:gridCol w:w="267"/>
        <w:gridCol w:w="300"/>
        <w:gridCol w:w="116"/>
        <w:gridCol w:w="416"/>
        <w:gridCol w:w="537"/>
        <w:gridCol w:w="65"/>
        <w:gridCol w:w="708"/>
        <w:gridCol w:w="709"/>
        <w:gridCol w:w="236"/>
        <w:gridCol w:w="428"/>
        <w:gridCol w:w="112"/>
        <w:gridCol w:w="500"/>
        <w:gridCol w:w="12"/>
        <w:gridCol w:w="494"/>
        <w:gridCol w:w="344"/>
        <w:gridCol w:w="134"/>
        <w:gridCol w:w="575"/>
        <w:gridCol w:w="992"/>
        <w:gridCol w:w="851"/>
        <w:gridCol w:w="624"/>
      </w:tblGrid>
      <w:tr>
        <w:tblPrEx>
          <w:tblCellMar>
            <w:top w:w="0" w:type="dxa"/>
            <w:left w:w="108" w:type="dxa"/>
            <w:bottom w:w="0" w:type="dxa"/>
            <w:right w:w="108" w:type="dxa"/>
          </w:tblCellMar>
        </w:tblPrEx>
        <w:trPr>
          <w:gridAfter w:val="1"/>
          <w:wAfter w:w="624" w:type="dxa"/>
          <w:trHeight w:val="675" w:hRule="atLeast"/>
        </w:trPr>
        <w:tc>
          <w:tcPr>
            <w:tcW w:w="13906" w:type="dxa"/>
            <w:gridSpan w:val="28"/>
            <w:tcBorders>
              <w:top w:val="nil"/>
              <w:left w:val="nil"/>
              <w:bottom w:val="nil"/>
              <w:right w:val="nil"/>
            </w:tcBorders>
            <w:shd w:val="clear" w:color="auto" w:fill="auto"/>
            <w:noWrap/>
            <w:vAlign w:val="center"/>
          </w:tcPr>
          <w:p>
            <w:pPr>
              <w:jc w:val="center"/>
              <w:rPr>
                <w:rFonts w:ascii="方正小标宋简体" w:hAnsi="方正小标宋简体" w:eastAsia="方正小标宋简体" w:cs="Arial"/>
                <w:color w:val="000000"/>
                <w:sz w:val="44"/>
                <w:szCs w:val="44"/>
              </w:rPr>
            </w:pPr>
            <w:r>
              <w:rPr>
                <w:rFonts w:hint="eastAsia" w:ascii="方正小标宋简体" w:hAnsi="方正小标宋简体" w:eastAsia="方正小标宋简体" w:cs="Arial"/>
                <w:color w:val="000000"/>
                <w:sz w:val="44"/>
                <w:szCs w:val="44"/>
              </w:rPr>
              <w:t>2024年单位收入预算总表（02）</w:t>
            </w:r>
          </w:p>
        </w:tc>
      </w:tr>
      <w:tr>
        <w:tblPrEx>
          <w:tblCellMar>
            <w:top w:w="0" w:type="dxa"/>
            <w:left w:w="108" w:type="dxa"/>
            <w:bottom w:w="0" w:type="dxa"/>
            <w:right w:w="108" w:type="dxa"/>
          </w:tblCellMar>
        </w:tblPrEx>
        <w:trPr>
          <w:trHeight w:val="390" w:hRule="atLeast"/>
        </w:trPr>
        <w:tc>
          <w:tcPr>
            <w:tcW w:w="3048" w:type="dxa"/>
            <w:gridSpan w:val="3"/>
            <w:tcBorders>
              <w:top w:val="nil"/>
              <w:left w:val="nil"/>
              <w:bottom w:val="nil"/>
              <w:right w:val="nil"/>
            </w:tcBorders>
            <w:shd w:val="clear" w:color="auto" w:fill="auto"/>
            <w:noWrap/>
            <w:vAlign w:val="center"/>
          </w:tcPr>
          <w:p>
            <w:pPr>
              <w:rPr>
                <w:rFonts w:ascii="宋体" w:hAnsi="宋体" w:cs="Arial"/>
                <w:color w:val="000000"/>
                <w:sz w:val="20"/>
              </w:rPr>
            </w:pPr>
            <w:r>
              <w:rPr>
                <w:rFonts w:hint="eastAsia" w:cs="Arial"/>
                <w:color w:val="000000"/>
                <w:sz w:val="20"/>
              </w:rPr>
              <w:t>350022-德清县上柏小学</w:t>
            </w:r>
          </w:p>
        </w:tc>
        <w:tc>
          <w:tcPr>
            <w:tcW w:w="880" w:type="dxa"/>
            <w:tcBorders>
              <w:top w:val="nil"/>
              <w:left w:val="nil"/>
              <w:bottom w:val="nil"/>
              <w:right w:val="nil"/>
            </w:tcBorders>
            <w:shd w:val="clear" w:color="auto" w:fill="auto"/>
            <w:vAlign w:val="center"/>
          </w:tcPr>
          <w:p>
            <w:pPr>
              <w:rPr>
                <w:rFonts w:ascii="宋体" w:hAnsi="宋体" w:cs="Arial"/>
                <w:color w:val="000000"/>
                <w:sz w:val="20"/>
              </w:rPr>
            </w:pPr>
          </w:p>
        </w:tc>
        <w:tc>
          <w:tcPr>
            <w:tcW w:w="636" w:type="dxa"/>
            <w:tcBorders>
              <w:top w:val="nil"/>
              <w:left w:val="nil"/>
              <w:bottom w:val="nil"/>
              <w:right w:val="nil"/>
            </w:tcBorders>
            <w:shd w:val="clear" w:color="auto" w:fill="auto"/>
            <w:vAlign w:val="center"/>
          </w:tcPr>
          <w:p>
            <w:pPr>
              <w:rPr>
                <w:rFonts w:ascii="宋体" w:hAnsi="宋体" w:cs="Arial"/>
                <w:color w:val="000000"/>
                <w:sz w:val="20"/>
              </w:rPr>
            </w:pPr>
          </w:p>
        </w:tc>
        <w:tc>
          <w:tcPr>
            <w:tcW w:w="614" w:type="dxa"/>
            <w:tcBorders>
              <w:top w:val="nil"/>
              <w:left w:val="nil"/>
              <w:bottom w:val="nil"/>
              <w:right w:val="nil"/>
            </w:tcBorders>
            <w:shd w:val="clear" w:color="auto" w:fill="auto"/>
            <w:vAlign w:val="center"/>
          </w:tcPr>
          <w:p>
            <w:pPr>
              <w:rPr>
                <w:rFonts w:ascii="宋体" w:hAnsi="宋体" w:cs="Arial"/>
                <w:color w:val="000000"/>
                <w:sz w:val="20"/>
              </w:rPr>
            </w:pPr>
          </w:p>
        </w:tc>
        <w:tc>
          <w:tcPr>
            <w:tcW w:w="759" w:type="dxa"/>
            <w:gridSpan w:val="2"/>
            <w:tcBorders>
              <w:top w:val="nil"/>
              <w:left w:val="nil"/>
              <w:bottom w:val="nil"/>
              <w:right w:val="nil"/>
            </w:tcBorders>
            <w:shd w:val="clear" w:color="auto" w:fill="auto"/>
            <w:vAlign w:val="center"/>
          </w:tcPr>
          <w:p>
            <w:pPr>
              <w:rPr>
                <w:rFonts w:ascii="宋体" w:hAnsi="宋体" w:cs="Arial"/>
                <w:color w:val="000000"/>
                <w:sz w:val="20"/>
              </w:rPr>
            </w:pPr>
          </w:p>
        </w:tc>
        <w:tc>
          <w:tcPr>
            <w:tcW w:w="440" w:type="dxa"/>
            <w:gridSpan w:val="2"/>
            <w:tcBorders>
              <w:top w:val="nil"/>
              <w:left w:val="nil"/>
              <w:bottom w:val="nil"/>
              <w:right w:val="nil"/>
            </w:tcBorders>
            <w:shd w:val="clear" w:color="auto" w:fill="auto"/>
            <w:vAlign w:val="center"/>
          </w:tcPr>
          <w:p>
            <w:pPr>
              <w:rPr>
                <w:rFonts w:ascii="宋体" w:hAnsi="宋体" w:cs="Arial"/>
                <w:color w:val="000000"/>
                <w:sz w:val="20"/>
              </w:rPr>
            </w:pPr>
          </w:p>
        </w:tc>
        <w:tc>
          <w:tcPr>
            <w:tcW w:w="416" w:type="dxa"/>
            <w:gridSpan w:val="2"/>
            <w:tcBorders>
              <w:top w:val="nil"/>
              <w:left w:val="nil"/>
              <w:bottom w:val="nil"/>
              <w:right w:val="nil"/>
            </w:tcBorders>
            <w:shd w:val="clear" w:color="auto" w:fill="auto"/>
            <w:vAlign w:val="center"/>
          </w:tcPr>
          <w:p>
            <w:pPr>
              <w:rPr>
                <w:rFonts w:ascii="宋体" w:hAnsi="宋体" w:cs="Arial"/>
                <w:color w:val="000000"/>
                <w:sz w:val="20"/>
              </w:rPr>
            </w:pPr>
          </w:p>
        </w:tc>
        <w:tc>
          <w:tcPr>
            <w:tcW w:w="416" w:type="dxa"/>
            <w:tcBorders>
              <w:top w:val="nil"/>
              <w:left w:val="nil"/>
              <w:bottom w:val="nil"/>
              <w:right w:val="nil"/>
            </w:tcBorders>
            <w:shd w:val="clear" w:color="auto" w:fill="auto"/>
            <w:vAlign w:val="center"/>
          </w:tcPr>
          <w:p>
            <w:pPr>
              <w:rPr>
                <w:rFonts w:ascii="宋体" w:hAnsi="宋体" w:cs="Arial"/>
                <w:color w:val="000000"/>
                <w:sz w:val="20"/>
              </w:rPr>
            </w:pPr>
          </w:p>
        </w:tc>
        <w:tc>
          <w:tcPr>
            <w:tcW w:w="537" w:type="dxa"/>
            <w:tcBorders>
              <w:top w:val="nil"/>
              <w:left w:val="nil"/>
              <w:bottom w:val="nil"/>
              <w:right w:val="nil"/>
            </w:tcBorders>
            <w:shd w:val="clear" w:color="auto" w:fill="auto"/>
            <w:noWrap/>
            <w:vAlign w:val="bottom"/>
          </w:tcPr>
          <w:p>
            <w:pPr>
              <w:rPr>
                <w:rFonts w:ascii="Calibri" w:hAnsi="Calibri" w:cs="Calibri"/>
                <w:color w:val="000000"/>
                <w:sz w:val="20"/>
              </w:rPr>
            </w:pPr>
          </w:p>
        </w:tc>
        <w:tc>
          <w:tcPr>
            <w:tcW w:w="1482" w:type="dxa"/>
            <w:gridSpan w:val="3"/>
            <w:tcBorders>
              <w:top w:val="nil"/>
              <w:left w:val="nil"/>
              <w:bottom w:val="nil"/>
              <w:right w:val="nil"/>
            </w:tcBorders>
            <w:shd w:val="clear" w:color="auto" w:fill="auto"/>
            <w:noWrap/>
            <w:vAlign w:val="bottom"/>
          </w:tcPr>
          <w:p>
            <w:pPr>
              <w:rPr>
                <w:rFonts w:ascii="Calibri" w:hAnsi="Calibri" w:cs="Calibri"/>
                <w:color w:val="000000"/>
                <w:sz w:val="20"/>
              </w:rPr>
            </w:pPr>
          </w:p>
        </w:tc>
        <w:tc>
          <w:tcPr>
            <w:tcW w:w="236" w:type="dxa"/>
            <w:tcBorders>
              <w:top w:val="nil"/>
              <w:left w:val="nil"/>
              <w:bottom w:val="nil"/>
              <w:right w:val="nil"/>
            </w:tcBorders>
            <w:shd w:val="clear" w:color="auto" w:fill="auto"/>
            <w:noWrap/>
            <w:vAlign w:val="bottom"/>
          </w:tcPr>
          <w:p>
            <w:pPr>
              <w:rPr>
                <w:rFonts w:ascii="Calibri" w:hAnsi="Calibri" w:cs="Calibri"/>
                <w:color w:val="000000"/>
                <w:sz w:val="20"/>
              </w:rPr>
            </w:pPr>
          </w:p>
        </w:tc>
        <w:tc>
          <w:tcPr>
            <w:tcW w:w="540" w:type="dxa"/>
            <w:gridSpan w:val="2"/>
            <w:tcBorders>
              <w:top w:val="nil"/>
              <w:left w:val="nil"/>
              <w:bottom w:val="nil"/>
              <w:right w:val="nil"/>
            </w:tcBorders>
            <w:shd w:val="clear" w:color="auto" w:fill="auto"/>
            <w:noWrap/>
            <w:vAlign w:val="bottom"/>
          </w:tcPr>
          <w:p>
            <w:pPr>
              <w:rPr>
                <w:rFonts w:ascii="Calibri" w:hAnsi="Calibri" w:cs="Calibri"/>
                <w:color w:val="000000"/>
                <w:sz w:val="20"/>
              </w:rPr>
            </w:pPr>
          </w:p>
        </w:tc>
        <w:tc>
          <w:tcPr>
            <w:tcW w:w="512" w:type="dxa"/>
            <w:gridSpan w:val="2"/>
            <w:tcBorders>
              <w:top w:val="nil"/>
              <w:left w:val="nil"/>
              <w:bottom w:val="nil"/>
              <w:right w:val="nil"/>
            </w:tcBorders>
            <w:shd w:val="clear" w:color="auto" w:fill="auto"/>
            <w:noWrap/>
            <w:vAlign w:val="bottom"/>
          </w:tcPr>
          <w:p>
            <w:pPr>
              <w:rPr>
                <w:rFonts w:ascii="Calibri" w:hAnsi="Calibri" w:cs="Calibri"/>
                <w:color w:val="000000"/>
                <w:sz w:val="20"/>
              </w:rPr>
            </w:pPr>
          </w:p>
        </w:tc>
        <w:tc>
          <w:tcPr>
            <w:tcW w:w="494" w:type="dxa"/>
            <w:tcBorders>
              <w:top w:val="nil"/>
              <w:left w:val="nil"/>
              <w:bottom w:val="nil"/>
              <w:right w:val="nil"/>
            </w:tcBorders>
            <w:shd w:val="clear" w:color="auto" w:fill="auto"/>
            <w:noWrap/>
            <w:vAlign w:val="bottom"/>
          </w:tcPr>
          <w:p>
            <w:pPr>
              <w:rPr>
                <w:rFonts w:ascii="Calibri" w:hAnsi="Calibri" w:cs="Calibri"/>
                <w:color w:val="000000"/>
                <w:sz w:val="20"/>
              </w:rPr>
            </w:pPr>
          </w:p>
        </w:tc>
        <w:tc>
          <w:tcPr>
            <w:tcW w:w="478" w:type="dxa"/>
            <w:gridSpan w:val="2"/>
            <w:tcBorders>
              <w:top w:val="nil"/>
              <w:left w:val="nil"/>
              <w:bottom w:val="nil"/>
              <w:right w:val="nil"/>
            </w:tcBorders>
            <w:shd w:val="clear" w:color="auto" w:fill="auto"/>
            <w:noWrap/>
            <w:vAlign w:val="bottom"/>
          </w:tcPr>
          <w:p>
            <w:pPr>
              <w:rPr>
                <w:rFonts w:ascii="Calibri" w:hAnsi="Calibri" w:cs="Calibri"/>
                <w:color w:val="000000"/>
                <w:sz w:val="20"/>
              </w:rPr>
            </w:pPr>
          </w:p>
        </w:tc>
        <w:tc>
          <w:tcPr>
            <w:tcW w:w="3042" w:type="dxa"/>
            <w:gridSpan w:val="4"/>
            <w:tcBorders>
              <w:top w:val="nil"/>
              <w:left w:val="nil"/>
              <w:bottom w:val="nil"/>
              <w:right w:val="nil"/>
            </w:tcBorders>
            <w:shd w:val="clear" w:color="auto" w:fill="auto"/>
            <w:noWrap/>
            <w:vAlign w:val="center"/>
          </w:tcPr>
          <w:p>
            <w:pPr>
              <w:jc w:val="right"/>
              <w:rPr>
                <w:rFonts w:ascii="宋体" w:hAnsi="宋体" w:cs="Arial"/>
                <w:color w:val="000000"/>
                <w:sz w:val="20"/>
              </w:rPr>
            </w:pPr>
            <w:r>
              <w:rPr>
                <w:rFonts w:hint="eastAsia" w:cs="Arial"/>
                <w:color w:val="000000"/>
                <w:sz w:val="20"/>
              </w:rPr>
              <w:t>单位：万元</w:t>
            </w:r>
          </w:p>
        </w:tc>
      </w:tr>
      <w:tr>
        <w:tblPrEx>
          <w:tblCellMar>
            <w:top w:w="0" w:type="dxa"/>
            <w:left w:w="108" w:type="dxa"/>
            <w:bottom w:w="0" w:type="dxa"/>
            <w:right w:w="108" w:type="dxa"/>
          </w:tblCellMar>
        </w:tblPrEx>
        <w:trPr>
          <w:gridAfter w:val="1"/>
          <w:wAfter w:w="624" w:type="dxa"/>
          <w:trHeight w:val="600" w:hRule="atLeast"/>
        </w:trPr>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单位名称</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总计</w:t>
            </w:r>
          </w:p>
        </w:tc>
        <w:tc>
          <w:tcPr>
            <w:tcW w:w="7120" w:type="dxa"/>
            <w:gridSpan w:val="15"/>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本年收入</w:t>
            </w:r>
          </w:p>
        </w:tc>
        <w:tc>
          <w:tcPr>
            <w:tcW w:w="4678" w:type="dxa"/>
            <w:gridSpan w:val="11"/>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上年结转结余</w:t>
            </w:r>
          </w:p>
        </w:tc>
      </w:tr>
      <w:tr>
        <w:tblPrEx>
          <w:tblCellMar>
            <w:top w:w="0" w:type="dxa"/>
            <w:left w:w="108" w:type="dxa"/>
            <w:bottom w:w="0" w:type="dxa"/>
            <w:right w:w="108" w:type="dxa"/>
          </w:tblCellMar>
        </w:tblPrEx>
        <w:trPr>
          <w:gridAfter w:val="1"/>
          <w:wAfter w:w="624" w:type="dxa"/>
          <w:trHeight w:val="2205" w:hRule="atLeast"/>
        </w:trPr>
        <w:tc>
          <w:tcPr>
            <w:tcW w:w="1228"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s="Arial"/>
                <w:color w:val="000000"/>
                <w:sz w:val="20"/>
              </w:rPr>
            </w:pPr>
          </w:p>
        </w:tc>
        <w:tc>
          <w:tcPr>
            <w:tcW w:w="880"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s="Arial"/>
                <w:color w:val="000000"/>
                <w:sz w:val="20"/>
              </w:rPr>
            </w:pPr>
          </w:p>
        </w:tc>
        <w:tc>
          <w:tcPr>
            <w:tcW w:w="940" w:type="dxa"/>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小计</w:t>
            </w:r>
          </w:p>
        </w:tc>
        <w:tc>
          <w:tcPr>
            <w:tcW w:w="880" w:type="dxa"/>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 一般公共预算</w:t>
            </w:r>
          </w:p>
        </w:tc>
        <w:tc>
          <w:tcPr>
            <w:tcW w:w="636" w:type="dxa"/>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政府性基金预算</w:t>
            </w:r>
          </w:p>
        </w:tc>
        <w:tc>
          <w:tcPr>
            <w:tcW w:w="837"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国有资本经营预算</w:t>
            </w:r>
          </w:p>
        </w:tc>
        <w:tc>
          <w:tcPr>
            <w:tcW w:w="709"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财政专户管理资金</w:t>
            </w:r>
          </w:p>
        </w:tc>
        <w:tc>
          <w:tcPr>
            <w:tcW w:w="567"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事业收入</w:t>
            </w:r>
          </w:p>
        </w:tc>
        <w:tc>
          <w:tcPr>
            <w:tcW w:w="532"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事业单位经营收入</w:t>
            </w:r>
          </w:p>
        </w:tc>
        <w:tc>
          <w:tcPr>
            <w:tcW w:w="602"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上级补助收入</w:t>
            </w:r>
          </w:p>
        </w:tc>
        <w:tc>
          <w:tcPr>
            <w:tcW w:w="708" w:type="dxa"/>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附属单位上缴收入</w:t>
            </w:r>
          </w:p>
        </w:tc>
        <w:tc>
          <w:tcPr>
            <w:tcW w:w="709" w:type="dxa"/>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其他收入</w:t>
            </w:r>
          </w:p>
        </w:tc>
        <w:tc>
          <w:tcPr>
            <w:tcW w:w="664"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小计</w:t>
            </w:r>
          </w:p>
        </w:tc>
        <w:tc>
          <w:tcPr>
            <w:tcW w:w="612"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 一般公共预算</w:t>
            </w:r>
          </w:p>
        </w:tc>
        <w:tc>
          <w:tcPr>
            <w:tcW w:w="85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政府性基金预算</w:t>
            </w:r>
          </w:p>
        </w:tc>
        <w:tc>
          <w:tcPr>
            <w:tcW w:w="709"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国有资本经营预算</w:t>
            </w:r>
          </w:p>
        </w:tc>
        <w:tc>
          <w:tcPr>
            <w:tcW w:w="992" w:type="dxa"/>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专户资金结转结余</w:t>
            </w:r>
          </w:p>
        </w:tc>
        <w:tc>
          <w:tcPr>
            <w:tcW w:w="851" w:type="dxa"/>
            <w:tcBorders>
              <w:top w:val="nil"/>
              <w:left w:val="nil"/>
              <w:bottom w:val="single" w:color="000000" w:sz="4" w:space="0"/>
              <w:right w:val="single" w:color="000000" w:sz="4" w:space="0"/>
            </w:tcBorders>
            <w:shd w:val="clear" w:color="auto" w:fill="auto"/>
            <w:vAlign w:val="center"/>
          </w:tcPr>
          <w:p>
            <w:pPr>
              <w:jc w:val="center"/>
              <w:rPr>
                <w:rFonts w:ascii="宋体" w:hAnsi="宋体" w:cs="Arial"/>
                <w:color w:val="000000"/>
                <w:sz w:val="20"/>
              </w:rPr>
            </w:pPr>
            <w:r>
              <w:rPr>
                <w:rFonts w:hint="eastAsia" w:cs="Arial"/>
                <w:color w:val="000000"/>
                <w:sz w:val="20"/>
              </w:rPr>
              <w:t>单位资金结转结余</w:t>
            </w:r>
          </w:p>
        </w:tc>
      </w:tr>
      <w:tr>
        <w:tblPrEx>
          <w:tblCellMar>
            <w:top w:w="0" w:type="dxa"/>
            <w:left w:w="108" w:type="dxa"/>
            <w:bottom w:w="0" w:type="dxa"/>
            <w:right w:w="108" w:type="dxa"/>
          </w:tblCellMar>
        </w:tblPrEx>
        <w:trPr>
          <w:gridAfter w:val="1"/>
          <w:wAfter w:w="624" w:type="dxa"/>
          <w:trHeight w:val="390" w:hRule="atLeast"/>
        </w:trPr>
        <w:tc>
          <w:tcPr>
            <w:tcW w:w="1228"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w:t>
            </w:r>
          </w:p>
        </w:tc>
        <w:tc>
          <w:tcPr>
            <w:tcW w:w="880" w:type="dxa"/>
            <w:tcBorders>
              <w:top w:val="nil"/>
              <w:left w:val="nil"/>
              <w:bottom w:val="nil"/>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w:t>
            </w:r>
          </w:p>
        </w:tc>
        <w:tc>
          <w:tcPr>
            <w:tcW w:w="940"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2</w:t>
            </w:r>
          </w:p>
        </w:tc>
        <w:tc>
          <w:tcPr>
            <w:tcW w:w="880" w:type="dxa"/>
            <w:tcBorders>
              <w:top w:val="nil"/>
              <w:left w:val="nil"/>
              <w:bottom w:val="nil"/>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3</w:t>
            </w:r>
          </w:p>
        </w:tc>
        <w:tc>
          <w:tcPr>
            <w:tcW w:w="63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4</w:t>
            </w:r>
          </w:p>
        </w:tc>
        <w:tc>
          <w:tcPr>
            <w:tcW w:w="837" w:type="dxa"/>
            <w:gridSpan w:val="2"/>
            <w:tcBorders>
              <w:top w:val="nil"/>
              <w:left w:val="nil"/>
              <w:bottom w:val="nil"/>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5</w:t>
            </w:r>
          </w:p>
        </w:tc>
        <w:tc>
          <w:tcPr>
            <w:tcW w:w="709" w:type="dxa"/>
            <w:gridSpan w:val="2"/>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6</w:t>
            </w:r>
          </w:p>
        </w:tc>
        <w:tc>
          <w:tcPr>
            <w:tcW w:w="567" w:type="dxa"/>
            <w:gridSpan w:val="2"/>
            <w:tcBorders>
              <w:top w:val="nil"/>
              <w:left w:val="nil"/>
              <w:bottom w:val="nil"/>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7</w:t>
            </w:r>
          </w:p>
        </w:tc>
        <w:tc>
          <w:tcPr>
            <w:tcW w:w="532" w:type="dxa"/>
            <w:gridSpan w:val="2"/>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8</w:t>
            </w:r>
          </w:p>
        </w:tc>
        <w:tc>
          <w:tcPr>
            <w:tcW w:w="602" w:type="dxa"/>
            <w:gridSpan w:val="2"/>
            <w:tcBorders>
              <w:top w:val="nil"/>
              <w:left w:val="nil"/>
              <w:bottom w:val="nil"/>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9</w:t>
            </w:r>
          </w:p>
        </w:tc>
        <w:tc>
          <w:tcPr>
            <w:tcW w:w="708"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10</w:t>
            </w:r>
          </w:p>
        </w:tc>
        <w:tc>
          <w:tcPr>
            <w:tcW w:w="709" w:type="dxa"/>
            <w:tcBorders>
              <w:top w:val="nil"/>
              <w:left w:val="nil"/>
              <w:bottom w:val="nil"/>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11</w:t>
            </w:r>
          </w:p>
        </w:tc>
        <w:tc>
          <w:tcPr>
            <w:tcW w:w="664" w:type="dxa"/>
            <w:gridSpan w:val="2"/>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12</w:t>
            </w:r>
          </w:p>
        </w:tc>
        <w:tc>
          <w:tcPr>
            <w:tcW w:w="612" w:type="dxa"/>
            <w:gridSpan w:val="2"/>
            <w:tcBorders>
              <w:top w:val="nil"/>
              <w:left w:val="nil"/>
              <w:bottom w:val="nil"/>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13</w:t>
            </w:r>
          </w:p>
        </w:tc>
        <w:tc>
          <w:tcPr>
            <w:tcW w:w="850" w:type="dxa"/>
            <w:gridSpan w:val="3"/>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14</w:t>
            </w:r>
          </w:p>
        </w:tc>
        <w:tc>
          <w:tcPr>
            <w:tcW w:w="709" w:type="dxa"/>
            <w:gridSpan w:val="2"/>
            <w:tcBorders>
              <w:top w:val="nil"/>
              <w:left w:val="nil"/>
              <w:bottom w:val="nil"/>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15</w:t>
            </w:r>
          </w:p>
        </w:tc>
        <w:tc>
          <w:tcPr>
            <w:tcW w:w="992"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16</w:t>
            </w:r>
          </w:p>
        </w:tc>
        <w:tc>
          <w:tcPr>
            <w:tcW w:w="851"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17</w:t>
            </w:r>
          </w:p>
        </w:tc>
      </w:tr>
      <w:tr>
        <w:tblPrEx>
          <w:tblCellMar>
            <w:top w:w="0" w:type="dxa"/>
            <w:left w:w="108" w:type="dxa"/>
            <w:bottom w:w="0" w:type="dxa"/>
            <w:right w:w="108" w:type="dxa"/>
          </w:tblCellMar>
        </w:tblPrEx>
        <w:trPr>
          <w:gridAfter w:val="1"/>
          <w:wAfter w:w="624" w:type="dxa"/>
          <w:trHeight w:val="390" w:hRule="atLeast"/>
        </w:trPr>
        <w:tc>
          <w:tcPr>
            <w:tcW w:w="1228"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Arial"/>
                <w:color w:val="000000"/>
                <w:sz w:val="20"/>
              </w:rPr>
            </w:pPr>
            <w:r>
              <w:rPr>
                <w:rFonts w:hint="eastAsia" w:cs="Arial"/>
                <w:color w:val="000000"/>
                <w:sz w:val="20"/>
              </w:rPr>
              <w:t>合计</w:t>
            </w:r>
          </w:p>
        </w:tc>
        <w:tc>
          <w:tcPr>
            <w:tcW w:w="880" w:type="dxa"/>
            <w:tcBorders>
              <w:top w:val="single" w:color="000000" w:sz="4" w:space="0"/>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2087.05</w:t>
            </w:r>
          </w:p>
        </w:tc>
        <w:tc>
          <w:tcPr>
            <w:tcW w:w="940"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2087.05</w:t>
            </w:r>
          </w:p>
        </w:tc>
        <w:tc>
          <w:tcPr>
            <w:tcW w:w="880" w:type="dxa"/>
            <w:tcBorders>
              <w:top w:val="single" w:color="000000" w:sz="4" w:space="0"/>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1967.84</w:t>
            </w:r>
          </w:p>
        </w:tc>
        <w:tc>
          <w:tcPr>
            <w:tcW w:w="636"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37" w:type="dxa"/>
            <w:gridSpan w:val="2"/>
            <w:tcBorders>
              <w:top w:val="single" w:color="000000" w:sz="4" w:space="0"/>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115.01</w:t>
            </w:r>
          </w:p>
        </w:tc>
        <w:tc>
          <w:tcPr>
            <w:tcW w:w="567" w:type="dxa"/>
            <w:gridSpan w:val="2"/>
            <w:tcBorders>
              <w:top w:val="single" w:color="000000" w:sz="4" w:space="0"/>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532"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602" w:type="dxa"/>
            <w:gridSpan w:val="2"/>
            <w:tcBorders>
              <w:top w:val="single" w:color="000000" w:sz="4" w:space="0"/>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8"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tcBorders>
              <w:top w:val="single" w:color="000000" w:sz="4" w:space="0"/>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4.20</w:t>
            </w:r>
          </w:p>
        </w:tc>
        <w:tc>
          <w:tcPr>
            <w:tcW w:w="664"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612" w:type="dxa"/>
            <w:gridSpan w:val="2"/>
            <w:tcBorders>
              <w:top w:val="single" w:color="000000" w:sz="4" w:space="0"/>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50"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gridSpan w:val="2"/>
            <w:tcBorders>
              <w:top w:val="single" w:color="000000" w:sz="4" w:space="0"/>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992"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51"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r>
      <w:tr>
        <w:tblPrEx>
          <w:tblCellMar>
            <w:top w:w="0" w:type="dxa"/>
            <w:left w:w="108" w:type="dxa"/>
            <w:bottom w:w="0" w:type="dxa"/>
            <w:right w:w="108" w:type="dxa"/>
          </w:tblCellMar>
        </w:tblPrEx>
        <w:trPr>
          <w:gridAfter w:val="1"/>
          <w:wAfter w:w="624" w:type="dxa"/>
          <w:trHeight w:val="390" w:hRule="atLeast"/>
        </w:trPr>
        <w:tc>
          <w:tcPr>
            <w:tcW w:w="1228"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Arial"/>
                <w:color w:val="000000"/>
                <w:sz w:val="20"/>
              </w:rPr>
            </w:pPr>
            <w:r>
              <w:rPr>
                <w:rFonts w:hint="eastAsia" w:cs="Arial"/>
                <w:color w:val="000000"/>
                <w:sz w:val="20"/>
              </w:rPr>
              <w:t>德清县教育局</w:t>
            </w:r>
          </w:p>
        </w:tc>
        <w:tc>
          <w:tcPr>
            <w:tcW w:w="880"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2087.05</w:t>
            </w:r>
          </w:p>
        </w:tc>
        <w:tc>
          <w:tcPr>
            <w:tcW w:w="940"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2087.05</w:t>
            </w:r>
          </w:p>
        </w:tc>
        <w:tc>
          <w:tcPr>
            <w:tcW w:w="880"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1967.84</w:t>
            </w:r>
          </w:p>
        </w:tc>
        <w:tc>
          <w:tcPr>
            <w:tcW w:w="636"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37"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115.01</w:t>
            </w:r>
          </w:p>
        </w:tc>
        <w:tc>
          <w:tcPr>
            <w:tcW w:w="567"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532"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602"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8"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4.20</w:t>
            </w:r>
          </w:p>
        </w:tc>
        <w:tc>
          <w:tcPr>
            <w:tcW w:w="664"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612"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50"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992"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51"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r>
      <w:tr>
        <w:tblPrEx>
          <w:tblCellMar>
            <w:top w:w="0" w:type="dxa"/>
            <w:left w:w="108" w:type="dxa"/>
            <w:bottom w:w="0" w:type="dxa"/>
            <w:right w:w="108" w:type="dxa"/>
          </w:tblCellMar>
        </w:tblPrEx>
        <w:trPr>
          <w:gridAfter w:val="1"/>
          <w:wAfter w:w="624" w:type="dxa"/>
          <w:trHeight w:val="810" w:hRule="atLeast"/>
        </w:trPr>
        <w:tc>
          <w:tcPr>
            <w:tcW w:w="122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Arial"/>
                <w:color w:val="000000"/>
                <w:sz w:val="20"/>
              </w:rPr>
            </w:pPr>
            <w:r>
              <w:rPr>
                <w:rFonts w:hint="eastAsia" w:cs="Arial"/>
                <w:color w:val="000000"/>
                <w:sz w:val="20"/>
              </w:rPr>
              <w:t>　德清县</w:t>
            </w:r>
            <w:r>
              <w:rPr>
                <w:rFonts w:hint="eastAsia" w:cs="Arial"/>
                <w:color w:val="000000"/>
                <w:sz w:val="20"/>
              </w:rPr>
              <w:br w:type="textWrapping"/>
            </w:r>
            <w:r>
              <w:rPr>
                <w:rFonts w:hint="eastAsia" w:cs="Arial"/>
                <w:color w:val="000000"/>
                <w:sz w:val="20"/>
              </w:rPr>
              <w:t>上柏小学</w:t>
            </w:r>
          </w:p>
        </w:tc>
        <w:tc>
          <w:tcPr>
            <w:tcW w:w="880"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2087.05</w:t>
            </w:r>
          </w:p>
        </w:tc>
        <w:tc>
          <w:tcPr>
            <w:tcW w:w="940"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2087.05</w:t>
            </w:r>
          </w:p>
        </w:tc>
        <w:tc>
          <w:tcPr>
            <w:tcW w:w="880"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1967.84</w:t>
            </w:r>
          </w:p>
        </w:tc>
        <w:tc>
          <w:tcPr>
            <w:tcW w:w="636"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37"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115.01</w:t>
            </w:r>
          </w:p>
        </w:tc>
        <w:tc>
          <w:tcPr>
            <w:tcW w:w="567"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532"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602"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8"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4.20</w:t>
            </w:r>
          </w:p>
        </w:tc>
        <w:tc>
          <w:tcPr>
            <w:tcW w:w="664"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612"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50" w:type="dxa"/>
            <w:gridSpan w:val="3"/>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709" w:type="dxa"/>
            <w:gridSpan w:val="2"/>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992"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c>
          <w:tcPr>
            <w:tcW w:w="851" w:type="dxa"/>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r>
    </w:tbl>
    <w:tbl>
      <w:tblPr>
        <w:tblStyle w:val="7"/>
        <w:tblpPr w:leftFromText="180" w:rightFromText="180" w:horzAnchor="page" w:tblpX="1" w:tblpY="442"/>
        <w:tblW w:w="18913" w:type="dxa"/>
        <w:tblInd w:w="0" w:type="dxa"/>
        <w:tblLayout w:type="autofit"/>
        <w:tblCellMar>
          <w:top w:w="0" w:type="dxa"/>
          <w:left w:w="108" w:type="dxa"/>
          <w:bottom w:w="0" w:type="dxa"/>
          <w:right w:w="108" w:type="dxa"/>
        </w:tblCellMar>
      </w:tblPr>
      <w:tblGrid>
        <w:gridCol w:w="18913"/>
      </w:tblGrid>
      <w:tr>
        <w:tblPrEx>
          <w:tblCellMar>
            <w:top w:w="0" w:type="dxa"/>
            <w:left w:w="108" w:type="dxa"/>
            <w:bottom w:w="0" w:type="dxa"/>
            <w:right w:w="108" w:type="dxa"/>
          </w:tblCellMar>
        </w:tblPrEx>
        <w:trPr>
          <w:trHeight w:val="675" w:hRule="atLeast"/>
        </w:trPr>
        <w:tc>
          <w:tcPr>
            <w:tcW w:w="18913" w:type="dxa"/>
            <w:tcBorders>
              <w:top w:val="nil"/>
              <w:left w:val="nil"/>
              <w:bottom w:val="nil"/>
              <w:right w:val="nil"/>
            </w:tcBorders>
            <w:shd w:val="clear" w:color="auto" w:fill="auto"/>
            <w:noWrap/>
            <w:vAlign w:val="center"/>
          </w:tcPr>
          <w:p>
            <w:pPr>
              <w:widowControl/>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 xml:space="preserve">       </w:t>
            </w:r>
          </w:p>
        </w:tc>
      </w:tr>
    </w:tbl>
    <w:p>
      <w:pPr>
        <w:pStyle w:val="2"/>
        <w:rPr>
          <w:rFonts w:hint="default"/>
        </w:rPr>
      </w:pPr>
    </w:p>
    <w:tbl>
      <w:tblPr>
        <w:tblStyle w:val="7"/>
        <w:tblW w:w="13906" w:type="dxa"/>
        <w:tblInd w:w="94" w:type="dxa"/>
        <w:tblLayout w:type="autofit"/>
        <w:tblCellMar>
          <w:top w:w="0" w:type="dxa"/>
          <w:left w:w="108" w:type="dxa"/>
          <w:bottom w:w="0" w:type="dxa"/>
          <w:right w:w="108" w:type="dxa"/>
        </w:tblCellMar>
      </w:tblPr>
      <w:tblGrid>
        <w:gridCol w:w="2424"/>
        <w:gridCol w:w="3584"/>
        <w:gridCol w:w="1060"/>
        <w:gridCol w:w="1160"/>
        <w:gridCol w:w="1000"/>
        <w:gridCol w:w="1276"/>
        <w:gridCol w:w="850"/>
        <w:gridCol w:w="1276"/>
        <w:gridCol w:w="1276"/>
      </w:tblGrid>
      <w:tr>
        <w:tblPrEx>
          <w:tblCellMar>
            <w:top w:w="0" w:type="dxa"/>
            <w:left w:w="108" w:type="dxa"/>
            <w:bottom w:w="0" w:type="dxa"/>
            <w:right w:w="108" w:type="dxa"/>
          </w:tblCellMar>
        </w:tblPrEx>
        <w:trPr>
          <w:trHeight w:val="585" w:hRule="atLeast"/>
        </w:trPr>
        <w:tc>
          <w:tcPr>
            <w:tcW w:w="13906" w:type="dxa"/>
            <w:gridSpan w:val="9"/>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2024年单位支出预算总表（03）</w:t>
            </w:r>
          </w:p>
        </w:tc>
      </w:tr>
      <w:tr>
        <w:tblPrEx>
          <w:tblCellMar>
            <w:top w:w="0" w:type="dxa"/>
            <w:left w:w="108" w:type="dxa"/>
            <w:bottom w:w="0" w:type="dxa"/>
            <w:right w:w="108" w:type="dxa"/>
          </w:tblCellMar>
        </w:tblPrEx>
        <w:trPr>
          <w:trHeight w:val="390" w:hRule="atLeast"/>
        </w:trPr>
        <w:tc>
          <w:tcPr>
            <w:tcW w:w="2424" w:type="dxa"/>
            <w:tcBorders>
              <w:top w:val="nil"/>
              <w:left w:val="nil"/>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3584"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0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1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00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276"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85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276"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276"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242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3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1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21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事业单位经营支出</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上缴上级支出</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对附属单位补助支出</w:t>
            </w:r>
          </w:p>
        </w:tc>
      </w:tr>
      <w:tr>
        <w:tblPrEx>
          <w:tblCellMar>
            <w:top w:w="0" w:type="dxa"/>
            <w:left w:w="108" w:type="dxa"/>
            <w:bottom w:w="0" w:type="dxa"/>
            <w:right w:w="108" w:type="dxa"/>
          </w:tblCellMar>
        </w:tblPrEx>
        <w:trPr>
          <w:trHeight w:val="315" w:hRule="atLeast"/>
        </w:trPr>
        <w:tc>
          <w:tcPr>
            <w:tcW w:w="242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5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1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人员支出</w:t>
            </w:r>
          </w:p>
        </w:tc>
        <w:tc>
          <w:tcPr>
            <w:tcW w:w="10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12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2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2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15"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2087.05</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1888.29</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56.92</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205</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1687.06</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1488.30</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56.92</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1687.06</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1488.30</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56.92</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2050202</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小学教育</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1687.06</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1488.30</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56.92</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208</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2080502</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2080505</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2080506</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210</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40" w:hRule="atLeast"/>
        </w:trPr>
        <w:tc>
          <w:tcPr>
            <w:tcW w:w="24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2101102</w:t>
            </w:r>
          </w:p>
        </w:tc>
        <w:tc>
          <w:tcPr>
            <w:tcW w:w="358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1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1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0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5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2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tbl>
      <w:tblPr>
        <w:tblStyle w:val="7"/>
        <w:tblW w:w="14160" w:type="dxa"/>
        <w:tblInd w:w="94" w:type="dxa"/>
        <w:tblLayout w:type="autofit"/>
        <w:tblCellMar>
          <w:top w:w="0" w:type="dxa"/>
          <w:left w:w="108" w:type="dxa"/>
          <w:bottom w:w="0" w:type="dxa"/>
          <w:right w:w="108" w:type="dxa"/>
        </w:tblCellMar>
      </w:tblPr>
      <w:tblGrid>
        <w:gridCol w:w="2000"/>
        <w:gridCol w:w="800"/>
        <w:gridCol w:w="3060"/>
        <w:gridCol w:w="500"/>
        <w:gridCol w:w="1560"/>
        <w:gridCol w:w="1560"/>
        <w:gridCol w:w="1160"/>
        <w:gridCol w:w="400"/>
        <w:gridCol w:w="1560"/>
        <w:gridCol w:w="80"/>
        <w:gridCol w:w="1480"/>
      </w:tblGrid>
      <w:tr>
        <w:tblPrEx>
          <w:tblCellMar>
            <w:top w:w="0" w:type="dxa"/>
            <w:left w:w="108" w:type="dxa"/>
            <w:bottom w:w="0" w:type="dxa"/>
            <w:right w:w="108" w:type="dxa"/>
          </w:tblCellMar>
        </w:tblPrEx>
        <w:trPr>
          <w:gridAfter w:val="1"/>
          <w:wAfter w:w="1480" w:type="dxa"/>
          <w:trHeight w:val="570" w:hRule="atLeast"/>
        </w:trPr>
        <w:tc>
          <w:tcPr>
            <w:tcW w:w="12680" w:type="dxa"/>
            <w:gridSpan w:val="10"/>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2024年单位财政拨款收支预算总表（04）</w:t>
            </w:r>
          </w:p>
        </w:tc>
      </w:tr>
      <w:tr>
        <w:tblPrEx>
          <w:tblCellMar>
            <w:top w:w="0" w:type="dxa"/>
            <w:left w:w="108" w:type="dxa"/>
            <w:bottom w:w="0" w:type="dxa"/>
            <w:right w:w="108" w:type="dxa"/>
          </w:tblCellMar>
        </w:tblPrEx>
        <w:trPr>
          <w:gridAfter w:val="1"/>
          <w:wAfter w:w="1480" w:type="dxa"/>
          <w:trHeight w:val="300" w:hRule="atLeast"/>
        </w:trPr>
        <w:tc>
          <w:tcPr>
            <w:tcW w:w="2800"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30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4780" w:type="dxa"/>
            <w:gridSpan w:val="4"/>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2040" w:type="dxa"/>
            <w:gridSpan w:val="3"/>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1"/>
          <w:wAfter w:w="1480" w:type="dxa"/>
          <w:trHeight w:val="330" w:hRule="atLeast"/>
        </w:trPr>
        <w:tc>
          <w:tcPr>
            <w:tcW w:w="586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6820" w:type="dxa"/>
            <w:gridSpan w:val="7"/>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30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1967.84</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1567.85</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1967.84</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1567.85</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小学教育</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1567.85</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6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6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r>
      <w:tr>
        <w:tblPrEx>
          <w:tblCellMar>
            <w:top w:w="0" w:type="dxa"/>
            <w:left w:w="108" w:type="dxa"/>
            <w:bottom w:w="0" w:type="dxa"/>
            <w:right w:w="108" w:type="dxa"/>
          </w:tblCellMar>
        </w:tblPrEx>
        <w:trPr>
          <w:gridAfter w:val="1"/>
          <w:wAfter w:w="1480" w:type="dxa"/>
          <w:trHeight w:val="390"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r>
      <w:tr>
        <w:tblPrEx>
          <w:tblCellMar>
            <w:top w:w="0" w:type="dxa"/>
            <w:left w:w="108" w:type="dxa"/>
            <w:bottom w:w="0" w:type="dxa"/>
            <w:right w:w="108" w:type="dxa"/>
          </w:tblCellMar>
        </w:tblPrEx>
        <w:trPr>
          <w:gridAfter w:val="1"/>
          <w:wAfter w:w="1480" w:type="dxa"/>
          <w:trHeight w:val="315"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1967.84</w:t>
            </w:r>
          </w:p>
        </w:tc>
        <w:tc>
          <w:tcPr>
            <w:tcW w:w="4780" w:type="dxa"/>
            <w:gridSpan w:val="4"/>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80" w:type="dxa"/>
          <w:trHeight w:val="315"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80" w:type="dxa"/>
          <w:trHeight w:val="315"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80" w:type="dxa"/>
          <w:trHeight w:val="315"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80" w:type="dxa"/>
          <w:trHeight w:val="315" w:hRule="atLeast"/>
        </w:trPr>
        <w:tc>
          <w:tcPr>
            <w:tcW w:w="280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80" w:type="dxa"/>
            <w:gridSpan w:val="4"/>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1480" w:type="dxa"/>
          <w:trHeight w:val="315" w:hRule="atLeast"/>
        </w:trPr>
        <w:tc>
          <w:tcPr>
            <w:tcW w:w="2800" w:type="dxa"/>
            <w:gridSpan w:val="2"/>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30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1967.84</w:t>
            </w:r>
          </w:p>
        </w:tc>
        <w:tc>
          <w:tcPr>
            <w:tcW w:w="4780" w:type="dxa"/>
            <w:gridSpan w:val="4"/>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1967.84</w:t>
            </w:r>
          </w:p>
        </w:tc>
      </w:tr>
      <w:tr>
        <w:tblPrEx>
          <w:tblCellMar>
            <w:top w:w="0" w:type="dxa"/>
            <w:left w:w="108" w:type="dxa"/>
            <w:bottom w:w="0" w:type="dxa"/>
            <w:right w:w="108" w:type="dxa"/>
          </w:tblCellMar>
        </w:tblPrEx>
        <w:trPr>
          <w:trHeight w:val="645" w:hRule="atLeast"/>
        </w:trPr>
        <w:tc>
          <w:tcPr>
            <w:tcW w:w="14160" w:type="dxa"/>
            <w:gridSpan w:val="11"/>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2024年单位一般公共预算支出表（05）</w:t>
            </w:r>
          </w:p>
        </w:tc>
      </w:tr>
      <w:tr>
        <w:tblPrEx>
          <w:tblCellMar>
            <w:top w:w="0" w:type="dxa"/>
            <w:left w:w="108" w:type="dxa"/>
            <w:bottom w:w="0" w:type="dxa"/>
            <w:right w:w="108" w:type="dxa"/>
          </w:tblCellMar>
        </w:tblPrEx>
        <w:trPr>
          <w:trHeight w:val="390" w:hRule="atLeast"/>
        </w:trPr>
        <w:tc>
          <w:tcPr>
            <w:tcW w:w="6360" w:type="dxa"/>
            <w:gridSpan w:val="4"/>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15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36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468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600" w:hRule="atLeast"/>
        </w:trPr>
        <w:tc>
          <w:tcPr>
            <w:tcW w:w="20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36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5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15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156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360" w:type="dxa"/>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6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56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560" w:type="dxa"/>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56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5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r>
      <w:tr>
        <w:tblPrEx>
          <w:tblCellMar>
            <w:top w:w="0" w:type="dxa"/>
            <w:left w:w="108" w:type="dxa"/>
            <w:bottom w:w="0" w:type="dxa"/>
            <w:right w:w="108" w:type="dxa"/>
          </w:tblCellMar>
        </w:tblPrEx>
        <w:trPr>
          <w:trHeight w:val="390" w:hRule="atLeast"/>
        </w:trPr>
        <w:tc>
          <w:tcPr>
            <w:tcW w:w="200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360" w:type="dxa"/>
            <w:gridSpan w:val="3"/>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1967.84</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1930.12</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1788.28</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37.72</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205</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1567.85</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1530.13</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1388.29</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37.72</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1567.85</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1530.13</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1388.29</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37.72</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2050202</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小学教育</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1567.85</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1530.13</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1388.29</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37.72</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208</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300.29</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2080502</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2080505</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2080506</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210</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2101102</w:t>
            </w:r>
          </w:p>
        </w:tc>
        <w:tc>
          <w:tcPr>
            <w:tcW w:w="4360"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156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tbl>
      <w:tblPr>
        <w:tblStyle w:val="7"/>
        <w:tblW w:w="14500" w:type="dxa"/>
        <w:tblInd w:w="94" w:type="dxa"/>
        <w:tblLayout w:type="autofit"/>
        <w:tblCellMar>
          <w:top w:w="0" w:type="dxa"/>
          <w:left w:w="108" w:type="dxa"/>
          <w:bottom w:w="0" w:type="dxa"/>
          <w:right w:w="108" w:type="dxa"/>
        </w:tblCellMar>
      </w:tblPr>
      <w:tblGrid>
        <w:gridCol w:w="2740"/>
        <w:gridCol w:w="4680"/>
        <w:gridCol w:w="2360"/>
        <w:gridCol w:w="2360"/>
        <w:gridCol w:w="2360"/>
      </w:tblGrid>
      <w:tr>
        <w:tblPrEx>
          <w:tblCellMar>
            <w:top w:w="0" w:type="dxa"/>
            <w:left w:w="108" w:type="dxa"/>
            <w:bottom w:w="0" w:type="dxa"/>
            <w:right w:w="108" w:type="dxa"/>
          </w:tblCellMar>
        </w:tblPrEx>
        <w:trPr>
          <w:trHeight w:val="570" w:hRule="atLeast"/>
        </w:trPr>
        <w:tc>
          <w:tcPr>
            <w:tcW w:w="14500" w:type="dxa"/>
            <w:gridSpan w:val="5"/>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2024年单位一般公共预算基本支出表（06）</w:t>
            </w:r>
          </w:p>
        </w:tc>
      </w:tr>
      <w:tr>
        <w:tblPrEx>
          <w:tblCellMar>
            <w:top w:w="0" w:type="dxa"/>
            <w:left w:w="108" w:type="dxa"/>
            <w:bottom w:w="0" w:type="dxa"/>
            <w:right w:w="108" w:type="dxa"/>
          </w:tblCellMar>
        </w:tblPrEx>
        <w:trPr>
          <w:trHeight w:val="390" w:hRule="atLeast"/>
        </w:trPr>
        <w:tc>
          <w:tcPr>
            <w:tcW w:w="274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468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3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270" w:hRule="atLeast"/>
        </w:trPr>
        <w:tc>
          <w:tcPr>
            <w:tcW w:w="7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经济分类科目</w:t>
            </w:r>
          </w:p>
        </w:tc>
        <w:tc>
          <w:tcPr>
            <w:tcW w:w="708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本年一般公共预算基本支出</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6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合计</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68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270" w:hRule="atLeast"/>
        </w:trPr>
        <w:tc>
          <w:tcPr>
            <w:tcW w:w="274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1930.12</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1788.28</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141.84</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工资福利支出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1573.84</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1573.84</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基本工资</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271.45</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271.45</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津贴补贴</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33.72</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33.72</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30103</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奖金</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369.60</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369.60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30106</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伙食补助费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44.82</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44.82</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30107</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绩效工资</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297.44</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297.44</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30108</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89.62</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职业年金缴费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44.81</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30110</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职工基本医疗保险缴费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47.05</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47.05</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公务员医疗补助缴费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99.70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其他社会保障缴费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6.16</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6.16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30113</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住房公积金</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141.66</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141.66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30199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其他工资福利支出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127.80</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127.80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商品和服务支出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141.44</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141.44</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办公费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11.13</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11.13</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印刷费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30205</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2.00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30206</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电费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30207</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邮电费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0.70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0.70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物业管理费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28.70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28.70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差旅费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0.25</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0.25</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30213</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维修(护)费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13.50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30214</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租赁费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30216</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培训费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11.36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11.36</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30217</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公务接待费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1.19</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1.19</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30218</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专用材料费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30226</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劳务费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30228</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工会经费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11.20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11.20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30239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其他交通费用</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30299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其他商品和服务支出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35.41</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35.41</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303</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对个人和家庭的补助</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214.44</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214.44</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30302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退休费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165.86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30305</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生活补助</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18.18</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18.18</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30399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其他对个人和家庭的补助</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30.40</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30.40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310</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资本性支出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0.40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0.40</w:t>
            </w:r>
          </w:p>
        </w:tc>
      </w:tr>
      <w:tr>
        <w:tblPrEx>
          <w:tblCellMar>
            <w:top w:w="0" w:type="dxa"/>
            <w:left w:w="108" w:type="dxa"/>
            <w:bottom w:w="0" w:type="dxa"/>
            <w:right w:w="108" w:type="dxa"/>
          </w:tblCellMar>
        </w:tblPrEx>
        <w:trPr>
          <w:trHeight w:val="27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31002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办公设备购置</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0.40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0.40</w:t>
            </w:r>
          </w:p>
        </w:tc>
      </w:tr>
    </w:tbl>
    <w:p>
      <w:pPr>
        <w:pStyle w:val="2"/>
        <w:rPr>
          <w:rFonts w:hint="default"/>
        </w:rPr>
      </w:pPr>
    </w:p>
    <w:p>
      <w:pPr>
        <w:pStyle w:val="2"/>
        <w:rPr>
          <w:rFonts w:hint="default"/>
        </w:rPr>
      </w:pPr>
    </w:p>
    <w:p>
      <w:pPr>
        <w:pStyle w:val="2"/>
        <w:rPr>
          <w:rFonts w:hint="default"/>
        </w:rPr>
      </w:pPr>
    </w:p>
    <w:p>
      <w:pPr>
        <w:pStyle w:val="2"/>
        <w:rPr>
          <w:rFonts w:hint="default"/>
        </w:rPr>
      </w:pPr>
    </w:p>
    <w:tbl>
      <w:tblPr>
        <w:tblStyle w:val="7"/>
        <w:tblW w:w="12220" w:type="dxa"/>
        <w:tblInd w:w="94" w:type="dxa"/>
        <w:tblLayout w:type="autofit"/>
        <w:tblCellMar>
          <w:top w:w="0" w:type="dxa"/>
          <w:left w:w="108" w:type="dxa"/>
          <w:bottom w:w="0" w:type="dxa"/>
          <w:right w:w="108" w:type="dxa"/>
        </w:tblCellMar>
      </w:tblPr>
      <w:tblGrid>
        <w:gridCol w:w="3340"/>
        <w:gridCol w:w="1480"/>
        <w:gridCol w:w="1480"/>
        <w:gridCol w:w="1480"/>
        <w:gridCol w:w="1480"/>
        <w:gridCol w:w="1480"/>
        <w:gridCol w:w="1480"/>
      </w:tblGrid>
      <w:tr>
        <w:tblPrEx>
          <w:tblCellMar>
            <w:top w:w="0" w:type="dxa"/>
            <w:left w:w="108" w:type="dxa"/>
            <w:bottom w:w="0" w:type="dxa"/>
            <w:right w:w="108" w:type="dxa"/>
          </w:tblCellMar>
        </w:tblPrEx>
        <w:trPr>
          <w:trHeight w:val="690" w:hRule="atLeast"/>
        </w:trPr>
        <w:tc>
          <w:tcPr>
            <w:tcW w:w="12220" w:type="dxa"/>
            <w:gridSpan w:val="7"/>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2024年单位一般公共预算“三公”经费支出表（07）</w:t>
            </w:r>
          </w:p>
        </w:tc>
      </w:tr>
      <w:tr>
        <w:tblPrEx>
          <w:tblCellMar>
            <w:top w:w="0" w:type="dxa"/>
            <w:left w:w="108" w:type="dxa"/>
            <w:bottom w:w="0" w:type="dxa"/>
            <w:right w:w="108" w:type="dxa"/>
          </w:tblCellMar>
        </w:tblPrEx>
        <w:trPr>
          <w:trHeight w:val="390" w:hRule="atLeast"/>
        </w:trPr>
        <w:tc>
          <w:tcPr>
            <w:tcW w:w="334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3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“三公”经费合计</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因公出国(境)费用</w:t>
            </w:r>
          </w:p>
        </w:tc>
        <w:tc>
          <w:tcPr>
            <w:tcW w:w="4440" w:type="dxa"/>
            <w:gridSpan w:val="3"/>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公务用车购置及运行费</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公务接待费</w:t>
            </w:r>
          </w:p>
        </w:tc>
      </w:tr>
      <w:tr>
        <w:tblPrEx>
          <w:tblCellMar>
            <w:top w:w="0" w:type="dxa"/>
            <w:left w:w="108" w:type="dxa"/>
            <w:bottom w:w="0" w:type="dxa"/>
            <w:right w:w="108" w:type="dxa"/>
          </w:tblCellMar>
        </w:tblPrEx>
        <w:trPr>
          <w:trHeight w:val="600" w:hRule="atLeast"/>
        </w:trPr>
        <w:tc>
          <w:tcPr>
            <w:tcW w:w="3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公务用车购置费</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公务用车运行维护费</w:t>
            </w: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334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334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1.19</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1.19</w:t>
            </w:r>
          </w:p>
        </w:tc>
      </w:tr>
      <w:tr>
        <w:tblPrEx>
          <w:tblCellMar>
            <w:top w:w="0" w:type="dxa"/>
            <w:left w:w="108" w:type="dxa"/>
            <w:bottom w:w="0" w:type="dxa"/>
            <w:right w:w="108" w:type="dxa"/>
          </w:tblCellMar>
        </w:tblPrEx>
        <w:trPr>
          <w:trHeight w:val="390" w:hRule="atLeast"/>
        </w:trPr>
        <w:tc>
          <w:tcPr>
            <w:tcW w:w="334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德清县上柏小学</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1.19</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1.19</w:t>
            </w:r>
          </w:p>
        </w:tc>
      </w:tr>
      <w:tr>
        <w:tblPrEx>
          <w:tblCellMar>
            <w:top w:w="0" w:type="dxa"/>
            <w:left w:w="108" w:type="dxa"/>
            <w:bottom w:w="0" w:type="dxa"/>
            <w:right w:w="108" w:type="dxa"/>
          </w:tblCellMar>
        </w:tblPrEx>
        <w:trPr>
          <w:trHeight w:val="390" w:hRule="atLeast"/>
        </w:trPr>
        <w:tc>
          <w:tcPr>
            <w:tcW w:w="4820"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注：不含教学科研人员学术交流因公出国（境）费用</w:t>
            </w:r>
          </w:p>
        </w:tc>
        <w:tc>
          <w:tcPr>
            <w:tcW w:w="148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7"/>
        <w:tblW w:w="14048" w:type="dxa"/>
        <w:tblInd w:w="94" w:type="dxa"/>
        <w:tblLayout w:type="autofit"/>
        <w:tblCellMar>
          <w:top w:w="0" w:type="dxa"/>
          <w:left w:w="108" w:type="dxa"/>
          <w:bottom w:w="0" w:type="dxa"/>
          <w:right w:w="108" w:type="dxa"/>
        </w:tblCellMar>
      </w:tblPr>
      <w:tblGrid>
        <w:gridCol w:w="2000"/>
        <w:gridCol w:w="4480"/>
        <w:gridCol w:w="2820"/>
        <w:gridCol w:w="2820"/>
        <w:gridCol w:w="1928"/>
      </w:tblGrid>
      <w:tr>
        <w:tblPrEx>
          <w:tblCellMar>
            <w:top w:w="0" w:type="dxa"/>
            <w:left w:w="108" w:type="dxa"/>
            <w:bottom w:w="0" w:type="dxa"/>
            <w:right w:w="108" w:type="dxa"/>
          </w:tblCellMar>
        </w:tblPrEx>
        <w:trPr>
          <w:trHeight w:val="615" w:hRule="atLeast"/>
        </w:trPr>
        <w:tc>
          <w:tcPr>
            <w:tcW w:w="14048" w:type="dxa"/>
            <w:gridSpan w:val="5"/>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2024年单位政府性基金预算支出表（08）</w:t>
            </w:r>
          </w:p>
        </w:tc>
      </w:tr>
      <w:tr>
        <w:tblPrEx>
          <w:tblCellMar>
            <w:top w:w="0" w:type="dxa"/>
            <w:left w:w="108" w:type="dxa"/>
            <w:bottom w:w="0" w:type="dxa"/>
            <w:right w:w="108" w:type="dxa"/>
          </w:tblCellMar>
        </w:tblPrEx>
        <w:trPr>
          <w:trHeight w:val="390" w:hRule="atLeast"/>
        </w:trPr>
        <w:tc>
          <w:tcPr>
            <w:tcW w:w="6480"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282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928"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450"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7568"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本年政府性基金预算支出</w:t>
            </w:r>
          </w:p>
        </w:tc>
      </w:tr>
      <w:tr>
        <w:tblPrEx>
          <w:tblCellMar>
            <w:top w:w="0" w:type="dxa"/>
            <w:left w:w="108" w:type="dxa"/>
            <w:bottom w:w="0" w:type="dxa"/>
            <w:right w:w="108" w:type="dxa"/>
          </w:tblCellMar>
        </w:tblPrEx>
        <w:trPr>
          <w:trHeight w:val="600" w:hRule="atLeast"/>
        </w:trPr>
        <w:tc>
          <w:tcPr>
            <w:tcW w:w="20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192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48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92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90" w:hRule="atLeast"/>
        </w:trPr>
        <w:tc>
          <w:tcPr>
            <w:tcW w:w="200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48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82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2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28"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r>
        <w:t>德清县上柏小学当年没有政府性基金拨款安排的支出，故本表无数据。</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7"/>
        <w:tblW w:w="14048" w:type="dxa"/>
        <w:tblInd w:w="94" w:type="dxa"/>
        <w:tblLayout w:type="autofit"/>
        <w:tblCellMar>
          <w:top w:w="0" w:type="dxa"/>
          <w:left w:w="108" w:type="dxa"/>
          <w:bottom w:w="0" w:type="dxa"/>
          <w:right w:w="108" w:type="dxa"/>
        </w:tblCellMar>
      </w:tblPr>
      <w:tblGrid>
        <w:gridCol w:w="6818"/>
        <w:gridCol w:w="4401"/>
        <w:gridCol w:w="2829"/>
      </w:tblGrid>
      <w:tr>
        <w:tblPrEx>
          <w:tblCellMar>
            <w:top w:w="0" w:type="dxa"/>
            <w:left w:w="108" w:type="dxa"/>
            <w:bottom w:w="0" w:type="dxa"/>
            <w:right w:w="108" w:type="dxa"/>
          </w:tblCellMar>
        </w:tblPrEx>
        <w:trPr>
          <w:trHeight w:val="570" w:hRule="atLeast"/>
        </w:trPr>
        <w:tc>
          <w:tcPr>
            <w:tcW w:w="14048" w:type="dxa"/>
            <w:gridSpan w:val="3"/>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2024年单位国有资本经营预算支出表（09）</w:t>
            </w:r>
          </w:p>
        </w:tc>
      </w:tr>
      <w:tr>
        <w:tblPrEx>
          <w:tblCellMar>
            <w:top w:w="0" w:type="dxa"/>
            <w:left w:w="108" w:type="dxa"/>
            <w:bottom w:w="0" w:type="dxa"/>
            <w:right w:w="108" w:type="dxa"/>
          </w:tblCellMar>
        </w:tblPrEx>
        <w:trPr>
          <w:trHeight w:val="390" w:hRule="atLeast"/>
        </w:trPr>
        <w:tc>
          <w:tcPr>
            <w:tcW w:w="6818"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4401" w:type="dxa"/>
            <w:tcBorders>
              <w:top w:val="nil"/>
              <w:left w:val="nil"/>
              <w:bottom w:val="single" w:color="000000" w:sz="4" w:space="0"/>
              <w:right w:val="nil"/>
            </w:tcBorders>
            <w:shd w:val="clear" w:color="auto" w:fill="auto"/>
            <w:noWrap/>
            <w:vAlign w:val="bottom"/>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829"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12" w:hRule="atLeast"/>
        </w:trPr>
        <w:tc>
          <w:tcPr>
            <w:tcW w:w="68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401"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282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12" w:hRule="atLeast"/>
        </w:trPr>
        <w:tc>
          <w:tcPr>
            <w:tcW w:w="68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40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82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681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401"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829"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r>
      <w:tr>
        <w:tblPrEx>
          <w:tblCellMar>
            <w:top w:w="0" w:type="dxa"/>
            <w:left w:w="108" w:type="dxa"/>
            <w:bottom w:w="0" w:type="dxa"/>
            <w:right w:w="108" w:type="dxa"/>
          </w:tblCellMar>
        </w:tblPrEx>
        <w:trPr>
          <w:trHeight w:val="390" w:hRule="atLeast"/>
        </w:trPr>
        <w:tc>
          <w:tcPr>
            <w:tcW w:w="6818"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40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829"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r>
        <w:t>德清县上柏小学当年没有国有资本经营预算拨款安排的支出，故本表无数据。</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7"/>
        <w:tblW w:w="13960" w:type="dxa"/>
        <w:tblInd w:w="94" w:type="dxa"/>
        <w:tblLayout w:type="autofit"/>
        <w:tblCellMar>
          <w:top w:w="0" w:type="dxa"/>
          <w:left w:w="108" w:type="dxa"/>
          <w:bottom w:w="0" w:type="dxa"/>
          <w:right w:w="108" w:type="dxa"/>
        </w:tblCellMar>
      </w:tblPr>
      <w:tblGrid>
        <w:gridCol w:w="2940"/>
        <w:gridCol w:w="2240"/>
        <w:gridCol w:w="1660"/>
        <w:gridCol w:w="1760"/>
        <w:gridCol w:w="1340"/>
        <w:gridCol w:w="1340"/>
        <w:gridCol w:w="1340"/>
        <w:gridCol w:w="1340"/>
      </w:tblGrid>
      <w:tr>
        <w:tblPrEx>
          <w:tblCellMar>
            <w:top w:w="0" w:type="dxa"/>
            <w:left w:w="108" w:type="dxa"/>
            <w:bottom w:w="0" w:type="dxa"/>
            <w:right w:w="108" w:type="dxa"/>
          </w:tblCellMar>
        </w:tblPrEx>
        <w:trPr>
          <w:trHeight w:val="600" w:hRule="atLeast"/>
        </w:trPr>
        <w:tc>
          <w:tcPr>
            <w:tcW w:w="13960" w:type="dxa"/>
            <w:gridSpan w:val="8"/>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2024年单位项目支出预算表（10）</w:t>
            </w:r>
          </w:p>
        </w:tc>
      </w:tr>
      <w:tr>
        <w:tblPrEx>
          <w:tblCellMar>
            <w:top w:w="0" w:type="dxa"/>
            <w:left w:w="108" w:type="dxa"/>
            <w:bottom w:w="0" w:type="dxa"/>
            <w:right w:w="108" w:type="dxa"/>
          </w:tblCellMar>
        </w:tblPrEx>
        <w:trPr>
          <w:trHeight w:val="390" w:hRule="atLeast"/>
        </w:trPr>
        <w:tc>
          <w:tcPr>
            <w:tcW w:w="294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350022-德清县上柏小学</w:t>
            </w:r>
          </w:p>
        </w:tc>
        <w:tc>
          <w:tcPr>
            <w:tcW w:w="22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6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2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22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1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1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1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1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1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1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29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2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6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600" w:hRule="atLeast"/>
        </w:trPr>
        <w:tc>
          <w:tcPr>
            <w:tcW w:w="29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2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6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294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2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66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76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3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3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3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3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2940" w:type="dxa"/>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24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56.92</w:t>
            </w:r>
          </w:p>
        </w:tc>
        <w:tc>
          <w:tcPr>
            <w:tcW w:w="176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37.72</w:t>
            </w:r>
          </w:p>
        </w:tc>
        <w:tc>
          <w:tcPr>
            <w:tcW w:w="13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13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4.20</w:t>
            </w:r>
          </w:p>
        </w:tc>
      </w:tr>
      <w:tr>
        <w:tblPrEx>
          <w:tblCellMar>
            <w:top w:w="0" w:type="dxa"/>
            <w:left w:w="108" w:type="dxa"/>
            <w:bottom w:w="0" w:type="dxa"/>
            <w:right w:w="108" w:type="dxa"/>
          </w:tblCellMar>
        </w:tblPrEx>
        <w:trPr>
          <w:trHeight w:val="390" w:hRule="atLeast"/>
        </w:trPr>
        <w:tc>
          <w:tcPr>
            <w:tcW w:w="2940"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德清县上柏小学</w:t>
            </w:r>
          </w:p>
        </w:tc>
        <w:tc>
          <w:tcPr>
            <w:tcW w:w="22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义务教育</w:t>
            </w:r>
          </w:p>
        </w:tc>
        <w:tc>
          <w:tcPr>
            <w:tcW w:w="16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56.92</w:t>
            </w:r>
          </w:p>
        </w:tc>
        <w:tc>
          <w:tcPr>
            <w:tcW w:w="1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37.72</w:t>
            </w:r>
          </w:p>
        </w:tc>
        <w:tc>
          <w:tcPr>
            <w:tcW w:w="13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15.00</w:t>
            </w:r>
          </w:p>
        </w:tc>
        <w:tc>
          <w:tcPr>
            <w:tcW w:w="13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4.20</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sectPr>
      <w:pgSz w:w="16838" w:h="11906" w:orient="landscape"/>
      <w:pgMar w:top="1797" w:right="1440" w:bottom="1797" w:left="1440" w:header="851" w:footer="992" w:gutter="0"/>
      <w:pgNumType w:start="6"/>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Y0ZjViOGFiMGMxYzkxOGU5MjM4ZDRiYjg5NDA5YTIifQ=="/>
  </w:docVars>
  <w:rsids>
    <w:rsidRoot w:val="0018453C"/>
    <w:rsid w:val="00017F7E"/>
    <w:rsid w:val="000206EF"/>
    <w:rsid w:val="00022642"/>
    <w:rsid w:val="00037136"/>
    <w:rsid w:val="00037FBA"/>
    <w:rsid w:val="00045414"/>
    <w:rsid w:val="0006754E"/>
    <w:rsid w:val="00074B8B"/>
    <w:rsid w:val="00080E70"/>
    <w:rsid w:val="0008227A"/>
    <w:rsid w:val="00084C3B"/>
    <w:rsid w:val="00091590"/>
    <w:rsid w:val="000A3C39"/>
    <w:rsid w:val="000B2ACC"/>
    <w:rsid w:val="000B7AAB"/>
    <w:rsid w:val="000F6704"/>
    <w:rsid w:val="00103D35"/>
    <w:rsid w:val="001176FE"/>
    <w:rsid w:val="0014553D"/>
    <w:rsid w:val="00151805"/>
    <w:rsid w:val="001600E7"/>
    <w:rsid w:val="0016377A"/>
    <w:rsid w:val="00172323"/>
    <w:rsid w:val="00173E80"/>
    <w:rsid w:val="0018453C"/>
    <w:rsid w:val="00184CE1"/>
    <w:rsid w:val="00193222"/>
    <w:rsid w:val="00194489"/>
    <w:rsid w:val="00196BC5"/>
    <w:rsid w:val="001A21CB"/>
    <w:rsid w:val="001D21ED"/>
    <w:rsid w:val="001E2B06"/>
    <w:rsid w:val="001E2FD7"/>
    <w:rsid w:val="001E4667"/>
    <w:rsid w:val="001F0EE0"/>
    <w:rsid w:val="001F73EA"/>
    <w:rsid w:val="00201FAC"/>
    <w:rsid w:val="002223A8"/>
    <w:rsid w:val="0025062F"/>
    <w:rsid w:val="0025199F"/>
    <w:rsid w:val="002523EE"/>
    <w:rsid w:val="002625AF"/>
    <w:rsid w:val="00262BFB"/>
    <w:rsid w:val="00262ECC"/>
    <w:rsid w:val="00270243"/>
    <w:rsid w:val="00275684"/>
    <w:rsid w:val="00282ECA"/>
    <w:rsid w:val="002925AC"/>
    <w:rsid w:val="002A25D7"/>
    <w:rsid w:val="002E190E"/>
    <w:rsid w:val="002E1EDF"/>
    <w:rsid w:val="00306072"/>
    <w:rsid w:val="00312421"/>
    <w:rsid w:val="003235B6"/>
    <w:rsid w:val="00331F47"/>
    <w:rsid w:val="0034320B"/>
    <w:rsid w:val="003446EE"/>
    <w:rsid w:val="0035041B"/>
    <w:rsid w:val="003533AA"/>
    <w:rsid w:val="00372A55"/>
    <w:rsid w:val="00375AE1"/>
    <w:rsid w:val="003A54FF"/>
    <w:rsid w:val="003B2880"/>
    <w:rsid w:val="003C7BCE"/>
    <w:rsid w:val="003D6A85"/>
    <w:rsid w:val="003F606C"/>
    <w:rsid w:val="00404BEF"/>
    <w:rsid w:val="004129B0"/>
    <w:rsid w:val="00441C35"/>
    <w:rsid w:val="004553DB"/>
    <w:rsid w:val="004561A3"/>
    <w:rsid w:val="004616F3"/>
    <w:rsid w:val="004745DB"/>
    <w:rsid w:val="004750C7"/>
    <w:rsid w:val="00494DE8"/>
    <w:rsid w:val="004B236A"/>
    <w:rsid w:val="004C1A7E"/>
    <w:rsid w:val="004D4B1B"/>
    <w:rsid w:val="004F65D0"/>
    <w:rsid w:val="004F6D96"/>
    <w:rsid w:val="00542A05"/>
    <w:rsid w:val="005434F1"/>
    <w:rsid w:val="0054517F"/>
    <w:rsid w:val="0055355B"/>
    <w:rsid w:val="00576237"/>
    <w:rsid w:val="005802E2"/>
    <w:rsid w:val="0059333E"/>
    <w:rsid w:val="005E47B3"/>
    <w:rsid w:val="005E7D52"/>
    <w:rsid w:val="00612CFA"/>
    <w:rsid w:val="00647E7D"/>
    <w:rsid w:val="00655F61"/>
    <w:rsid w:val="00695B97"/>
    <w:rsid w:val="006A1EB5"/>
    <w:rsid w:val="006C39E2"/>
    <w:rsid w:val="006D5442"/>
    <w:rsid w:val="006D7FE3"/>
    <w:rsid w:val="006E085B"/>
    <w:rsid w:val="006F455E"/>
    <w:rsid w:val="006F4BC5"/>
    <w:rsid w:val="007072D9"/>
    <w:rsid w:val="00711F88"/>
    <w:rsid w:val="007212A2"/>
    <w:rsid w:val="0073245A"/>
    <w:rsid w:val="007715EF"/>
    <w:rsid w:val="00784D87"/>
    <w:rsid w:val="007A0C65"/>
    <w:rsid w:val="007A5997"/>
    <w:rsid w:val="007B431F"/>
    <w:rsid w:val="007C0F22"/>
    <w:rsid w:val="007C217E"/>
    <w:rsid w:val="007E4CC3"/>
    <w:rsid w:val="00801E01"/>
    <w:rsid w:val="008040ED"/>
    <w:rsid w:val="00825735"/>
    <w:rsid w:val="00834DDF"/>
    <w:rsid w:val="00850DC9"/>
    <w:rsid w:val="0089440C"/>
    <w:rsid w:val="00895C01"/>
    <w:rsid w:val="008B160C"/>
    <w:rsid w:val="008C481A"/>
    <w:rsid w:val="008C5E49"/>
    <w:rsid w:val="008E6F63"/>
    <w:rsid w:val="009046F3"/>
    <w:rsid w:val="00933E0F"/>
    <w:rsid w:val="009415A1"/>
    <w:rsid w:val="009427F2"/>
    <w:rsid w:val="0094400D"/>
    <w:rsid w:val="009660E3"/>
    <w:rsid w:val="009A7459"/>
    <w:rsid w:val="009B71E7"/>
    <w:rsid w:val="00A06261"/>
    <w:rsid w:val="00A12402"/>
    <w:rsid w:val="00A208D2"/>
    <w:rsid w:val="00A349F7"/>
    <w:rsid w:val="00A45120"/>
    <w:rsid w:val="00A723B4"/>
    <w:rsid w:val="00A76362"/>
    <w:rsid w:val="00A86842"/>
    <w:rsid w:val="00A96BD9"/>
    <w:rsid w:val="00AA0E96"/>
    <w:rsid w:val="00AB2741"/>
    <w:rsid w:val="00AD7F46"/>
    <w:rsid w:val="00AF3377"/>
    <w:rsid w:val="00B074C8"/>
    <w:rsid w:val="00B109C2"/>
    <w:rsid w:val="00B903F2"/>
    <w:rsid w:val="00BA6311"/>
    <w:rsid w:val="00BA63FB"/>
    <w:rsid w:val="00BA680D"/>
    <w:rsid w:val="00BE0C98"/>
    <w:rsid w:val="00BF1719"/>
    <w:rsid w:val="00C24120"/>
    <w:rsid w:val="00C35F38"/>
    <w:rsid w:val="00C47BB8"/>
    <w:rsid w:val="00C52D1F"/>
    <w:rsid w:val="00C6414C"/>
    <w:rsid w:val="00C76F1A"/>
    <w:rsid w:val="00CB4D2B"/>
    <w:rsid w:val="00CB4FC7"/>
    <w:rsid w:val="00CE3F52"/>
    <w:rsid w:val="00CE5289"/>
    <w:rsid w:val="00D12B30"/>
    <w:rsid w:val="00D1713F"/>
    <w:rsid w:val="00D40C07"/>
    <w:rsid w:val="00D43A61"/>
    <w:rsid w:val="00D81B35"/>
    <w:rsid w:val="00DA48AA"/>
    <w:rsid w:val="00DA6F5B"/>
    <w:rsid w:val="00DA7F84"/>
    <w:rsid w:val="00DE7BF7"/>
    <w:rsid w:val="00DF4FC7"/>
    <w:rsid w:val="00E14467"/>
    <w:rsid w:val="00E20FB4"/>
    <w:rsid w:val="00E40834"/>
    <w:rsid w:val="00E429D8"/>
    <w:rsid w:val="00E44C58"/>
    <w:rsid w:val="00E51932"/>
    <w:rsid w:val="00E63CA1"/>
    <w:rsid w:val="00E67DCE"/>
    <w:rsid w:val="00E925CD"/>
    <w:rsid w:val="00EB257E"/>
    <w:rsid w:val="00ED01D6"/>
    <w:rsid w:val="00ED19D2"/>
    <w:rsid w:val="00EF27B2"/>
    <w:rsid w:val="00F16593"/>
    <w:rsid w:val="00F23B56"/>
    <w:rsid w:val="00F246AD"/>
    <w:rsid w:val="00F54113"/>
    <w:rsid w:val="00F56A05"/>
    <w:rsid w:val="00F7116F"/>
    <w:rsid w:val="00F876F8"/>
    <w:rsid w:val="00F9219B"/>
    <w:rsid w:val="00F974DB"/>
    <w:rsid w:val="00FE3336"/>
    <w:rsid w:val="01405C62"/>
    <w:rsid w:val="01F263DB"/>
    <w:rsid w:val="024C6702"/>
    <w:rsid w:val="026505B4"/>
    <w:rsid w:val="028630A1"/>
    <w:rsid w:val="02FD4879"/>
    <w:rsid w:val="03AA3E3B"/>
    <w:rsid w:val="03EA5C50"/>
    <w:rsid w:val="04600135"/>
    <w:rsid w:val="05054F3D"/>
    <w:rsid w:val="056C550A"/>
    <w:rsid w:val="05F46152"/>
    <w:rsid w:val="05F835B0"/>
    <w:rsid w:val="06113422"/>
    <w:rsid w:val="063B27DE"/>
    <w:rsid w:val="065E25EC"/>
    <w:rsid w:val="06835E42"/>
    <w:rsid w:val="07623DA7"/>
    <w:rsid w:val="081119C7"/>
    <w:rsid w:val="08DE4DFD"/>
    <w:rsid w:val="0A1D1E06"/>
    <w:rsid w:val="0A4C7CCD"/>
    <w:rsid w:val="0B486D9D"/>
    <w:rsid w:val="0B4F52A1"/>
    <w:rsid w:val="0B652DFD"/>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4861683"/>
    <w:rsid w:val="14887B46"/>
    <w:rsid w:val="14EF3497"/>
    <w:rsid w:val="153C45B3"/>
    <w:rsid w:val="157947AC"/>
    <w:rsid w:val="15DB09EF"/>
    <w:rsid w:val="1650535C"/>
    <w:rsid w:val="16B75B8F"/>
    <w:rsid w:val="16FE1938"/>
    <w:rsid w:val="17EC7FC1"/>
    <w:rsid w:val="17F81734"/>
    <w:rsid w:val="180061CB"/>
    <w:rsid w:val="18EF3804"/>
    <w:rsid w:val="195C3A7E"/>
    <w:rsid w:val="1A2375F0"/>
    <w:rsid w:val="1AC0275A"/>
    <w:rsid w:val="1AE500E3"/>
    <w:rsid w:val="1B1D1342"/>
    <w:rsid w:val="1B2A6629"/>
    <w:rsid w:val="1BBC2184"/>
    <w:rsid w:val="1C103D2D"/>
    <w:rsid w:val="1C1965EC"/>
    <w:rsid w:val="1C7701B9"/>
    <w:rsid w:val="1D451326"/>
    <w:rsid w:val="1D99665F"/>
    <w:rsid w:val="1E621D9B"/>
    <w:rsid w:val="1E9448CB"/>
    <w:rsid w:val="1E945AB3"/>
    <w:rsid w:val="1EFB5835"/>
    <w:rsid w:val="1FD94E57"/>
    <w:rsid w:val="205247F6"/>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6816946"/>
    <w:rsid w:val="26DB7398"/>
    <w:rsid w:val="2705728B"/>
    <w:rsid w:val="27417BF8"/>
    <w:rsid w:val="27693B45"/>
    <w:rsid w:val="283A129B"/>
    <w:rsid w:val="29954B63"/>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30780EC9"/>
    <w:rsid w:val="31651329"/>
    <w:rsid w:val="318726EF"/>
    <w:rsid w:val="31C46552"/>
    <w:rsid w:val="31EC7268"/>
    <w:rsid w:val="3212132B"/>
    <w:rsid w:val="32691E0F"/>
    <w:rsid w:val="33722AF4"/>
    <w:rsid w:val="339F6CDD"/>
    <w:rsid w:val="34F20284"/>
    <w:rsid w:val="3619346A"/>
    <w:rsid w:val="366152C5"/>
    <w:rsid w:val="37DD34EA"/>
    <w:rsid w:val="3859649B"/>
    <w:rsid w:val="386D2696"/>
    <w:rsid w:val="39227B1B"/>
    <w:rsid w:val="39406911"/>
    <w:rsid w:val="39850296"/>
    <w:rsid w:val="39C26750"/>
    <w:rsid w:val="3A7F1D43"/>
    <w:rsid w:val="3A8D223E"/>
    <w:rsid w:val="3B291386"/>
    <w:rsid w:val="3B563038"/>
    <w:rsid w:val="3B80307E"/>
    <w:rsid w:val="3BCA7BD7"/>
    <w:rsid w:val="3C6C37E2"/>
    <w:rsid w:val="3C7D1C3F"/>
    <w:rsid w:val="3CFD6A0C"/>
    <w:rsid w:val="3DDA1E4D"/>
    <w:rsid w:val="400943B7"/>
    <w:rsid w:val="40143523"/>
    <w:rsid w:val="406B2735"/>
    <w:rsid w:val="4171469C"/>
    <w:rsid w:val="42C454C8"/>
    <w:rsid w:val="43482ADF"/>
    <w:rsid w:val="43497E11"/>
    <w:rsid w:val="438C52D1"/>
    <w:rsid w:val="43AF1DC7"/>
    <w:rsid w:val="442360D8"/>
    <w:rsid w:val="450B3104"/>
    <w:rsid w:val="45374F70"/>
    <w:rsid w:val="45E922E2"/>
    <w:rsid w:val="46181B9F"/>
    <w:rsid w:val="46B73DB3"/>
    <w:rsid w:val="46B85A12"/>
    <w:rsid w:val="46C20ABF"/>
    <w:rsid w:val="471C5409"/>
    <w:rsid w:val="475E76EE"/>
    <w:rsid w:val="47B54AE2"/>
    <w:rsid w:val="484652C3"/>
    <w:rsid w:val="489E735B"/>
    <w:rsid w:val="48EF215B"/>
    <w:rsid w:val="49547ADE"/>
    <w:rsid w:val="499358EA"/>
    <w:rsid w:val="4A9518DB"/>
    <w:rsid w:val="4AB935E6"/>
    <w:rsid w:val="4B1F601E"/>
    <w:rsid w:val="4B65339C"/>
    <w:rsid w:val="4BE2220E"/>
    <w:rsid w:val="4CBF2857"/>
    <w:rsid w:val="4D097364"/>
    <w:rsid w:val="4D667BB3"/>
    <w:rsid w:val="4D7808AB"/>
    <w:rsid w:val="4DC87963"/>
    <w:rsid w:val="4E0626FD"/>
    <w:rsid w:val="4EA45B39"/>
    <w:rsid w:val="4EED2017"/>
    <w:rsid w:val="4F2E2211"/>
    <w:rsid w:val="4F4E78CD"/>
    <w:rsid w:val="4FA62E1E"/>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E50F1B"/>
    <w:rsid w:val="565F6886"/>
    <w:rsid w:val="56BC237C"/>
    <w:rsid w:val="56CD4B4D"/>
    <w:rsid w:val="5798381B"/>
    <w:rsid w:val="57D4447A"/>
    <w:rsid w:val="57F759F2"/>
    <w:rsid w:val="585447AE"/>
    <w:rsid w:val="58EC4DE1"/>
    <w:rsid w:val="596B72CE"/>
    <w:rsid w:val="59B3494A"/>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AC06BC"/>
    <w:rsid w:val="633B4987"/>
    <w:rsid w:val="63525D55"/>
    <w:rsid w:val="63F321C7"/>
    <w:rsid w:val="64C20A08"/>
    <w:rsid w:val="64F06443"/>
    <w:rsid w:val="65737FB9"/>
    <w:rsid w:val="65DF5ECF"/>
    <w:rsid w:val="66A662C4"/>
    <w:rsid w:val="67222B8A"/>
    <w:rsid w:val="679D182D"/>
    <w:rsid w:val="67BB6396"/>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D2633E"/>
    <w:rsid w:val="75127B2A"/>
    <w:rsid w:val="756B70AB"/>
    <w:rsid w:val="762D45E7"/>
    <w:rsid w:val="76432C97"/>
    <w:rsid w:val="76472E5B"/>
    <w:rsid w:val="76622032"/>
    <w:rsid w:val="76A64435"/>
    <w:rsid w:val="76DA2B8D"/>
    <w:rsid w:val="773F1B2E"/>
    <w:rsid w:val="776141C0"/>
    <w:rsid w:val="77E71EE7"/>
    <w:rsid w:val="78403651"/>
    <w:rsid w:val="784051C1"/>
    <w:rsid w:val="789E16E5"/>
    <w:rsid w:val="78DB40C6"/>
    <w:rsid w:val="7954401D"/>
    <w:rsid w:val="79547EF1"/>
    <w:rsid w:val="79A24C96"/>
    <w:rsid w:val="7AC02D1F"/>
    <w:rsid w:val="7AE80A7B"/>
    <w:rsid w:val="7B452E9A"/>
    <w:rsid w:val="7B5E14E4"/>
    <w:rsid w:val="7B741965"/>
    <w:rsid w:val="7BB3192B"/>
    <w:rsid w:val="7BBF78B4"/>
    <w:rsid w:val="7BFE30BC"/>
    <w:rsid w:val="7C0A7BF1"/>
    <w:rsid w:val="7CD24C07"/>
    <w:rsid w:val="7CDD0037"/>
    <w:rsid w:val="7D2C5AF6"/>
    <w:rsid w:val="7D8F4D87"/>
    <w:rsid w:val="7DBB66FE"/>
    <w:rsid w:val="7DBE27C1"/>
    <w:rsid w:val="7DCA5F0F"/>
    <w:rsid w:val="7E1F736F"/>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Balloon Text"/>
    <w:basedOn w:val="1"/>
    <w:link w:val="18"/>
    <w:autoRedefine/>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styleId="11">
    <w:name w:val="Hyperlink"/>
    <w:basedOn w:val="9"/>
    <w:autoRedefine/>
    <w:qFormat/>
    <w:uiPriority w:val="0"/>
    <w:rPr>
      <w:color w:val="0000FF" w:themeColor="hyperlink"/>
      <w:u w:val="single"/>
    </w:rPr>
  </w:style>
  <w:style w:type="paragraph" w:customStyle="1" w:styleId="12">
    <w:name w:val="Char"/>
    <w:basedOn w:val="1"/>
    <w:autoRedefine/>
    <w:qFormat/>
    <w:uiPriority w:val="0"/>
    <w:rPr>
      <w:rFonts w:ascii="宋体" w:hAnsi="宋体" w:cs="Courier New"/>
      <w:sz w:val="32"/>
      <w:szCs w:val="32"/>
    </w:rPr>
  </w:style>
  <w:style w:type="character" w:customStyle="1" w:styleId="13">
    <w:name w:val="页眉 Char"/>
    <w:link w:val="6"/>
    <w:autoRedefine/>
    <w:qFormat/>
    <w:uiPriority w:val="0"/>
    <w:rPr>
      <w:kern w:val="2"/>
      <w:sz w:val="18"/>
      <w:szCs w:val="18"/>
    </w:rPr>
  </w:style>
  <w:style w:type="character" w:customStyle="1" w:styleId="14">
    <w:name w:val="页脚 Char"/>
    <w:link w:val="5"/>
    <w:autoRedefine/>
    <w:qFormat/>
    <w:uiPriority w:val="0"/>
    <w:rPr>
      <w:kern w:val="2"/>
      <w:sz w:val="18"/>
      <w:szCs w:val="18"/>
    </w:rPr>
  </w:style>
  <w:style w:type="paragraph" w:customStyle="1" w:styleId="15">
    <w:name w:val="[Normal]"/>
    <w:autoRedefine/>
    <w:qFormat/>
    <w:uiPriority w:val="0"/>
    <w:rPr>
      <w:rFonts w:ascii="宋体" w:hAnsi="宋体" w:eastAsia="宋体" w:cs="Times New Roman"/>
      <w:sz w:val="24"/>
      <w:lang w:val="zh-CN" w:eastAsia="zh-CN" w:bidi="ar-SA"/>
    </w:rPr>
  </w:style>
  <w:style w:type="paragraph" w:customStyle="1" w:styleId="16">
    <w:name w:val="p0"/>
    <w:basedOn w:val="1"/>
    <w:autoRedefine/>
    <w:qFormat/>
    <w:uiPriority w:val="0"/>
    <w:pPr>
      <w:widowControl/>
    </w:pPr>
    <w:rPr>
      <w:kern w:val="0"/>
      <w:szCs w:val="21"/>
    </w:rPr>
  </w:style>
  <w:style w:type="paragraph" w:styleId="17">
    <w:name w:val="List Paragraph"/>
    <w:basedOn w:val="1"/>
    <w:autoRedefine/>
    <w:unhideWhenUsed/>
    <w:uiPriority w:val="99"/>
    <w:pPr>
      <w:ind w:firstLine="420" w:firstLineChars="200"/>
    </w:pPr>
  </w:style>
  <w:style w:type="character" w:customStyle="1" w:styleId="18">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DFD9E-5C30-4A46-95C5-ABDC1273D558}">
  <ds:schemaRefs/>
</ds:datastoreItem>
</file>

<file path=docProps/app.xml><?xml version="1.0" encoding="utf-8"?>
<Properties xmlns="http://schemas.openxmlformats.org/officeDocument/2006/extended-properties" xmlns:vt="http://schemas.openxmlformats.org/officeDocument/2006/docPropsVTypes">
  <Template>Normal</Template>
  <Company>xc</Company>
  <Pages>1</Pages>
  <Words>1665</Words>
  <Characters>9496</Characters>
  <Lines>79</Lines>
  <Paragraphs>22</Paragraphs>
  <TotalTime>1</TotalTime>
  <ScaleCrop>false</ScaleCrop>
  <LinksUpToDate>false</LinksUpToDate>
  <CharactersWithSpaces>11139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2024-02-26T05:17:00Z</dcterms:created>
  <dc:creator>dsx</dc:creator>
  <cp:lastModifiedBy>Administrator</cp:lastModifiedBy>
  <cp:lastPrinted>2024-02-26T02:07:00Z</cp:lastPrinted>
  <dcterms:modified xsi:type="dcterms:W3CDTF">2024-03-12T00:55:58Z</dcterms:modified>
  <dc:title>关于2019年部门预算的批复</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