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德清县远望幼儿园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二、2024年德清县远望幼儿园单位预算安排情况说明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（一）关于德清县远望幼儿园2024年收支预算情况的总体说明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（二）关于德清县远望幼儿园2024年收入预算情况说明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（三）关于德清县远望幼儿园2024年支出预算情况说明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（四）关于德清县远望幼儿园2024年财政拨款收支预算情况的总体说明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（五）关于德清县远望幼儿园2024年一般公共预算拨款情况说明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（六）关于德清县远望幼儿园2024年一般公共预算基本支出情况说明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（七）关于德清县远望幼儿园2024年政府性基金预算支出情况说明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（八）关于德清县远望幼儿园2024年国有资本经营预算支出情况说明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（九）关于德清县远望幼儿园2024年一般公共预算“三公”经费预算情况说明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四、2024年德清县远望幼儿园单位预算表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 w:val="0"/>
          <w:bCs/>
          <w:sz w:val="32"/>
          <w:szCs w:val="32"/>
          <w:highlight w:val="none"/>
          <w:lang w:eastAsia="zh-CN"/>
        </w:rPr>
        <w:fldChar w:fldCharType="begin"/>
      </w:r>
      <w:r>
        <w:rPr>
          <w:rFonts w:hint="eastAsia" w:ascii="楷体_GB2312" w:hAnsi="楷体_GB2312" w:eastAsia="楷体_GB2312" w:cs="楷体_GB2312"/>
          <w:b w:val="0"/>
          <w:bCs/>
          <w:sz w:val="32"/>
          <w:szCs w:val="32"/>
          <w:highlight w:val="none"/>
          <w:lang w:eastAsia="zh-CN"/>
        </w:rPr>
        <w:instrText xml:space="preserve">MERGEFIELD ${page855778723.ds388518707_V_RPT_BAS_AGENCY_INFO_NAME}</w:instrText>
      </w:r>
      <w:r>
        <w:rPr>
          <w:rFonts w:hint="eastAsia" w:ascii="楷体_GB2312" w:hAnsi="楷体_GB2312" w:eastAsia="楷体_GB2312" w:cs="楷体_GB2312"/>
          <w:b w:val="0"/>
          <w:bCs/>
          <w:sz w:val="32"/>
          <w:szCs w:val="32"/>
          <w:highlight w:val="none"/>
          <w:lang w:eastAsia="zh-CN"/>
        </w:rPr>
        <w:fldChar w:fldCharType="separate"/>
      </w:r>
      <w:r>
        <w:rPr>
          <w:rFonts w:hint="eastAsia" w:ascii="楷体_GB2312" w:hAnsi="楷体_GB2312" w:eastAsia="楷体_GB2312" w:cs="楷体_GB2312"/>
          <w:b w:val="0"/>
          <w:bCs/>
          <w:sz w:val="32"/>
          <w:szCs w:val="32"/>
          <w:highlight w:val="none"/>
          <w:lang w:eastAsia="zh-CN"/>
        </w:rPr>
        <w:t>德清县远望幼儿园</w:t>
      </w:r>
      <w:r>
        <w:fldChar w:fldCharType="end"/>
      </w:r>
      <w:r>
        <w:rPr>
          <w:rFonts w:hint="eastAsia" w:ascii="楷体_GB2312" w:hAnsi="楷体_GB2312" w:eastAsia="楷体_GB2312" w:cs="楷体_GB2312"/>
          <w:bCs/>
          <w:sz w:val="32"/>
          <w:szCs w:val="32"/>
        </w:rPr>
        <w:t>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hint="eastAsia" w:ascii="黑体" w:eastAsia="黑体"/>
          <w:b w:val="0"/>
          <w:color w:val="00000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60" w:lineRule="exact"/>
        <w:ind w:firstLine="640" w:firstLineChars="200"/>
        <w:rPr>
          <w:rFonts w:hint="eastAsia"/>
          <w:szCs w:val="21"/>
        </w:rPr>
      </w:pPr>
      <w:r>
        <w:rPr>
          <w:rFonts w:hint="eastAsia" w:ascii="仿宋_GB2312" w:eastAsia="仿宋_GB2312"/>
          <w:bCs/>
          <w:sz w:val="32"/>
          <w:szCs w:val="32"/>
          <w:highlight w:val="none"/>
        </w:rPr>
        <w:t>1.</w:t>
      </w:r>
      <w:r>
        <w:rPr>
          <w:rFonts w:hint="eastAsia" w:ascii="仿宋" w:hAnsi="仿宋" w:eastAsia="仿宋" w:cs="Arial"/>
          <w:sz w:val="32"/>
          <w:szCs w:val="32"/>
        </w:rPr>
        <w:t>贯彻国家教育方针，遵循幼儿的成长规律和教育规律，完善课程改革，促进幼儿身心健康发展；按照幼儿园章程自主管理；</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2.组织实施幼儿一日活动；</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3.依法聘任教职工，实施奖励或处分；</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4.依法管理、使用幼儿园的设施和经费；</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5.依法维护幼儿园合法权益不受侵犯，拒绝任何组织或个人对保育教育活动的非法干涉；</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6.维护幼儿及教职工的合法权益；</w:t>
      </w:r>
    </w:p>
    <w:p>
      <w:pPr>
        <w:spacing w:line="560" w:lineRule="exact"/>
        <w:ind w:firstLine="640" w:firstLineChars="200"/>
        <w:rPr>
          <w:rFonts w:hint="eastAsia" w:ascii="仿宋" w:hAnsi="仿宋" w:eastAsia="仿宋" w:cs="Arial"/>
          <w:sz w:val="32"/>
          <w:szCs w:val="32"/>
        </w:rPr>
      </w:pPr>
      <w:r>
        <w:rPr>
          <w:rFonts w:hint="eastAsia" w:ascii="仿宋" w:hAnsi="仿宋" w:eastAsia="仿宋" w:cs="Arial"/>
          <w:sz w:val="32"/>
          <w:szCs w:val="32"/>
        </w:rPr>
        <w:t>7.以适当方式为家长或监护人了解幼儿在园及其他情况提供便利。</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ind w:firstLine="640" w:firstLineChars="200"/>
        <w:rPr>
          <w:rFonts w:hint="eastAsia"/>
        </w:rPr>
      </w:pPr>
      <w:r>
        <w:rPr>
          <w:rFonts w:hint="eastAsia" w:ascii="仿宋_GB2312" w:eastAsia="仿宋_GB2312"/>
          <w:bCs/>
          <w:sz w:val="32"/>
          <w:szCs w:val="32"/>
          <w:highlight w:val="none"/>
        </w:rPr>
        <w:t>从预算单位构成看，</w:t>
      </w:r>
      <w:r>
        <w:rPr>
          <w:rFonts w:hint="eastAsia" w:ascii="仿宋" w:hAnsi="仿宋" w:eastAsia="仿宋" w:cs="Arial"/>
          <w:sz w:val="32"/>
          <w:szCs w:val="32"/>
        </w:rPr>
        <w:t>从预算单位构成看，本单位内设：园长室、副园长室、办公室、总务处、财务室、卫生保健室。</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二、2024年德清县远望幼儿园单位预算安排情况说明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仿宋_GB2312" w:eastAsia="仿宋_GB2312"/>
          <w:b/>
          <w:bCs/>
          <w:color w:val="000000"/>
          <w:sz w:val="32"/>
          <w:szCs w:val="32"/>
          <w:lang w:val="en-US" w:eastAsia="zh-CN"/>
        </w:rPr>
        <w:t xml:space="preserve"> </w:t>
      </w:r>
      <w:r>
        <w:rPr>
          <w:rFonts w:hint="eastAsia" w:ascii="楷体_GB2312" w:hAnsi="楷体_GB2312" w:eastAsia="楷体_GB2312" w:cs="楷体_GB2312"/>
          <w:color w:val="000000"/>
          <w:sz w:val="32"/>
          <w:szCs w:val="32"/>
        </w:rPr>
        <w:t>（一）关于德清县远望幼儿园</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综合预算的原则，德清县远望幼儿园</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w:t>
      </w:r>
      <w:r>
        <w:rPr>
          <w:rFonts w:hint="eastAsia" w:ascii="仿宋_GB2312" w:eastAsia="仿宋_GB2312"/>
          <w:color w:val="000000"/>
          <w:sz w:val="32"/>
          <w:szCs w:val="32"/>
          <w:lang w:eastAsia="zh-CN"/>
        </w:rPr>
        <w:t>。</w:t>
      </w:r>
      <w:r>
        <w:rPr>
          <w:rFonts w:hint="eastAsia" w:ascii="仿宋_GB2312" w:eastAsia="仿宋_GB2312"/>
          <w:color w:val="000000"/>
          <w:sz w:val="32"/>
          <w:szCs w:val="32"/>
        </w:rPr>
        <w:t>德清县远望幼儿园2024年收支总预算1220.46万元。</w:t>
      </w:r>
    </w:p>
    <w:p>
      <w:pPr>
        <w:spacing w:line="520" w:lineRule="exact"/>
        <w:ind w:firstLine="320" w:firstLineChars="1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（二）关于德清县远望幼儿园2024年收入预算情况说明</w:t>
      </w:r>
    </w:p>
    <w:p>
      <w:pPr>
        <w:spacing w:line="520" w:lineRule="exact"/>
        <w:ind w:firstLine="642"/>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rPr>
        <w:t>德清县远望幼儿园2024年收入预算1220.46万元，比上年执行数减少</w:t>
      </w:r>
      <w:r>
        <w:rPr>
          <w:rFonts w:hint="eastAsia" w:ascii="仿宋_GB2312" w:hAnsi="仿宋_GB2312" w:eastAsia="仿宋_GB2312" w:cs="仿宋_GB2312"/>
          <w:color w:val="auto"/>
          <w:sz w:val="32"/>
          <w:szCs w:val="32"/>
          <w:highlight w:val="none"/>
          <w:shd w:val="clear" w:color="auto" w:fill="auto"/>
          <w:lang w:val="en-US" w:eastAsia="zh-CN"/>
        </w:rPr>
        <w:t>216.85</w:t>
      </w:r>
      <w:r>
        <w:rPr>
          <w:rFonts w:hint="eastAsia" w:ascii="仿宋_GB2312" w:hAnsi="仿宋_GB2312" w:eastAsia="仿宋_GB2312" w:cs="仿宋_GB2312"/>
          <w:color w:val="auto"/>
          <w:sz w:val="32"/>
          <w:szCs w:val="32"/>
          <w:highlight w:val="none"/>
          <w:shd w:val="clear" w:color="auto" w:fill="auto"/>
        </w:rPr>
        <w:t>万元，下</w:t>
      </w:r>
      <w:r>
        <w:rPr>
          <w:rFonts w:hint="eastAsia" w:ascii="仿宋_GB2312" w:hAnsi="仿宋_GB2312" w:eastAsia="仿宋_GB2312" w:cs="仿宋_GB2312"/>
          <w:color w:val="auto"/>
          <w:sz w:val="32"/>
          <w:highlight w:val="none"/>
          <w:shd w:val="clear" w:color="auto" w:fill="auto"/>
        </w:rPr>
        <w:t>降</w:t>
      </w:r>
      <w:r>
        <w:rPr>
          <w:rFonts w:hint="eastAsia" w:ascii="仿宋_GB2312" w:hAnsi="仿宋_GB2312" w:eastAsia="仿宋_GB2312" w:cs="仿宋_GB2312"/>
          <w:color w:val="auto"/>
          <w:sz w:val="32"/>
          <w:highlight w:val="none"/>
          <w:shd w:val="clear" w:color="auto" w:fill="auto"/>
          <w:lang w:val="en-US" w:eastAsia="zh-CN"/>
        </w:rPr>
        <w:t>15.09</w:t>
      </w:r>
      <w:r>
        <w:rPr>
          <w:rFonts w:hint="eastAsia" w:ascii="仿宋_GB2312" w:hAnsi="仿宋_GB2312" w:eastAsia="仿宋_GB2312" w:cs="仿宋_GB2312"/>
          <w:color w:val="auto"/>
          <w:sz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rPr>
        <w:t>主要是</w:t>
      </w:r>
      <w:r>
        <w:rPr>
          <w:rFonts w:hint="eastAsia" w:ascii="仿宋_GB2312" w:eastAsia="仿宋_GB2312"/>
          <w:color w:val="auto"/>
          <w:sz w:val="32"/>
          <w:szCs w:val="32"/>
          <w:highlight w:val="none"/>
          <w:shd w:val="clear" w:color="auto" w:fill="auto"/>
          <w:lang w:val="en-US" w:eastAsia="zh-CN"/>
        </w:rPr>
        <w:t>2023年园区分园建设支出较大</w:t>
      </w:r>
      <w:r>
        <w:rPr>
          <w:rFonts w:hint="eastAsia" w:ascii="仿宋_GB2312" w:hAnsi="仿宋_GB2312" w:eastAsia="仿宋_GB2312" w:cs="仿宋_GB2312"/>
          <w:color w:val="auto"/>
          <w:sz w:val="32"/>
          <w:szCs w:val="32"/>
          <w:highlight w:val="none"/>
          <w:shd w:val="clear" w:color="auto" w:fill="auto"/>
          <w:lang w:val="en-US"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auto"/>
          <w:sz w:val="32"/>
          <w:szCs w:val="32"/>
          <w:shd w:val="clear" w:color="auto" w:fill="auto"/>
        </w:rPr>
        <w:t>其中：一般公共预算拨款收入</w:t>
      </w:r>
      <w:r>
        <w:rPr>
          <w:rFonts w:ascii="仿宋_GB2312" w:eastAsia="仿宋_GB2312"/>
          <w:color w:val="auto"/>
          <w:sz w:val="32"/>
          <w:szCs w:val="32"/>
          <w:shd w:val="clear" w:color="auto" w:fill="auto"/>
        </w:rPr>
        <w:t>1205.92</w:t>
      </w:r>
      <w:r>
        <w:rPr>
          <w:rFonts w:hint="eastAsia" w:ascii="仿宋_GB2312" w:eastAsia="仿宋_GB2312"/>
          <w:color w:val="auto"/>
          <w:sz w:val="32"/>
          <w:szCs w:val="32"/>
          <w:shd w:val="clear" w:color="auto" w:fill="auto"/>
        </w:rPr>
        <w:t>万元，占98.8%；专户资金11.00万元，占0.9%。</w:t>
      </w:r>
      <w:r>
        <w:rPr>
          <w:rFonts w:hint="eastAsia" w:ascii="仿宋_GB2312" w:eastAsia="仿宋_GB2312"/>
          <w:color w:val="auto"/>
          <w:sz w:val="32"/>
          <w:szCs w:val="32"/>
          <w:shd w:val="clear" w:color="auto" w:fill="auto"/>
        </w:rPr>
        <w:br w:type="textWrapping"/>
      </w:r>
      <w:r>
        <w:rPr>
          <w:rFonts w:hint="eastAsia" w:ascii="楷体_GB2312" w:hAnsi="楷体_GB2312" w:eastAsia="楷体_GB2312" w:cs="楷体_GB2312"/>
          <w:bCs/>
          <w:color w:val="000000"/>
          <w:sz w:val="32"/>
          <w:szCs w:val="32"/>
        </w:rPr>
        <w:t>　（三）关于德清县远望幼儿园2024年支出预算情况说明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德清县远望幼儿园</w:t>
      </w:r>
      <w:r>
        <w:rPr>
          <w:rFonts w:hint="eastAsia" w:ascii="仿宋_GB2312" w:hAnsi="仿宋_GB2312" w:eastAsia="仿宋_GB2312" w:cs="仿宋_GB2312"/>
          <w:color w:val="000000"/>
          <w:sz w:val="32"/>
          <w:szCs w:val="32"/>
          <w:highlight w:val="none"/>
          <w:shd w:val="clear" w:color="auto" w:fill="auto"/>
        </w:rPr>
        <w:t>2024年支出预算1220.46万元，比上年执行数减少</w:t>
      </w:r>
      <w:r>
        <w:rPr>
          <w:rFonts w:hint="eastAsia" w:ascii="仿宋_GB2312" w:hAnsi="仿宋_GB2312" w:eastAsia="仿宋_GB2312" w:cs="仿宋_GB2312"/>
          <w:color w:val="000000"/>
          <w:sz w:val="32"/>
          <w:szCs w:val="32"/>
          <w:highlight w:val="none"/>
          <w:shd w:val="clear" w:color="auto" w:fill="auto"/>
          <w:lang w:val="en-US" w:eastAsia="zh-CN"/>
        </w:rPr>
        <w:t>215.97</w:t>
      </w:r>
      <w:r>
        <w:rPr>
          <w:rFonts w:hint="eastAsia" w:ascii="仿宋_GB2312" w:hAnsi="仿宋_GB2312" w:eastAsia="仿宋_GB2312" w:cs="仿宋_GB2312"/>
          <w:color w:val="000000"/>
          <w:sz w:val="32"/>
          <w:szCs w:val="32"/>
          <w:highlight w:val="none"/>
          <w:shd w:val="clear" w:color="auto" w:fill="auto"/>
        </w:rPr>
        <w:t>万元，</w:t>
      </w:r>
      <w:r>
        <w:rPr>
          <w:rFonts w:hint="eastAsia" w:ascii="仿宋_GB2312" w:hAnsi="仿宋_GB2312" w:eastAsia="仿宋_GB2312" w:cs="仿宋_GB2312"/>
          <w:color w:val="000000"/>
          <w:sz w:val="32"/>
          <w:highlight w:val="none"/>
          <w:shd w:val="clear" w:color="auto" w:fill="auto"/>
        </w:rPr>
        <w:t>下降</w:t>
      </w:r>
      <w:r>
        <w:rPr>
          <w:rFonts w:hint="eastAsia" w:ascii="仿宋_GB2312" w:hAnsi="仿宋_GB2312" w:eastAsia="仿宋_GB2312" w:cs="仿宋_GB2312"/>
          <w:color w:val="000000"/>
          <w:sz w:val="32"/>
          <w:highlight w:val="none"/>
          <w:shd w:val="clear" w:color="auto" w:fill="auto"/>
          <w:lang w:val="en-US" w:eastAsia="zh-CN"/>
        </w:rPr>
        <w:t>15.04</w:t>
      </w:r>
      <w:r>
        <w:rPr>
          <w:rFonts w:hint="eastAsia" w:ascii="仿宋_GB2312" w:hAnsi="仿宋_GB2312" w:eastAsia="仿宋_GB2312" w:cs="仿宋_GB2312"/>
          <w:color w:val="000000"/>
          <w:sz w:val="32"/>
          <w:highlight w:val="none"/>
          <w:shd w:val="clear" w:color="auto" w:fill="auto"/>
        </w:rPr>
        <w:t>%，</w:t>
      </w:r>
      <w:r>
        <w:rPr>
          <w:rFonts w:hint="eastAsia" w:ascii="仿宋_GB2312" w:hAnsi="仿宋_GB2312" w:eastAsia="仿宋_GB2312" w:cs="仿宋_GB2312"/>
          <w:color w:val="000000"/>
          <w:sz w:val="32"/>
          <w:szCs w:val="32"/>
          <w:highlight w:val="none"/>
          <w:shd w:val="clear" w:color="auto" w:fill="auto"/>
        </w:rPr>
        <w:t>主要是</w:t>
      </w:r>
      <w:r>
        <w:rPr>
          <w:rFonts w:hint="eastAsia" w:ascii="仿宋_GB2312" w:eastAsia="仿宋_GB2312"/>
          <w:color w:val="auto"/>
          <w:sz w:val="32"/>
          <w:szCs w:val="32"/>
          <w:highlight w:val="none"/>
          <w:shd w:val="clear" w:color="auto" w:fill="auto"/>
          <w:lang w:val="en-US" w:eastAsia="zh-CN"/>
        </w:rPr>
        <w:t>2023年园区分园建设支出较大</w:t>
      </w:r>
      <w:r>
        <w:rPr>
          <w:rFonts w:hint="eastAsia" w:ascii="仿宋_GB2312" w:hAnsi="仿宋_GB2312" w:eastAsia="仿宋_GB2312" w:cs="仿宋_GB2312"/>
          <w:color w:val="auto"/>
          <w:sz w:val="32"/>
          <w:szCs w:val="32"/>
          <w:highlight w:val="none"/>
          <w:shd w:val="clear" w:color="auto" w:fill="auto"/>
          <w:lang w:val="en-US" w:eastAsia="zh-CN"/>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1.按支出功能分类，包括教育支出1179.45万元、社会保障和就业支出24.39万元、卫生健康支出16.63万元。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2.按支出用途分类，包括人员支出1111.82万元，占91.1%；日常公用支出87.11万元，占7.1%；项目支出21.53万元，占1.8%。</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（四）关于德清县远望幼儿园2024年财政拨款收支预算情况的总体说明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德清县远望幼儿园2024年财政拨款收支总预算1205.92万元。收入包括：一般公共预算1205.92万；支出包括：教育支出1164.90万元、社会保障和就业支出24.39万元、卫生健康支出16.63万元。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关于德清县远望幼儿园2024年一般公共预算拨款情况说明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德清县远望幼儿园2024年一般公共预算拨款</w:t>
      </w:r>
      <w:r>
        <w:rPr>
          <w:rFonts w:hint="eastAsia" w:ascii="仿宋_GB2312" w:hAnsi="仿宋_GB2312" w:eastAsia="仿宋_GB2312" w:cs="仿宋_GB2312"/>
          <w:bCs/>
          <w:color w:val="000000"/>
          <w:sz w:val="32"/>
          <w:szCs w:val="32"/>
          <w:highlight w:val="none"/>
        </w:rPr>
        <w:t>1205.92</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53.92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4.68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2024年职工人数多于上年</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教育支出1164.90万元，占96.6%；社会保障和就业支出24.39万元，占2.0%；卫生健康支出16.63万元，占1.4%。</w:t>
      </w:r>
    </w:p>
    <w:p>
      <w:pPr>
        <w:numPr>
          <w:ilvl w:val="0"/>
          <w:numId w:val="2"/>
        </w:num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一般公共预算拨款具体使用情况。</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1</w:t>
      </w:r>
      <w:r>
        <w:rPr>
          <w:rFonts w:hint="eastAsia" w:ascii="仿宋_GB2312" w:hAnsi="仿宋_GB2312" w:eastAsia="仿宋_GB2312" w:cs="仿宋_GB2312"/>
          <w:color w:val="000000"/>
          <w:sz w:val="32"/>
          <w:szCs w:val="32"/>
          <w:highlight w:val="none"/>
          <w:lang w:eastAsia="zh-CN"/>
        </w:rPr>
        <w:t>）教育支出</w:t>
      </w:r>
      <w:r>
        <w:rPr>
          <w:rFonts w:hint="eastAsia" w:ascii="仿宋_GB2312" w:hAnsi="仿宋_GB2312" w:eastAsia="仿宋_GB2312" w:cs="仿宋_GB2312"/>
          <w:color w:val="000000"/>
          <w:sz w:val="32"/>
          <w:szCs w:val="32"/>
          <w:highlight w:val="none"/>
        </w:rPr>
        <w:t>（类）普通教育（款）学前教育（项）</w:t>
      </w:r>
      <w:r>
        <w:rPr>
          <w:rFonts w:hint="eastAsia" w:ascii="仿宋_GB2312" w:hAnsi="仿宋_GB2312" w:eastAsia="仿宋_GB2312" w:cs="仿宋_GB2312"/>
          <w:color w:val="000000"/>
          <w:sz w:val="32"/>
          <w:szCs w:val="32"/>
          <w:highlight w:val="none"/>
          <w:lang w:val="en-US" w:eastAsia="zh-CN"/>
        </w:rPr>
        <w:t>1164.90</w:t>
      </w:r>
      <w:r>
        <w:rPr>
          <w:rFonts w:hint="eastAsia" w:ascii="仿宋_GB2312" w:hAnsi="仿宋_GB2312" w:eastAsia="仿宋_GB2312" w:cs="仿宋_GB2312"/>
          <w:color w:val="000000"/>
          <w:sz w:val="32"/>
          <w:szCs w:val="32"/>
          <w:highlight w:val="none"/>
        </w:rPr>
        <w:t>万元，</w:t>
      </w:r>
      <w:r>
        <w:rPr>
          <w:rFonts w:hint="eastAsia" w:ascii="仿宋_GB2312" w:eastAsia="仿宋_GB2312"/>
          <w:color w:val="000000"/>
          <w:sz w:val="32"/>
          <w:szCs w:val="32"/>
        </w:rPr>
        <w:t>主要用于</w:t>
      </w:r>
      <w:r>
        <w:rPr>
          <w:rFonts w:hint="eastAsia" w:ascii="仿宋_GB2312" w:hAnsi="楷体_GB2312" w:eastAsia="仿宋_GB2312" w:cs="楷体_GB2312"/>
          <w:sz w:val="32"/>
          <w:szCs w:val="32"/>
        </w:rPr>
        <w:t>所属学校学前教育的支出</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lang w:eastAsia="zh-CN"/>
        </w:rPr>
        <w:t>）社会保障和就业</w:t>
      </w:r>
      <w:r>
        <w:rPr>
          <w:rFonts w:hint="eastAsia" w:ascii="仿宋_GB2312" w:hAnsi="仿宋_GB2312" w:eastAsia="仿宋_GB2312" w:cs="仿宋_GB2312"/>
          <w:color w:val="000000"/>
          <w:sz w:val="32"/>
          <w:szCs w:val="32"/>
          <w:highlight w:val="none"/>
        </w:rPr>
        <w:t>（类）行政事业单位养老支出（款）事业单位离退休（项）</w:t>
      </w:r>
      <w:r>
        <w:rPr>
          <w:rFonts w:hint="eastAsia" w:ascii="仿宋_GB2312" w:hAnsi="仿宋_GB2312" w:eastAsia="仿宋_GB2312" w:cs="仿宋_GB2312"/>
          <w:color w:val="000000"/>
          <w:sz w:val="32"/>
          <w:szCs w:val="32"/>
          <w:highlight w:val="none"/>
          <w:lang w:val="en-US" w:eastAsia="zh-CN"/>
        </w:rPr>
        <w:t>2.15</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sz w:val="32"/>
          <w:szCs w:val="32"/>
        </w:rPr>
        <w:t>事业单位开支的离退休经费</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lang w:eastAsia="zh-CN"/>
        </w:rPr>
        <w:t>）社会保障和就业</w:t>
      </w:r>
      <w:r>
        <w:rPr>
          <w:rFonts w:hint="eastAsia" w:ascii="仿宋_GB2312" w:hAnsi="仿宋_GB2312" w:eastAsia="仿宋_GB2312" w:cs="仿宋_GB2312"/>
          <w:color w:val="000000"/>
          <w:sz w:val="32"/>
          <w:szCs w:val="32"/>
          <w:highlight w:val="none"/>
        </w:rPr>
        <w:t>（类）行政事业单位养老支出（款）机关事业单位基本养老保险缴费支出（项）</w:t>
      </w:r>
      <w:r>
        <w:rPr>
          <w:rFonts w:hint="eastAsia" w:ascii="仿宋_GB2312" w:hAnsi="仿宋_GB2312" w:eastAsia="仿宋_GB2312" w:cs="仿宋_GB2312"/>
          <w:color w:val="000000"/>
          <w:sz w:val="32"/>
          <w:szCs w:val="32"/>
          <w:highlight w:val="none"/>
          <w:lang w:val="en-US" w:eastAsia="zh-CN"/>
        </w:rPr>
        <w:t>14.83</w:t>
      </w:r>
      <w:r>
        <w:rPr>
          <w:rFonts w:hint="eastAsia" w:ascii="仿宋_GB2312" w:hAnsi="仿宋_GB2312" w:eastAsia="仿宋_GB2312" w:cs="仿宋_GB2312"/>
          <w:color w:val="000000"/>
          <w:sz w:val="32"/>
          <w:szCs w:val="32"/>
          <w:highlight w:val="none"/>
        </w:rPr>
        <w:t>万元，</w:t>
      </w:r>
      <w:r>
        <w:rPr>
          <w:rFonts w:hint="eastAsia" w:ascii="仿宋_GB2312" w:eastAsia="仿宋_GB2312"/>
          <w:color w:val="000000"/>
          <w:sz w:val="32"/>
          <w:szCs w:val="32"/>
        </w:rPr>
        <w:t>主要用于</w:t>
      </w:r>
      <w:r>
        <w:rPr>
          <w:rFonts w:hint="eastAsia" w:ascii="仿宋_GB2312" w:hAnsi="楷体_GB2312" w:eastAsia="仿宋_GB2312" w:cs="楷体_GB2312"/>
          <w:sz w:val="32"/>
          <w:szCs w:val="32"/>
        </w:rPr>
        <w:t>机关事业单位实施养老保险制度由单位缴纳的基本养老保险费的支出</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）社会保障和就业</w:t>
      </w:r>
      <w:r>
        <w:rPr>
          <w:rFonts w:hint="eastAsia" w:ascii="仿宋_GB2312" w:hAnsi="仿宋_GB2312" w:eastAsia="仿宋_GB2312" w:cs="仿宋_GB2312"/>
          <w:color w:val="000000"/>
          <w:sz w:val="32"/>
          <w:szCs w:val="32"/>
          <w:highlight w:val="none"/>
        </w:rPr>
        <w:t>（类）行政事业单位养老支出（款）机关事业单位职业年金缴费支出（项）</w:t>
      </w:r>
      <w:r>
        <w:rPr>
          <w:rFonts w:hint="eastAsia" w:ascii="仿宋_GB2312" w:hAnsi="仿宋_GB2312" w:eastAsia="仿宋_GB2312" w:cs="仿宋_GB2312"/>
          <w:color w:val="000000"/>
          <w:sz w:val="32"/>
          <w:szCs w:val="32"/>
          <w:highlight w:val="none"/>
          <w:lang w:val="en-US" w:eastAsia="zh-CN"/>
        </w:rPr>
        <w:t>7.41</w:t>
      </w:r>
      <w:r>
        <w:rPr>
          <w:rFonts w:hint="eastAsia" w:ascii="仿宋_GB2312" w:hAnsi="仿宋_GB2312" w:eastAsia="仿宋_GB2312" w:cs="仿宋_GB2312"/>
          <w:color w:val="000000"/>
          <w:sz w:val="32"/>
          <w:szCs w:val="32"/>
          <w:highlight w:val="none"/>
        </w:rPr>
        <w:t>万元，</w:t>
      </w:r>
      <w:r>
        <w:rPr>
          <w:rFonts w:hint="eastAsia" w:ascii="仿宋_GB2312" w:eastAsia="仿宋_GB2312"/>
          <w:color w:val="000000"/>
          <w:sz w:val="32"/>
          <w:szCs w:val="32"/>
        </w:rPr>
        <w:t>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5</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卫生健康支出（类）行政事业单位医疗（款）事业单位医疗（项）</w:t>
      </w:r>
      <w:r>
        <w:rPr>
          <w:rFonts w:hint="eastAsia" w:ascii="仿宋_GB2312" w:hAnsi="仿宋_GB2312" w:eastAsia="仿宋_GB2312" w:cs="仿宋_GB2312"/>
          <w:color w:val="000000"/>
          <w:sz w:val="32"/>
          <w:szCs w:val="32"/>
          <w:highlight w:val="none"/>
          <w:lang w:val="en-US" w:eastAsia="zh-CN"/>
        </w:rPr>
        <w:t>16.63</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r>
        <w:rPr>
          <w:rFonts w:hint="eastAsia" w:ascii="仿宋_GB2312" w:hAnsi="楷体_GB2312" w:eastAsia="仿宋_GB2312" w:cs="楷体_GB2312"/>
          <w:sz w:val="32"/>
          <w:szCs w:val="32"/>
        </w:rPr>
        <w:t>主要用于反映财政部门集中安排的事业单位基本医疗保险缴费经费，未参加医疗保险的事业单位的公费医疗经费，按国家规定享受离休人员待遇的医疗经费</w:t>
      </w:r>
      <w:r>
        <w:rPr>
          <w:rFonts w:hint="eastAsia" w:ascii="仿宋_GB2312" w:hAnsi="仿宋_GB2312" w:eastAsia="仿宋_GB2312" w:cs="仿宋_GB2312"/>
          <w:color w:val="000000"/>
          <w:sz w:val="32"/>
          <w:szCs w:val="32"/>
          <w:highlight w:val="none"/>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（六）关于德清县远望幼儿园2024年一般公共预算基本支出情况说明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德清县远望幼儿园2024年一般公共预算基本支出1187.94万元，其中：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1100.82万元，主要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ascii="仿宋_GB2312" w:eastAsia="仿宋_GB2312"/>
          <w:color w:val="000000"/>
          <w:sz w:val="32"/>
          <w:szCs w:val="32"/>
        </w:rPr>
      </w:pPr>
      <w:r>
        <w:rPr>
          <w:rFonts w:hint="eastAsia" w:ascii="仿宋_GB2312" w:eastAsia="仿宋_GB2312"/>
          <w:color w:val="000000"/>
          <w:sz w:val="32"/>
          <w:szCs w:val="32"/>
        </w:rPr>
        <w:t>公用经费87.11万元，主要包括：</w:t>
      </w:r>
      <w:r>
        <w:rPr>
          <w:rFonts w:hint="eastAsia" w:ascii="仿宋_GB2312" w:eastAsia="仿宋_GB2312" w:cs="Times New Roman"/>
          <w:b w:val="0"/>
          <w:color w:val="000000"/>
          <w:sz w:val="32"/>
          <w:szCs w:val="32"/>
          <w:highlight w:val="none"/>
          <w:lang w:val="en-US" w:eastAsia="zh-CN"/>
        </w:rPr>
        <w:t>办公费、水费、电费、维修（护）费、专用材料费、工会经费、福利费、其他商品和服务支出。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（七）关于德清县远望幼儿园2024年政府性基金预算支出情况说明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德清县远望幼儿园2024年没有使用政府性基金预算拨款安排的支出</w:t>
      </w:r>
      <w:r>
        <w:rPr>
          <w:rFonts w:hint="eastAsia" w:ascii="仿宋_GB2312" w:hAnsi="仿宋_GB2312" w:eastAsia="仿宋_GB2312" w:cs="仿宋_GB2312"/>
          <w:color w:val="000000"/>
          <w:sz w:val="32"/>
          <w:szCs w:val="32"/>
          <w:lang w:eastAsia="zh-CN"/>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德清县远望幼儿园</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rFonts w:hint="eastAsia" w:eastAsia="仿宋_GB2312"/>
          <w:highlight w:val="none"/>
          <w:lang w:eastAsia="zh-CN"/>
        </w:rPr>
      </w:pPr>
      <w:r>
        <w:rPr>
          <w:rFonts w:hint="eastAsia" w:ascii="仿宋_GB2312" w:hAnsi="仿宋_GB2312" w:eastAsia="仿宋_GB2312" w:cs="仿宋_GB2312"/>
          <w:color w:val="000000"/>
          <w:sz w:val="32"/>
          <w:szCs w:val="32"/>
          <w:highlight w:val="none"/>
        </w:rPr>
        <w:t>德清县远望幼儿园2024年没有使用国有资本经营预算拨款安排的支出</w:t>
      </w:r>
      <w:r>
        <w:rPr>
          <w:rFonts w:hint="eastAsia" w:ascii="仿宋_GB2312" w:hAnsi="仿宋_GB2312" w:eastAsia="仿宋_GB2312" w:cs="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（九）关于德清县远望幼儿园2024年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德清县远望幼儿园2024年“三公”经费预算数为0.72万元，</w:t>
      </w:r>
      <w:r>
        <w:rPr>
          <w:rFonts w:hint="eastAsia" w:ascii="仿宋_GB2312" w:hAnsi="仿宋_GB2312" w:eastAsia="仿宋_GB2312"/>
          <w:sz w:val="32"/>
          <w:shd w:val="clear" w:color="auto" w:fill="FFFFFF"/>
        </w:rPr>
        <w:t>比上年预算数增加</w:t>
      </w:r>
      <w:r>
        <w:rPr>
          <w:rFonts w:hint="eastAsia" w:ascii="仿宋_GB2312" w:hAnsi="仿宋_GB2312" w:eastAsia="仿宋_GB2312"/>
          <w:sz w:val="32"/>
          <w:shd w:val="clear" w:color="auto" w:fill="FFFFFF"/>
          <w:lang w:val="en-US" w:eastAsia="zh-CN"/>
        </w:rPr>
        <w:t>0.72</w:t>
      </w:r>
      <w:r>
        <w:rPr>
          <w:rFonts w:hint="eastAsia" w:ascii="仿宋_GB2312" w:hAnsi="仿宋_GB2312" w:eastAsia="仿宋_GB2312"/>
          <w:sz w:val="32"/>
          <w:shd w:val="clear" w:color="auto" w:fill="FFFFFF"/>
        </w:rPr>
        <w:t>万元，增长</w:t>
      </w:r>
      <w:r>
        <w:rPr>
          <w:rFonts w:hint="eastAsia" w:ascii="仿宋_GB2312" w:hAnsi="仿宋_GB2312" w:eastAsia="仿宋_GB2312"/>
          <w:sz w:val="32"/>
          <w:shd w:val="clear" w:color="auto" w:fill="FFFFFF"/>
          <w:lang w:val="en-US" w:eastAsia="zh-CN"/>
        </w:rPr>
        <w:t>100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2024年预算未安排，与上年预算数持平，主要原因是由相关部门从严审批控制，根据实际情况调</w:t>
      </w:r>
      <w:r>
        <w:rPr>
          <w:rFonts w:hint="eastAsia" w:ascii="仿宋_GB2312" w:hAnsi="仿宋_GB2312" w:eastAsia="仿宋_GB2312" w:cs="仿宋_GB2312"/>
          <w:color w:val="auto"/>
          <w:sz w:val="32"/>
          <w:szCs w:val="32"/>
        </w:rPr>
        <w:t>整，年初未纳入部门预算。</w:t>
      </w:r>
    </w:p>
    <w:p>
      <w:pPr>
        <w:spacing w:line="520" w:lineRule="exact"/>
        <w:ind w:firstLine="640" w:firstLineChars="200"/>
        <w:rPr>
          <w:rFonts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sz w:val="32"/>
          <w:szCs w:val="32"/>
        </w:rPr>
        <w:t>2.公务接待费：</w:t>
      </w:r>
      <w:r>
        <w:rPr>
          <w:rFonts w:hint="eastAsia" w:ascii="仿宋_GB2312" w:hAnsi="仿宋_GB2312" w:eastAsia="仿宋_GB2312" w:cs="仿宋_GB2312"/>
          <w:color w:val="auto"/>
          <w:sz w:val="32"/>
          <w:szCs w:val="32"/>
          <w:highlight w:val="none"/>
          <w:shd w:val="clear" w:color="auto" w:fill="auto"/>
        </w:rPr>
        <w:t>2024年安排公务接待费预算0.72万元，比上年预算数</w:t>
      </w:r>
      <w:r>
        <w:rPr>
          <w:rFonts w:hint="eastAsia" w:ascii="仿宋_GB2312" w:hAnsi="仿宋_GB2312" w:eastAsia="仿宋_GB2312"/>
          <w:color w:val="auto"/>
          <w:sz w:val="32"/>
          <w:highlight w:val="none"/>
          <w:shd w:val="clear" w:color="auto" w:fill="auto"/>
        </w:rPr>
        <w:t>增加</w:t>
      </w:r>
      <w:r>
        <w:rPr>
          <w:rFonts w:hint="eastAsia" w:ascii="仿宋_GB2312" w:hAnsi="仿宋_GB2312" w:eastAsia="仿宋_GB2312"/>
          <w:color w:val="auto"/>
          <w:sz w:val="32"/>
          <w:highlight w:val="none"/>
          <w:shd w:val="clear" w:color="auto" w:fill="auto"/>
          <w:lang w:val="en-US" w:eastAsia="zh-CN"/>
        </w:rPr>
        <w:t>0.72</w:t>
      </w:r>
      <w:r>
        <w:rPr>
          <w:rFonts w:hint="eastAsia" w:ascii="仿宋_GB2312" w:hAnsi="仿宋_GB2312" w:eastAsia="仿宋_GB2312"/>
          <w:color w:val="auto"/>
          <w:sz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rPr>
        <w:t>增长</w:t>
      </w:r>
      <w:r>
        <w:rPr>
          <w:rFonts w:hint="eastAsia" w:ascii="仿宋_GB2312" w:eastAsia="仿宋_GB2312"/>
          <w:color w:val="auto"/>
          <w:sz w:val="32"/>
          <w:szCs w:val="32"/>
          <w:highlight w:val="none"/>
          <w:shd w:val="clear" w:color="auto" w:fill="auto"/>
          <w:lang w:val="en-US" w:eastAsia="zh-CN"/>
        </w:rPr>
        <w:t>100</w:t>
      </w:r>
      <w:r>
        <w:rPr>
          <w:rFonts w:hint="eastAsia" w:ascii="仿宋_GB2312" w:hAnsi="仿宋_GB2312" w:eastAsia="仿宋_GB2312" w:cs="仿宋_GB2312"/>
          <w:color w:val="auto"/>
          <w:sz w:val="32"/>
          <w:szCs w:val="32"/>
          <w:highlight w:val="none"/>
          <w:shd w:val="clear" w:color="auto" w:fill="auto"/>
        </w:rPr>
        <w:t>%。主要用于接待</w:t>
      </w:r>
      <w:r>
        <w:rPr>
          <w:rFonts w:hint="eastAsia" w:ascii="仿宋_GB2312" w:hAnsi="仿宋_GB2312" w:eastAsia="仿宋_GB2312" w:cs="仿宋_GB2312"/>
          <w:color w:val="auto"/>
          <w:sz w:val="32"/>
          <w:szCs w:val="32"/>
          <w:highlight w:val="none"/>
          <w:shd w:val="clear" w:color="auto" w:fill="auto"/>
          <w:lang w:val="en-US" w:eastAsia="zh-CN"/>
        </w:rPr>
        <w:t>结对园</w:t>
      </w:r>
      <w:r>
        <w:rPr>
          <w:rFonts w:hint="eastAsia" w:ascii="仿宋_GB2312" w:hAnsi="仿宋_GB2312" w:eastAsia="仿宋_GB2312" w:cs="仿宋_GB2312"/>
          <w:color w:val="auto"/>
          <w:sz w:val="32"/>
          <w:szCs w:val="32"/>
          <w:highlight w:val="none"/>
          <w:shd w:val="clear" w:color="auto" w:fill="auto"/>
        </w:rPr>
        <w:t>等支出。增加的主要原因是用于接待</w:t>
      </w:r>
      <w:r>
        <w:rPr>
          <w:rFonts w:hint="eastAsia" w:ascii="仿宋_GB2312" w:hAnsi="仿宋_GB2312" w:eastAsia="仿宋_GB2312" w:cs="仿宋_GB2312"/>
          <w:color w:val="auto"/>
          <w:sz w:val="32"/>
          <w:szCs w:val="32"/>
          <w:highlight w:val="none"/>
          <w:shd w:val="clear" w:color="auto" w:fill="auto"/>
          <w:lang w:val="en-US" w:eastAsia="zh-CN"/>
        </w:rPr>
        <w:t>结对园等活动</w:t>
      </w:r>
      <w:bookmarkStart w:id="0" w:name="_GoBack"/>
      <w:bookmarkEnd w:id="0"/>
      <w:r>
        <w:rPr>
          <w:rFonts w:hint="eastAsia" w:ascii="仿宋_GB2312" w:hAnsi="仿宋_GB2312" w:eastAsia="仿宋_GB2312" w:cs="仿宋_GB2312"/>
          <w:color w:val="auto"/>
          <w:sz w:val="32"/>
          <w:szCs w:val="32"/>
          <w:highlight w:val="none"/>
          <w:shd w:val="clear" w:color="auto" w:fill="auto"/>
        </w:rPr>
        <w:t>。</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3.公务用车购置及运行维护费：2024年安排公务用车购置及运行维护费预算0万元，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2024年德清县远望幼儿园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16.30</w:t>
      </w:r>
      <w:r>
        <w:rPr>
          <w:rFonts w:hint="eastAsia" w:ascii="仿宋_GB2312" w:eastAsia="仿宋_GB2312"/>
          <w:color w:val="000000"/>
          <w:sz w:val="32"/>
          <w:szCs w:val="32"/>
        </w:rPr>
        <w:t>万元，其中：政府采购货物预算1.00万元、政府采购工程预算0.00万元、政府采购服务预算</w:t>
      </w:r>
      <w:r>
        <w:rPr>
          <w:rFonts w:ascii="仿宋_GB2312" w:eastAsia="仿宋_GB2312"/>
          <w:color w:val="000000"/>
          <w:sz w:val="32"/>
          <w:szCs w:val="32"/>
        </w:rPr>
        <w:t>15.30</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keepNext w:val="0"/>
        <w:keepLines w:val="0"/>
        <w:pageBreakBefore w:val="0"/>
        <w:kinsoku/>
        <w:wordWrap/>
        <w:overflowPunct/>
        <w:topLinePunct w:val="0"/>
        <w:bidi w:val="0"/>
        <w:spacing w:beforeLines="0" w:afterLines="0" w:line="520" w:lineRule="exact"/>
        <w:ind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pacing w:val="6"/>
          <w:sz w:val="32"/>
          <w:szCs w:val="32"/>
        </w:rPr>
        <w:t>截至2023年12月31日，</w:t>
      </w:r>
      <w:r>
        <w:rPr>
          <w:rFonts w:hint="eastAsia" w:ascii="仿宋_GB2312" w:eastAsia="仿宋_GB2312"/>
          <w:b w:val="0"/>
          <w:bCs w:val="0"/>
          <w:sz w:val="32"/>
          <w:szCs w:val="32"/>
          <w:highlight w:val="none"/>
          <w:u w:val="none"/>
          <w:lang w:val="en-US" w:eastAsia="zh-CN"/>
        </w:rPr>
        <w:t>德清县远望幼儿园</w:t>
      </w:r>
      <w:r>
        <w:rPr>
          <w:rFonts w:hint="eastAsia" w:ascii="仿宋_GB2312" w:hAnsi="仿宋_GB2312" w:eastAsia="仿宋_GB2312" w:cs="仿宋_GB2312"/>
          <w:color w:val="auto"/>
          <w:spacing w:val="6"/>
          <w:sz w:val="32"/>
          <w:szCs w:val="32"/>
          <w:highlight w:val="none"/>
          <w:lang w:eastAsia="zh-CN"/>
        </w:rPr>
        <w:t>共有车辆</w:t>
      </w:r>
      <w:r>
        <w:rPr>
          <w:rFonts w:hint="eastAsia" w:ascii="仿宋_GB2312" w:hAnsi="仿宋_GB2312" w:eastAsia="仿宋_GB2312" w:cs="仿宋_GB2312"/>
          <w:color w:val="auto"/>
          <w:sz w:val="32"/>
          <w:szCs w:val="32"/>
          <w:highlight w:val="none"/>
          <w:lang w:val="en-US" w:eastAsia="zh-CN"/>
        </w:rPr>
        <w:t>0辆，</w:t>
      </w:r>
      <w:r>
        <w:rPr>
          <w:rFonts w:hint="eastAsia" w:ascii="仿宋_GB2312" w:hAnsi="仿宋_GB2312" w:eastAsia="仿宋_GB2312" w:cs="仿宋_GB2312"/>
          <w:sz w:val="32"/>
          <w:szCs w:val="32"/>
        </w:rPr>
        <w:t>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rPr>
        <w:t>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 xml:space="preserve">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w:t>
      </w:r>
      <w:r>
        <w:rPr>
          <w:rFonts w:hint="eastAsia" w:ascii="仿宋_GB2312" w:hAnsi="仿宋_GB2312" w:eastAsia="仿宋_GB2312" w:cs="仿宋_GB2312"/>
          <w:color w:val="auto"/>
          <w:sz w:val="32"/>
          <w:szCs w:val="32"/>
          <w:highlight w:val="none"/>
          <w:lang w:val="en-US" w:eastAsia="zh-CN"/>
        </w:rPr>
        <w:t>年单位预算未安排购置车辆、单位价值50万元以上通用设备及单位价值100万元以上专用设备。</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2024年德清县远望幼儿园其他运转类项目和特定目标类项目均实行绩效目标管理，共计1个一级项目，涉及当年资金21.53万元。</w:t>
      </w:r>
    </w:p>
    <w:p>
      <w:pPr>
        <w:pStyle w:val="14"/>
        <w:spacing w:line="520" w:lineRule="exact"/>
        <w:ind w:firstLine="640" w:firstLineChars="200"/>
        <w:rPr>
          <w:rFonts w:ascii="黑体" w:hAnsi="黑体" w:eastAsia="黑体" w:cs="黑体"/>
          <w:b w:val="0"/>
          <w:bCs/>
          <w:kern w:val="2"/>
          <w:sz w:val="32"/>
          <w:szCs w:val="32"/>
        </w:rPr>
      </w:pPr>
      <w:r>
        <w:rPr>
          <w:rFonts w:hint="eastAsia" w:ascii="黑体" w:hAnsi="黑体" w:eastAsia="黑体" w:cs="黑体"/>
          <w:b w:val="0"/>
          <w:bCs/>
          <w:kern w:val="2"/>
          <w:sz w:val="32"/>
          <w:szCs w:val="32"/>
        </w:rPr>
        <w:t>三、名词解释</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1.财政拨款收入：本级财政部门当年拨付的财政预算资金，包括一般公共预算财政拨款</w:t>
      </w:r>
      <w:r>
        <w:rPr>
          <w:rFonts w:hint="eastAsia" w:ascii="仿宋_GB2312" w:eastAsia="仿宋_GB2312"/>
          <w:color w:val="000000"/>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政府性基金预算财政拨款和国有资本经营预算拨款。</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2.专户资金:教育收费作为本部门的事业收入，纳入财政专户管理的资金。</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3.事业收入：事业单位开展专业业务活动及辅助活动所取得的收入，不含专户资金收入。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4.事业单位经营收入：事业单位在专业业务活动及辅助活动之外开展非独立核算经营活动取得的收入。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5.其他收入：预算单位在“一般公共预算”“政府性基金预算”“专户资金”“事业收入”“事业单位经营收入”等之外取得的各项收入（含上级补助收入和附属单位缴款等收入）。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6.上年结转：指以前年度尚未完成、结转到本年仍按原规定用途继续使用的资金。</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7.基本支出：是预算单位为保障其正常运转，完成日常工作任务所发生的支出，包括人员支出和日常公用支出。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8.项目支出：是预算单位为完成其特定的行政工作任务或事业发展目标所发生的支出。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640" w:lineRule="exact"/>
        <w:ind w:firstLine="640" w:firstLineChars="20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000000"/>
          <w:sz w:val="32"/>
          <w:szCs w:val="32"/>
          <w:highlight w:val="none"/>
          <w:lang w:eastAsia="zh-CN"/>
        </w:rPr>
        <w:t>教育支出(类)普通教育(款)学前教育(项)：</w:t>
      </w:r>
      <w:r>
        <w:rPr>
          <w:rFonts w:hint="eastAsia" w:ascii="仿宋_GB2312" w:hAnsi="仿宋_GB2312" w:eastAsia="仿宋_GB2312" w:cs="仿宋_GB2312"/>
          <w:color w:val="000000"/>
          <w:sz w:val="32"/>
          <w:szCs w:val="32"/>
          <w:highlight w:val="none"/>
          <w:lang w:val="en-US" w:eastAsia="zh-CN"/>
        </w:rPr>
        <w:t>指</w:t>
      </w:r>
      <w:r>
        <w:rPr>
          <w:rFonts w:hint="eastAsia" w:ascii="仿宋_GB2312" w:hAnsi="仿宋_GB2312" w:eastAsia="仿宋_GB2312" w:cs="仿宋_GB2312"/>
          <w:color w:val="000000"/>
          <w:sz w:val="32"/>
          <w:szCs w:val="32"/>
          <w:highlight w:val="none"/>
          <w:lang w:eastAsia="zh-CN"/>
        </w:rPr>
        <w:t>用于各部门举办的学前教育支出。</w:t>
      </w:r>
    </w:p>
    <w:p>
      <w:pPr>
        <w:spacing w:line="64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11.</w:t>
      </w:r>
      <w:r>
        <w:rPr>
          <w:rFonts w:hint="eastAsia" w:ascii="仿宋_GB2312" w:hAnsi="仿宋_GB2312" w:eastAsia="仿宋_GB2312" w:cs="仿宋_GB2312"/>
          <w:color w:val="000000"/>
          <w:sz w:val="32"/>
          <w:szCs w:val="32"/>
          <w:highlight w:val="none"/>
          <w:lang w:eastAsia="zh-CN"/>
        </w:rPr>
        <w:t>社会保障和就业支出(类) 行政事业单位养老支出(款)事业单位离退休(项)：</w:t>
      </w:r>
      <w:r>
        <w:rPr>
          <w:rFonts w:hint="eastAsia" w:ascii="仿宋_GB2312" w:hAnsi="仿宋_GB2312" w:eastAsia="仿宋_GB2312" w:cs="仿宋_GB2312"/>
          <w:sz w:val="32"/>
          <w:szCs w:val="32"/>
        </w:rPr>
        <w:t>指事业单位开支的离退休经费。</w:t>
      </w:r>
    </w:p>
    <w:p>
      <w:pPr>
        <w:spacing w:line="640" w:lineRule="exact"/>
        <w:ind w:firstLine="640" w:firstLineChars="20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val="en-US" w:eastAsia="zh-CN"/>
        </w:rPr>
        <w:t>12.</w:t>
      </w:r>
      <w:r>
        <w:rPr>
          <w:rFonts w:hint="eastAsia" w:ascii="仿宋_GB2312" w:hAnsi="仿宋_GB2312" w:eastAsia="仿宋_GB2312" w:cs="仿宋_GB2312"/>
          <w:color w:val="000000"/>
          <w:sz w:val="32"/>
          <w:szCs w:val="32"/>
          <w:highlight w:val="none"/>
          <w:lang w:eastAsia="zh-CN"/>
        </w:rPr>
        <w:t>社会保障和就业支出(类) 行政事业单位养老支出(款)机关事业单位基本养老金保险缴费支出(项)：</w:t>
      </w:r>
      <w:r>
        <w:rPr>
          <w:rFonts w:hint="eastAsia" w:ascii="仿宋_GB2312" w:hAnsi="仿宋_GB2312" w:eastAsia="仿宋_GB2312" w:cs="仿宋_GB2312"/>
          <w:color w:val="000000"/>
          <w:sz w:val="32"/>
          <w:szCs w:val="32"/>
          <w:highlight w:val="none"/>
          <w:lang w:val="en-US" w:eastAsia="zh-CN"/>
        </w:rPr>
        <w:t>指</w:t>
      </w:r>
      <w:r>
        <w:rPr>
          <w:rFonts w:hint="eastAsia" w:ascii="仿宋_GB2312" w:hAnsi="仿宋_GB2312" w:eastAsia="仿宋_GB2312" w:cs="仿宋_GB2312"/>
          <w:color w:val="000000"/>
          <w:sz w:val="32"/>
          <w:szCs w:val="32"/>
          <w:highlight w:val="none"/>
          <w:lang w:eastAsia="zh-CN"/>
        </w:rPr>
        <w:t>用于机关事业单位实施养老保险制度由单位缴纳的基本养老保险费的支出。</w:t>
      </w:r>
    </w:p>
    <w:p>
      <w:pPr>
        <w:spacing w:line="640" w:lineRule="exact"/>
        <w:ind w:firstLine="640" w:firstLineChars="20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lang w:eastAsia="zh-CN"/>
        </w:rPr>
        <w:t>社会保障和就业支出(类) 行政事业单位养老支出(款)机关事业单位职业年金缴费支出(项)：</w:t>
      </w:r>
      <w:r>
        <w:rPr>
          <w:rFonts w:hint="eastAsia" w:ascii="仿宋_GB2312" w:hAnsi="仿宋_GB2312" w:eastAsia="仿宋_GB2312" w:cs="仿宋_GB2312"/>
          <w:color w:val="000000"/>
          <w:sz w:val="32"/>
          <w:szCs w:val="32"/>
          <w:highlight w:val="none"/>
          <w:lang w:val="en-US" w:eastAsia="zh-CN"/>
        </w:rPr>
        <w:t>指</w:t>
      </w:r>
      <w:r>
        <w:rPr>
          <w:rFonts w:hint="eastAsia" w:ascii="仿宋_GB2312" w:hAnsi="仿宋_GB2312" w:eastAsia="仿宋_GB2312" w:cs="仿宋_GB2312"/>
          <w:color w:val="000000"/>
          <w:sz w:val="32"/>
          <w:szCs w:val="32"/>
          <w:highlight w:val="none"/>
          <w:lang w:eastAsia="zh-CN"/>
        </w:rPr>
        <w:t>用于机关事业单位实施养老保险制度由单位实际缴纳的职业年金支出。</w:t>
      </w:r>
    </w:p>
    <w:p>
      <w:pPr>
        <w:spacing w:line="640" w:lineRule="exact"/>
        <w:ind w:firstLine="640" w:firstLineChars="20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val="en-US" w:eastAsia="zh-CN"/>
        </w:rPr>
        <w:t>14.</w:t>
      </w:r>
      <w:r>
        <w:rPr>
          <w:rFonts w:hint="eastAsia" w:ascii="仿宋_GB2312" w:hAnsi="仿宋_GB2312" w:eastAsia="仿宋_GB2312" w:cs="仿宋_GB2312"/>
          <w:color w:val="000000"/>
          <w:sz w:val="32"/>
          <w:szCs w:val="32"/>
          <w:highlight w:val="none"/>
          <w:lang w:eastAsia="zh-CN"/>
        </w:rPr>
        <w:t>卫生健康支出(类)行政事业单位医疗（款）事业单位医疗(项)：</w:t>
      </w:r>
      <w:r>
        <w:rPr>
          <w:rFonts w:hint="eastAsia" w:ascii="仿宋_GB2312" w:hAnsi="仿宋_GB2312" w:eastAsia="仿宋_GB2312" w:cs="仿宋_GB2312"/>
          <w:color w:val="000000"/>
          <w:sz w:val="32"/>
          <w:szCs w:val="32"/>
          <w:highlight w:val="none"/>
          <w:lang w:val="en-US" w:eastAsia="zh-CN"/>
        </w:rPr>
        <w:t>指</w:t>
      </w:r>
      <w:r>
        <w:rPr>
          <w:rFonts w:hint="eastAsia" w:ascii="仿宋_GB2312" w:hAnsi="仿宋_GB2312" w:eastAsia="仿宋_GB2312" w:cs="仿宋_GB2312"/>
          <w:color w:val="000000"/>
          <w:sz w:val="32"/>
          <w:szCs w:val="32"/>
          <w:highlight w:val="none"/>
          <w:lang w:eastAsia="zh-CN"/>
        </w:rPr>
        <w:t>用于反映财政部门集中安排的事业单位基本医疗保险缴费经费，未参加医疗保险的事业单位的公费医疗经费，按国家规定享受离休人员待遇的医疗经费。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四、2024年德清县远望幼儿园单位预算表</w:t>
      </w:r>
    </w:p>
    <w:p>
      <w:pPr>
        <w:pStyle w:val="2"/>
        <w:rPr>
          <w:rFonts w:hint="eastAsia"/>
          <w:lang w:eastAsia="zh-CN"/>
        </w:rPr>
        <w:sectPr>
          <w:footerReference r:id="rId3" w:type="default"/>
          <w:pgSz w:w="11906" w:h="16838"/>
          <w:pgMar w:top="2098" w:right="1474" w:bottom="1985" w:left="1588" w:header="1474" w:footer="1588" w:gutter="0"/>
          <w:cols w:space="720" w:num="1"/>
          <w:titlePg/>
          <w:docGrid w:linePitch="602" w:charSpace="0"/>
        </w:sectPr>
      </w:pPr>
    </w:p>
    <w:tbl>
      <w:tblPr>
        <w:tblStyle w:val="6"/>
        <w:tblW w:w="316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0"/>
        <w:gridCol w:w="990"/>
        <w:gridCol w:w="916"/>
        <w:gridCol w:w="1140"/>
        <w:gridCol w:w="555"/>
        <w:gridCol w:w="600"/>
        <w:gridCol w:w="716"/>
        <w:gridCol w:w="705"/>
        <w:gridCol w:w="555"/>
        <w:gridCol w:w="570"/>
        <w:gridCol w:w="645"/>
        <w:gridCol w:w="616"/>
        <w:gridCol w:w="555"/>
        <w:gridCol w:w="555"/>
        <w:gridCol w:w="645"/>
        <w:gridCol w:w="585"/>
        <w:gridCol w:w="675"/>
        <w:gridCol w:w="1263"/>
        <w:gridCol w:w="10029"/>
        <w:gridCol w:w="222"/>
        <w:gridCol w:w="222"/>
        <w:gridCol w:w="222"/>
        <w:gridCol w:w="222"/>
        <w:gridCol w:w="222"/>
        <w:gridCol w:w="222"/>
        <w:gridCol w:w="222"/>
        <w:gridCol w:w="222"/>
        <w:gridCol w:w="222"/>
        <w:gridCol w:w="628"/>
        <w:gridCol w:w="628"/>
        <w:gridCol w:w="629"/>
        <w:gridCol w:w="629"/>
        <w:gridCol w:w="629"/>
        <w:gridCol w:w="629"/>
        <w:gridCol w:w="629"/>
        <w:gridCol w:w="4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4865" w:type="dxa"/>
            <w:gridSpan w:val="19"/>
            <w:tcBorders>
              <w:top w:val="nil"/>
              <w:left w:val="nil"/>
              <w:bottom w:val="nil"/>
              <w:right w:val="nil"/>
            </w:tcBorders>
            <w:shd w:val="clear" w:color="auto" w:fill="auto"/>
            <w:vAlign w:val="center"/>
          </w:tcPr>
          <w:tbl>
            <w:tblPr>
              <w:tblStyle w:val="6"/>
              <w:tblW w:w="1444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
              <w:gridCol w:w="3130"/>
              <w:gridCol w:w="5"/>
              <w:gridCol w:w="3025"/>
              <w:gridCol w:w="5"/>
              <w:gridCol w:w="6235"/>
              <w:gridCol w:w="5"/>
              <w:gridCol w:w="2030"/>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390" w:hRule="atLeast"/>
              </w:trPr>
              <w:tc>
                <w:tcPr>
                  <w:tcW w:w="3135" w:type="dxa"/>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03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4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4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57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300"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4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3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90"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15"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15" w:hRule="atLeast"/>
              </w:trPr>
              <w:tc>
                <w:tcPr>
                  <w:tcW w:w="313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15" w:hRule="atLeast"/>
              </w:trPr>
              <w:tc>
                <w:tcPr>
                  <w:tcW w:w="3135" w:type="dxa"/>
                  <w:gridSpan w:val="2"/>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15" w:hRule="atLeast"/>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62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r>
          </w:tbl>
          <w:p>
            <w:pPr>
              <w:jc w:val="cente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28"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62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24865" w:type="dxa"/>
            <w:gridSpan w:val="19"/>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2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28"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628"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29"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1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540" w:hRule="atLeast"/>
        </w:trPr>
        <w:tc>
          <w:tcPr>
            <w:tcW w:w="14836"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390" w:hRule="atLeast"/>
        </w:trPr>
        <w:tc>
          <w:tcPr>
            <w:tcW w:w="25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9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0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64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5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5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4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5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7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2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600" w:hRule="atLeast"/>
        </w:trPr>
        <w:tc>
          <w:tcPr>
            <w:tcW w:w="25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701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42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1620" w:hRule="atLeast"/>
        </w:trPr>
        <w:tc>
          <w:tcPr>
            <w:tcW w:w="25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390" w:hRule="atLeast"/>
        </w:trPr>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0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55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8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390" w:hRule="atLeast"/>
        </w:trPr>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8"/>
          <w:wAfter w:w="16844" w:type="dxa"/>
          <w:trHeight w:val="390" w:hRule="atLeast"/>
        </w:trPr>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gridAfter w:val="18"/>
          <w:wAfter w:w="16844" w:type="dxa"/>
          <w:trHeight w:val="390" w:hRule="atLeast"/>
        </w:trPr>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德清县远望幼儿园</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p>
      <w:pPr>
        <w:pStyle w:val="2"/>
      </w:pPr>
    </w:p>
    <w:p>
      <w:pPr>
        <w:pStyle w:val="2"/>
      </w:pPr>
    </w:p>
    <w:tbl>
      <w:tblPr>
        <w:tblStyle w:val="6"/>
        <w:tblW w:w="143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45"/>
        <w:gridCol w:w="3816"/>
        <w:gridCol w:w="1263"/>
        <w:gridCol w:w="1263"/>
        <w:gridCol w:w="1157"/>
        <w:gridCol w:w="1275"/>
        <w:gridCol w:w="960"/>
        <w:gridCol w:w="960"/>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5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7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37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3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2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1111.82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1070.80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1070.80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1179.44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1070.80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tbl>
      <w:tblPr>
        <w:tblStyle w:val="6"/>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55"/>
        <w:gridCol w:w="390"/>
        <w:gridCol w:w="795"/>
        <w:gridCol w:w="2535"/>
        <w:gridCol w:w="1035"/>
        <w:gridCol w:w="315"/>
        <w:gridCol w:w="210"/>
        <w:gridCol w:w="1560"/>
        <w:gridCol w:w="585"/>
        <w:gridCol w:w="975"/>
        <w:gridCol w:w="990"/>
        <w:gridCol w:w="390"/>
        <w:gridCol w:w="180"/>
        <w:gridCol w:w="1470"/>
        <w:gridCol w:w="90"/>
        <w:gridCol w:w="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260" w:hRule="atLeast"/>
        </w:trPr>
        <w:tc>
          <w:tcPr>
            <w:tcW w:w="3540" w:type="dxa"/>
            <w:gridSpan w:val="3"/>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57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635" w:type="dxa"/>
            <w:gridSpan w:val="6"/>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40" w:type="dxa"/>
            <w:gridSpan w:val="3"/>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60" w:hRule="atLeast"/>
        </w:trPr>
        <w:tc>
          <w:tcPr>
            <w:tcW w:w="13785"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180" w:hRule="atLeast"/>
        </w:trPr>
        <w:tc>
          <w:tcPr>
            <w:tcW w:w="3540"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357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4635" w:type="dxa"/>
            <w:gridSpan w:val="6"/>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00" w:hRule="atLeast"/>
        </w:trPr>
        <w:tc>
          <w:tcPr>
            <w:tcW w:w="711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6675"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0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0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9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9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9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4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0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9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26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28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26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00"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463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05" w:type="dxa"/>
          <w:trHeight w:val="315"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35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20" w:type="dxa"/>
            <w:gridSpan w:val="3"/>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p>
            <w:pPr>
              <w:pStyle w:val="2"/>
              <w:rPr>
                <w:rFonts w:hint="eastAsia"/>
              </w:rPr>
            </w:pPr>
          </w:p>
        </w:tc>
        <w:tc>
          <w:tcPr>
            <w:tcW w:w="156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480" w:hRule="atLeast"/>
        </w:trPr>
        <w:tc>
          <w:tcPr>
            <w:tcW w:w="13875" w:type="dxa"/>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3720" w:type="dxa"/>
            <w:gridSpan w:val="3"/>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6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440" w:hRule="atLeast"/>
        </w:trPr>
        <w:tc>
          <w:tcPr>
            <w:tcW w:w="2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7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440" w:hRule="atLeast"/>
        </w:trPr>
        <w:tc>
          <w:tcPr>
            <w:tcW w:w="2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00" w:hRule="atLeast"/>
        </w:trPr>
        <w:tc>
          <w:tcPr>
            <w:tcW w:w="23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2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1205.92</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1187.94</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1100.82</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1146.92</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1059.80</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1146.92</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1059.80</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1164.90</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1146.92</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1059.80</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15" w:type="dxa"/>
          <w:trHeight w:val="390" w:hRule="atLeast"/>
        </w:trPr>
        <w:tc>
          <w:tcPr>
            <w:tcW w:w="23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7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p>
            <w:pPr>
              <w:pStyle w:val="2"/>
              <w:rPr>
                <w:rFonts w:hint="eastAsia" w:ascii="宋体" w:hAnsi="宋体" w:eastAsia="宋体" w:cs="宋体"/>
                <w:i w:val="0"/>
                <w:iCs w:val="0"/>
                <w:color w:val="000000"/>
                <w:sz w:val="20"/>
                <w:szCs w:val="20"/>
                <w:u w:val="none"/>
              </w:rPr>
            </w:pPr>
          </w:p>
          <w:p>
            <w:pPr>
              <w:pStyle w:val="2"/>
              <w:rPr>
                <w:rFonts w:hint="eastAsia" w:ascii="宋体" w:hAnsi="宋体" w:eastAsia="宋体" w:cs="宋体"/>
                <w:i w:val="0"/>
                <w:iCs w:val="0"/>
                <w:color w:val="000000"/>
                <w:sz w:val="20"/>
                <w:szCs w:val="20"/>
                <w:u w:val="none"/>
              </w:rPr>
            </w:pPr>
          </w:p>
        </w:tc>
        <w:tc>
          <w:tcPr>
            <w:tcW w:w="4680" w:type="dxa"/>
            <w:gridSpan w:val="4"/>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gridSpan w:val="3"/>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490" w:type="dxa"/>
            <w:gridSpan w:val="1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4680" w:type="dxa"/>
            <w:gridSpan w:val="4"/>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355"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355" w:type="dxa"/>
            <w:gridSpan w:val="3"/>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74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1187.94</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1100.82</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1095.48</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1095.48</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42.18</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42.18</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64.10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64.10</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48.18</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14.83</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8.84</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8.84</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24.46</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24.46</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868.60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868.60</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7.63</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5.96</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74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3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德清县远望幼儿园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4260"/>
        <w:gridCol w:w="2698"/>
        <w:gridCol w:w="2698"/>
        <w:gridCol w:w="27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4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44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spacing w:line="580" w:lineRule="exact"/>
        <w:rPr>
          <w:rFonts w:ascii="黑体" w:hAnsi="黑体" w:eastAsia="黑体" w:cs="黑体"/>
          <w:spacing w:val="15"/>
          <w:sz w:val="32"/>
          <w:szCs w:val="32"/>
        </w:rPr>
      </w:pPr>
      <w:r>
        <w:rPr>
          <w:rFonts w:hint="eastAsia" w:ascii="仿宋_GB2312" w:hAnsi="仿宋_GB2312" w:eastAsia="仿宋_GB2312" w:cs="仿宋_GB2312"/>
          <w:bCs/>
          <w:sz w:val="24"/>
        </w:rPr>
        <w:t>德清县远望幼儿园20</w:t>
      </w:r>
      <w:r>
        <w:rPr>
          <w:rFonts w:hint="eastAsia" w:ascii="仿宋_GB2312" w:hAnsi="仿宋_GB2312" w:eastAsia="仿宋_GB2312" w:cs="仿宋_GB2312"/>
          <w:bCs/>
          <w:sz w:val="24"/>
          <w:lang w:val="en-US" w:eastAsia="zh-CN"/>
        </w:rPr>
        <w:t>24</w:t>
      </w:r>
      <w:r>
        <w:rPr>
          <w:rFonts w:hint="eastAsia" w:ascii="仿宋_GB2312" w:hAnsi="仿宋_GB2312" w:eastAsia="仿宋_GB2312" w:cs="仿宋_GB2312"/>
          <w:bCs/>
          <w:sz w:val="24"/>
        </w:rPr>
        <w:t>年没有政府性基金预算拨款安排的支出，故本表无数据。</w:t>
      </w:r>
    </w:p>
    <w:p>
      <w:pPr>
        <w:pStyle w:val="2"/>
      </w:pPr>
    </w:p>
    <w:p>
      <w:pPr>
        <w:pStyle w:val="2"/>
        <w:rPr>
          <w:rFonts w:hint="eastAsia"/>
          <w:lang w:val="en-US" w:eastAsia="zh-CN"/>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5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0"/>
        <w:gridCol w:w="6795"/>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spacing w:line="58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德清县远望幼儿园202</w:t>
      </w:r>
      <w:r>
        <w:rPr>
          <w:rFonts w:hint="eastAsia" w:ascii="仿宋_GB2312" w:hAnsi="仿宋_GB2312" w:eastAsia="仿宋_GB2312" w:cs="仿宋_GB2312"/>
          <w:bCs/>
          <w:sz w:val="24"/>
          <w:lang w:val="en-US" w:eastAsia="zh-CN"/>
        </w:rPr>
        <w:t>4</w:t>
      </w:r>
      <w:r>
        <w:rPr>
          <w:rFonts w:hint="eastAsia" w:ascii="仿宋_GB2312" w:hAnsi="仿宋_GB2312" w:eastAsia="仿宋_GB2312" w:cs="仿宋_GB2312"/>
          <w:bCs/>
          <w:sz w:val="24"/>
        </w:rPr>
        <w:t>年没有</w:t>
      </w:r>
      <w:r>
        <w:rPr>
          <w:rFonts w:hint="eastAsia" w:ascii="仿宋" w:hAnsi="仿宋" w:eastAsia="仿宋" w:cs="仿宋"/>
          <w:b w:val="0"/>
          <w:bCs w:val="0"/>
          <w:i w:val="0"/>
          <w:iCs w:val="0"/>
          <w:color w:val="000000"/>
          <w:kern w:val="0"/>
          <w:sz w:val="24"/>
          <w:szCs w:val="24"/>
          <w:u w:val="none"/>
          <w:lang w:val="en-US" w:eastAsia="zh-CN" w:bidi="ar"/>
        </w:rPr>
        <w:t>国有资本经营预算</w:t>
      </w:r>
      <w:r>
        <w:rPr>
          <w:rFonts w:hint="eastAsia" w:ascii="仿宋_GB2312" w:hAnsi="仿宋_GB2312" w:eastAsia="仿宋_GB2312" w:cs="仿宋_GB2312"/>
          <w:bCs/>
          <w:sz w:val="24"/>
        </w:rPr>
        <w:t>支出，故本表无数据。</w:t>
      </w: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p>
      <w:pPr>
        <w:pStyle w:val="2"/>
        <w:rPr>
          <w:rFonts w:hint="eastAsia" w:ascii="仿宋_GB2312" w:hAnsi="仿宋_GB2312" w:eastAsia="仿宋_GB2312" w:cs="仿宋_GB2312"/>
          <w:bCs/>
          <w:sz w:val="24"/>
        </w:rPr>
      </w:pPr>
    </w:p>
    <w:tbl>
      <w:tblPr>
        <w:tblStyle w:val="6"/>
        <w:tblW w:w="147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25"/>
        <w:gridCol w:w="2475"/>
        <w:gridCol w:w="1665"/>
        <w:gridCol w:w="1755"/>
        <w:gridCol w:w="1335"/>
        <w:gridCol w:w="1335"/>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52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47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66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75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3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350067-德清县远望幼儿园</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德清县远望幼儿园</w:t>
            </w:r>
          </w:p>
        </w:tc>
        <w:tc>
          <w:tcPr>
            <w:tcW w:w="24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r>
    </w:tbl>
    <w:p>
      <w:pPr>
        <w:pStyle w:val="2"/>
        <w:rPr>
          <w:rFonts w:hint="eastAsia" w:ascii="仿宋_GB2312" w:hAnsi="仿宋_GB2312" w:eastAsia="仿宋_GB2312" w:cs="仿宋_GB2312"/>
          <w:bCs/>
          <w:sz w:val="24"/>
        </w:rPr>
      </w:pPr>
    </w:p>
    <w:p>
      <w:pPr>
        <w:pStyle w:val="2"/>
      </w:pPr>
    </w:p>
    <w:sectPr>
      <w:headerReference r:id="rId6" w:type="first"/>
      <w:footerReference r:id="rId9" w:type="first"/>
      <w:headerReference r:id="rId4" w:type="default"/>
      <w:footerReference r:id="rId7" w:type="default"/>
      <w:headerReference r:id="rId5" w:type="even"/>
      <w:footerReference r:id="rId8" w:type="even"/>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lang w:eastAsia="zh-CN"/>
      </w:rPr>
    </w:pPr>
    <w:r>
      <w:fldChar w:fldCharType="begin"/>
    </w:r>
    <w:r>
      <w:instrText xml:space="preserve"> PAGE   \* MERGEFORMAT </w:instrText>
    </w:r>
    <w:r>
      <w:fldChar w:fldCharType="separate"/>
    </w:r>
    <w:r>
      <w:rPr>
        <w:lang w:val="zh-CN"/>
      </w:rPr>
      <w:t>19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861B0"/>
    <w:multiLevelType w:val="singleLevel"/>
    <w:tmpl w:val="143861B0"/>
    <w:lvl w:ilvl="0" w:tentative="0">
      <w:start w:val="3"/>
      <w:numFmt w:val="decimal"/>
      <w:lvlText w:val="%1."/>
      <w:lvlJc w:val="left"/>
      <w:pPr>
        <w:tabs>
          <w:tab w:val="left" w:pos="312"/>
        </w:tabs>
        <w:ind w:left="963" w:firstLine="0"/>
      </w:pPr>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QyMzAzOWY1YWQyNWQ1OWU3NmM1ZGUxOTIwOWIwYj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302083"/>
    <w:rsid w:val="01405C62"/>
    <w:rsid w:val="01F263DB"/>
    <w:rsid w:val="01F648EB"/>
    <w:rsid w:val="024C6702"/>
    <w:rsid w:val="026505B4"/>
    <w:rsid w:val="028630A1"/>
    <w:rsid w:val="02F30B38"/>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8C1F29"/>
    <w:rsid w:val="08DE4DFD"/>
    <w:rsid w:val="0A1D1E06"/>
    <w:rsid w:val="0A4C7CCD"/>
    <w:rsid w:val="0A4D690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0FCB0F54"/>
    <w:rsid w:val="106B2554"/>
    <w:rsid w:val="1085571C"/>
    <w:rsid w:val="12970A77"/>
    <w:rsid w:val="12D300E7"/>
    <w:rsid w:val="136B79EF"/>
    <w:rsid w:val="13811EEE"/>
    <w:rsid w:val="13FF3975"/>
    <w:rsid w:val="14861683"/>
    <w:rsid w:val="14887B46"/>
    <w:rsid w:val="14EF3497"/>
    <w:rsid w:val="14F7795B"/>
    <w:rsid w:val="153C45B3"/>
    <w:rsid w:val="157947AC"/>
    <w:rsid w:val="15DB09EF"/>
    <w:rsid w:val="15FF1F8C"/>
    <w:rsid w:val="1650535C"/>
    <w:rsid w:val="16B75B8F"/>
    <w:rsid w:val="16FE1938"/>
    <w:rsid w:val="170C3948"/>
    <w:rsid w:val="17EC7FC1"/>
    <w:rsid w:val="17F81734"/>
    <w:rsid w:val="180061CB"/>
    <w:rsid w:val="18154C5A"/>
    <w:rsid w:val="18EF3804"/>
    <w:rsid w:val="195C3A7E"/>
    <w:rsid w:val="1A2375F0"/>
    <w:rsid w:val="1A367960"/>
    <w:rsid w:val="1AAE5D2F"/>
    <w:rsid w:val="1AC0275A"/>
    <w:rsid w:val="1AE500E3"/>
    <w:rsid w:val="1B1D1342"/>
    <w:rsid w:val="1B2A6629"/>
    <w:rsid w:val="1B2E33DA"/>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1FF32067"/>
    <w:rsid w:val="205247F6"/>
    <w:rsid w:val="206501BF"/>
    <w:rsid w:val="208337C9"/>
    <w:rsid w:val="20C21B5F"/>
    <w:rsid w:val="20D8491F"/>
    <w:rsid w:val="2163103A"/>
    <w:rsid w:val="217D79B3"/>
    <w:rsid w:val="219B3B12"/>
    <w:rsid w:val="21F8300E"/>
    <w:rsid w:val="22D4227E"/>
    <w:rsid w:val="22FA27EC"/>
    <w:rsid w:val="230477A4"/>
    <w:rsid w:val="234550B7"/>
    <w:rsid w:val="2384696C"/>
    <w:rsid w:val="238B30B1"/>
    <w:rsid w:val="23B968AE"/>
    <w:rsid w:val="240772FF"/>
    <w:rsid w:val="24183DF0"/>
    <w:rsid w:val="247778DD"/>
    <w:rsid w:val="247A77A8"/>
    <w:rsid w:val="24D6630F"/>
    <w:rsid w:val="24F84929"/>
    <w:rsid w:val="252305D0"/>
    <w:rsid w:val="252A0A7B"/>
    <w:rsid w:val="25317C88"/>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ACF155D"/>
    <w:rsid w:val="2B755902"/>
    <w:rsid w:val="2BA81833"/>
    <w:rsid w:val="2BAC3F70"/>
    <w:rsid w:val="2BB02AB9"/>
    <w:rsid w:val="2C56166B"/>
    <w:rsid w:val="2C772798"/>
    <w:rsid w:val="2CCE47B1"/>
    <w:rsid w:val="2CE33635"/>
    <w:rsid w:val="2D391980"/>
    <w:rsid w:val="2D7C6F9A"/>
    <w:rsid w:val="2ED263DE"/>
    <w:rsid w:val="2F312BD6"/>
    <w:rsid w:val="2F4F315F"/>
    <w:rsid w:val="2F5260FE"/>
    <w:rsid w:val="2F78760A"/>
    <w:rsid w:val="2FD04FFD"/>
    <w:rsid w:val="30780EC9"/>
    <w:rsid w:val="31651329"/>
    <w:rsid w:val="31C46552"/>
    <w:rsid w:val="31EC7268"/>
    <w:rsid w:val="32691E0F"/>
    <w:rsid w:val="33722AF4"/>
    <w:rsid w:val="339F6CDD"/>
    <w:rsid w:val="344952F9"/>
    <w:rsid w:val="347D7E78"/>
    <w:rsid w:val="348F6D6A"/>
    <w:rsid w:val="34F20284"/>
    <w:rsid w:val="356431A6"/>
    <w:rsid w:val="3619346A"/>
    <w:rsid w:val="365657A0"/>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321EED"/>
    <w:rsid w:val="3C6C37E2"/>
    <w:rsid w:val="3C7D1C3F"/>
    <w:rsid w:val="3CC31ACB"/>
    <w:rsid w:val="3CEA3E5A"/>
    <w:rsid w:val="3CFD6A0C"/>
    <w:rsid w:val="3D7E2A95"/>
    <w:rsid w:val="3DDA1E4D"/>
    <w:rsid w:val="3EED46FA"/>
    <w:rsid w:val="400943B7"/>
    <w:rsid w:val="40143523"/>
    <w:rsid w:val="405B1245"/>
    <w:rsid w:val="406B2735"/>
    <w:rsid w:val="409E5184"/>
    <w:rsid w:val="4146787B"/>
    <w:rsid w:val="4171469C"/>
    <w:rsid w:val="428958BD"/>
    <w:rsid w:val="42C454C8"/>
    <w:rsid w:val="42C57F36"/>
    <w:rsid w:val="43482ADF"/>
    <w:rsid w:val="43497E11"/>
    <w:rsid w:val="438C52D1"/>
    <w:rsid w:val="43AF1DC7"/>
    <w:rsid w:val="442360D8"/>
    <w:rsid w:val="450B3104"/>
    <w:rsid w:val="45374F70"/>
    <w:rsid w:val="455F549B"/>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413C1A"/>
    <w:rsid w:val="4A9518DB"/>
    <w:rsid w:val="4AB935E6"/>
    <w:rsid w:val="4AEC5975"/>
    <w:rsid w:val="4B1F601E"/>
    <w:rsid w:val="4B65339C"/>
    <w:rsid w:val="4BE2220E"/>
    <w:rsid w:val="4CA9273B"/>
    <w:rsid w:val="4CBF2857"/>
    <w:rsid w:val="4CDE143A"/>
    <w:rsid w:val="4CF82AE4"/>
    <w:rsid w:val="4D097364"/>
    <w:rsid w:val="4D2515D1"/>
    <w:rsid w:val="4D667BB3"/>
    <w:rsid w:val="4D7808AB"/>
    <w:rsid w:val="4DC87963"/>
    <w:rsid w:val="4E0626FD"/>
    <w:rsid w:val="4E404D03"/>
    <w:rsid w:val="4EA45B39"/>
    <w:rsid w:val="4EED2017"/>
    <w:rsid w:val="4F2E2211"/>
    <w:rsid w:val="4F4E78CD"/>
    <w:rsid w:val="4FA62E1E"/>
    <w:rsid w:val="4FAC0AB2"/>
    <w:rsid w:val="4FC809F8"/>
    <w:rsid w:val="4FE85961"/>
    <w:rsid w:val="50072C4D"/>
    <w:rsid w:val="50341189"/>
    <w:rsid w:val="50837233"/>
    <w:rsid w:val="50A52437"/>
    <w:rsid w:val="514C5668"/>
    <w:rsid w:val="51513799"/>
    <w:rsid w:val="518C29B6"/>
    <w:rsid w:val="51C07CAB"/>
    <w:rsid w:val="52170DB7"/>
    <w:rsid w:val="52AA23A8"/>
    <w:rsid w:val="52B7187A"/>
    <w:rsid w:val="52BF3A93"/>
    <w:rsid w:val="53A5465B"/>
    <w:rsid w:val="53B6028C"/>
    <w:rsid w:val="54392B16"/>
    <w:rsid w:val="54442E65"/>
    <w:rsid w:val="545B2AA1"/>
    <w:rsid w:val="549B5701"/>
    <w:rsid w:val="54A9277D"/>
    <w:rsid w:val="550749AA"/>
    <w:rsid w:val="55182E77"/>
    <w:rsid w:val="553F16B7"/>
    <w:rsid w:val="55600A99"/>
    <w:rsid w:val="558856A9"/>
    <w:rsid w:val="55CA2A9E"/>
    <w:rsid w:val="55CA3B80"/>
    <w:rsid w:val="55E50F1B"/>
    <w:rsid w:val="56577482"/>
    <w:rsid w:val="565F6886"/>
    <w:rsid w:val="56BC237C"/>
    <w:rsid w:val="56BC4750"/>
    <w:rsid w:val="56CD4B4D"/>
    <w:rsid w:val="575C7815"/>
    <w:rsid w:val="5798381B"/>
    <w:rsid w:val="57D4447A"/>
    <w:rsid w:val="57F759F2"/>
    <w:rsid w:val="585447AE"/>
    <w:rsid w:val="5898534D"/>
    <w:rsid w:val="58AF736D"/>
    <w:rsid w:val="58EC4DE1"/>
    <w:rsid w:val="596B72CE"/>
    <w:rsid w:val="59B3494A"/>
    <w:rsid w:val="59EB1B1F"/>
    <w:rsid w:val="59EC6E24"/>
    <w:rsid w:val="5A0B2520"/>
    <w:rsid w:val="5A186813"/>
    <w:rsid w:val="5A3B2376"/>
    <w:rsid w:val="5A40591F"/>
    <w:rsid w:val="5A6F0692"/>
    <w:rsid w:val="5ABF2E42"/>
    <w:rsid w:val="5B586398"/>
    <w:rsid w:val="5B916903"/>
    <w:rsid w:val="5BDF3B28"/>
    <w:rsid w:val="5BEF472E"/>
    <w:rsid w:val="5C932202"/>
    <w:rsid w:val="5CC87E6F"/>
    <w:rsid w:val="5CD918EA"/>
    <w:rsid w:val="5D247D3D"/>
    <w:rsid w:val="5DA950DC"/>
    <w:rsid w:val="5DAE1AC9"/>
    <w:rsid w:val="5E0D666F"/>
    <w:rsid w:val="5E153AF5"/>
    <w:rsid w:val="5E203E1A"/>
    <w:rsid w:val="5EF4441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3FD63BE"/>
    <w:rsid w:val="64C20A08"/>
    <w:rsid w:val="64F06443"/>
    <w:rsid w:val="65737FB9"/>
    <w:rsid w:val="65DF5ECF"/>
    <w:rsid w:val="661D7FD4"/>
    <w:rsid w:val="665A45AE"/>
    <w:rsid w:val="66A662C4"/>
    <w:rsid w:val="66DE2D4E"/>
    <w:rsid w:val="671604B0"/>
    <w:rsid w:val="672117BA"/>
    <w:rsid w:val="67222B8A"/>
    <w:rsid w:val="67237106"/>
    <w:rsid w:val="674943E2"/>
    <w:rsid w:val="679D182D"/>
    <w:rsid w:val="67BB6396"/>
    <w:rsid w:val="68794E30"/>
    <w:rsid w:val="687B5327"/>
    <w:rsid w:val="688621C1"/>
    <w:rsid w:val="68C15BDE"/>
    <w:rsid w:val="6AD23ACD"/>
    <w:rsid w:val="6AE706B2"/>
    <w:rsid w:val="6B103823"/>
    <w:rsid w:val="6B315A81"/>
    <w:rsid w:val="6C1D5E3D"/>
    <w:rsid w:val="6C3F4637"/>
    <w:rsid w:val="6C9D07C7"/>
    <w:rsid w:val="6CB426A8"/>
    <w:rsid w:val="6D3835CD"/>
    <w:rsid w:val="6D9B59D3"/>
    <w:rsid w:val="6DDF18A8"/>
    <w:rsid w:val="6E7742D5"/>
    <w:rsid w:val="6E947A29"/>
    <w:rsid w:val="6EFB1E55"/>
    <w:rsid w:val="6F854C78"/>
    <w:rsid w:val="701E0D35"/>
    <w:rsid w:val="708811A7"/>
    <w:rsid w:val="708C2BAE"/>
    <w:rsid w:val="717A54B6"/>
    <w:rsid w:val="71E47115"/>
    <w:rsid w:val="72124418"/>
    <w:rsid w:val="72940CE5"/>
    <w:rsid w:val="72BF52A3"/>
    <w:rsid w:val="72F72569"/>
    <w:rsid w:val="73520170"/>
    <w:rsid w:val="73B32D5B"/>
    <w:rsid w:val="74906E74"/>
    <w:rsid w:val="74B63A46"/>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822641"/>
    <w:rsid w:val="7BBF78B4"/>
    <w:rsid w:val="7BC10593"/>
    <w:rsid w:val="7BFE30BC"/>
    <w:rsid w:val="7C0A7BF1"/>
    <w:rsid w:val="7C4F3DF1"/>
    <w:rsid w:val="7CD24C07"/>
    <w:rsid w:val="7CDD0037"/>
    <w:rsid w:val="7CF93D5D"/>
    <w:rsid w:val="7D2C5AF6"/>
    <w:rsid w:val="7D4F6FFE"/>
    <w:rsid w:val="7D8F4D87"/>
    <w:rsid w:val="7DBB66FE"/>
    <w:rsid w:val="7DBE27C1"/>
    <w:rsid w:val="7DCA5F0F"/>
    <w:rsid w:val="7E1F736F"/>
    <w:rsid w:val="7E300305"/>
    <w:rsid w:val="7E7D74C3"/>
    <w:rsid w:val="7F346A78"/>
    <w:rsid w:val="7FA57776"/>
    <w:rsid w:val="7FC2506D"/>
    <w:rsid w:val="7FE24F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1</TotalTime>
  <ScaleCrop>false</ScaleCrop>
  <LinksUpToDate>false</LinksUpToDate>
  <CharactersWithSpaces>27065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淡淡思绪</cp:lastModifiedBy>
  <dcterms:modified xsi:type="dcterms:W3CDTF">2024-03-12T01:35:13Z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