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浙江开放大学德清学院</w:t>
      </w:r>
    </w:p>
    <w:p>
      <w:pPr>
        <w:spacing w:line="560" w:lineRule="exact"/>
        <w:jc w:val="center"/>
        <w:rPr>
          <w:rFonts w:ascii="方正小标宋简体" w:hAnsi="方正小标宋简体" w:eastAsia="方正小标宋简体" w:cs="方正小标宋简体"/>
          <w:bCs/>
          <w:spacing w:val="15"/>
          <w:sz w:val="44"/>
          <w:szCs w:val="44"/>
        </w:rPr>
      </w:pP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二、2024年浙江开放大学德清学院单位预算安排情况说明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（一）关于浙江开放大学德清学院2024年收支预算情况的总体说明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（二）关于浙江开放大学德清学院2024年收入预算情况说明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（三）关于浙江开放大学德清学院2024年支出预算情况说明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（四）关于浙江开放大学德清学院2024年财政拨款收支预算情况的总体说明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（五）关于浙江开放大学德清学院2024年一般公共预算拨款情况说明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（六）关于浙江开放大学德清学院2024年一般公共预算基本支出情况说明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（七）关于浙江开放大学德清学院2024年政府性基金预算支出情况说明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（八）关于浙江开放大学德清学院2024年国有资本经营预算支出情况说明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（九）关于浙江开放大学德清学院2024年一般公共预算“三公”经费预算情况说明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四、2024年浙江开放大学德清学院单位预算表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360" w:lineRule="auto"/>
        <w:ind w:firstLine="640" w:firstLineChars="200"/>
        <w:rPr>
          <w:rFonts w:hint="eastAsia" w:ascii="仿宋_GB2312" w:eastAsia="仿宋_GB2312"/>
          <w:bCs/>
          <w:color w:val="000000"/>
          <w:sz w:val="32"/>
          <w:szCs w:val="32"/>
        </w:rPr>
      </w:pPr>
      <w:r>
        <w:rPr>
          <w:rFonts w:hint="eastAsia" w:ascii="仿宋_GB2312" w:eastAsia="仿宋_GB2312"/>
          <w:bCs/>
          <w:sz w:val="32"/>
          <w:szCs w:val="32"/>
          <w:highlight w:val="none"/>
        </w:rPr>
        <w:t xml:space="preserve">1. </w:t>
      </w:r>
      <w:r>
        <w:rPr>
          <w:rFonts w:hint="eastAsia" w:ascii="仿宋_GB2312" w:eastAsia="仿宋_GB2312"/>
          <w:bCs/>
          <w:color w:val="000000"/>
          <w:sz w:val="32"/>
          <w:szCs w:val="32"/>
        </w:rPr>
        <w:t>学校奉行“立足德清、开放办学、服务全民”的办学理念，秉承“开放、融合、求实、创新”的校训，坚持面向基层，适应德清经济社会发展需要，满足广大社会成员多样化的学习需求，促进终身教育体系构建和学习型社会建设。</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textAlignment w:val="auto"/>
        <w:outlineLvl w:val="9"/>
        <w:rPr>
          <w:rFonts w:ascii="仿宋_GB2312" w:eastAsia="仿宋_GB2312"/>
          <w:bCs/>
          <w:sz w:val="32"/>
          <w:szCs w:val="32"/>
          <w:highlight w:val="none"/>
        </w:rPr>
      </w:pPr>
      <w:r>
        <w:rPr>
          <w:rFonts w:hint="eastAsia" w:ascii="仿宋_GB2312" w:eastAsia="仿宋_GB2312"/>
          <w:bCs/>
          <w:sz w:val="32"/>
          <w:szCs w:val="32"/>
          <w:highlight w:val="none"/>
        </w:rPr>
        <w:t xml:space="preserve">2. </w:t>
      </w:r>
      <w:r>
        <w:rPr>
          <w:rFonts w:hint="eastAsia" w:ascii="仿宋_GB2312" w:eastAsia="仿宋_GB2312"/>
          <w:bCs/>
          <w:color w:val="000000"/>
          <w:sz w:val="32"/>
          <w:szCs w:val="32"/>
        </w:rPr>
        <w:t>本校的业务范围：为成人提供中、高等学历教育服务，老年教育，社会培训。</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27" w:firstLineChars="196"/>
      </w:pPr>
      <w:r>
        <w:rPr>
          <w:rFonts w:hint="eastAsia" w:ascii="仿宋_GB2312" w:eastAsia="仿宋_GB2312"/>
          <w:bCs/>
          <w:sz w:val="32"/>
          <w:szCs w:val="32"/>
        </w:rPr>
        <w:t>从预算单位构成看，浙江开放大学德清学院预算包括：</w:t>
      </w:r>
      <w:r>
        <w:rPr>
          <w:rFonts w:hint="eastAsia" w:ascii="仿宋_GB2312" w:eastAsia="仿宋_GB2312"/>
          <w:bCs/>
          <w:color w:val="000000"/>
          <w:sz w:val="32"/>
          <w:szCs w:val="32"/>
        </w:rPr>
        <w:t>办公室（科研处）、教务信技处、招生培训处、总务处</w:t>
      </w:r>
      <w:r>
        <w:rPr>
          <w:rFonts w:hint="eastAsia" w:ascii="仿宋_GB2312" w:eastAsia="仿宋_GB2312"/>
          <w:bCs/>
          <w:color w:val="000000"/>
          <w:sz w:val="32"/>
          <w:szCs w:val="32"/>
          <w:lang w:eastAsia="zh-CN"/>
        </w:rPr>
        <w:t>预算</w:t>
      </w:r>
      <w:r>
        <w:rPr>
          <w:rFonts w:hint="eastAsia" w:ascii="仿宋_GB2312" w:eastAsia="仿宋_GB2312"/>
          <w:bCs/>
          <w:color w:val="000000"/>
          <w:sz w:val="32"/>
          <w:szCs w:val="32"/>
        </w:rPr>
        <w:t>。</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二、2024年浙江开放大学德清学院单位预算安排情况说明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（一）关于浙江开放大学德清学院</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综合预算的原则，浙江开放大学德清学院</w:t>
      </w:r>
      <w:r>
        <w:rPr>
          <w:rFonts w:hint="eastAsia" w:ascii="仿宋_GB2312" w:eastAsia="仿宋_GB2312"/>
          <w:color w:val="000000"/>
          <w:sz w:val="32"/>
          <w:szCs w:val="32"/>
        </w:rPr>
        <w:t>所有收入和支出均纳入部门预算管理。收入包括：一般公共预算拨款收入、财政专户管理资金收入、其他收入、上年结转结余；支出包括：</w:t>
      </w:r>
      <w:r>
        <w:rPr>
          <w:rFonts w:hint="eastAsia" w:ascii="仿宋_GB2312" w:eastAsia="仿宋_GB2312"/>
          <w:color w:val="auto"/>
          <w:sz w:val="32"/>
          <w:szCs w:val="32"/>
          <w:highlight w:val="none"/>
          <w:lang w:eastAsia="zh-CN"/>
        </w:rPr>
        <w:t>教育支出、社会保障和就业支出、卫生健康支出</w:t>
      </w:r>
      <w:r>
        <w:rPr>
          <w:rFonts w:hint="eastAsia" w:ascii="仿宋_GB2312" w:eastAsia="仿宋_GB2312"/>
          <w:color w:val="000000"/>
          <w:sz w:val="32"/>
          <w:szCs w:val="32"/>
        </w:rPr>
        <w:t>。浙江开放大学德清学院2024年收支总预算1639.93万元。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（二）关于浙江开放大学德清学院2024年收入预算情况说明</w:t>
      </w:r>
    </w:p>
    <w:p>
      <w:pPr>
        <w:spacing w:line="520" w:lineRule="exact"/>
        <w:ind w:firstLine="642"/>
        <w:rPr>
          <w:rFonts w:ascii="仿宋_GB2312" w:eastAsia="仿宋_GB2312"/>
          <w:color w:val="auto"/>
          <w:sz w:val="32"/>
          <w:szCs w:val="32"/>
          <w:highlight w:val="none"/>
        </w:rPr>
      </w:pPr>
      <w:r>
        <w:rPr>
          <w:rFonts w:hint="eastAsia" w:ascii="仿宋_GB2312" w:hAnsi="仿宋_GB2312" w:eastAsia="仿宋_GB2312" w:cs="仿宋_GB2312"/>
          <w:color w:val="auto"/>
          <w:sz w:val="32"/>
          <w:szCs w:val="32"/>
          <w:highlight w:val="none"/>
        </w:rPr>
        <w:t>浙江开放大学德清学院2024年收入预算1639.93万元，比上年执行数</w:t>
      </w:r>
      <w:r>
        <w:rPr>
          <w:rFonts w:hint="eastAsia" w:ascii="仿宋_GB2312" w:hAnsi="仿宋_GB2312" w:eastAsia="仿宋_GB2312" w:cs="仿宋_GB2312"/>
          <w:color w:val="auto"/>
          <w:sz w:val="32"/>
          <w:szCs w:val="32"/>
          <w:highlight w:val="none"/>
          <w:lang w:eastAsia="zh-CN"/>
        </w:rPr>
        <w:t>增加</w:t>
      </w:r>
      <w:r>
        <w:rPr>
          <w:rFonts w:hint="eastAsia" w:ascii="仿宋_GB2312" w:hAnsi="仿宋_GB2312" w:eastAsia="仿宋_GB2312" w:cs="仿宋_GB2312"/>
          <w:color w:val="auto"/>
          <w:sz w:val="32"/>
          <w:szCs w:val="32"/>
          <w:highlight w:val="none"/>
          <w:lang w:val="en-US" w:eastAsia="zh-CN"/>
        </w:rPr>
        <w:t>50.3</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增长</w:t>
      </w:r>
      <w:r>
        <w:rPr>
          <w:rFonts w:hint="eastAsia" w:ascii="仿宋_GB2312" w:hAnsi="仿宋_GB2312" w:eastAsia="仿宋_GB2312" w:cs="仿宋_GB2312"/>
          <w:color w:val="auto"/>
          <w:sz w:val="32"/>
          <w:szCs w:val="32"/>
          <w:highlight w:val="none"/>
          <w:lang w:val="en-US" w:eastAsia="zh-CN"/>
        </w:rPr>
        <w:t>3.2</w:t>
      </w:r>
      <w:r>
        <w:rPr>
          <w:rFonts w:hint="default" w:ascii="仿宋_GB2312" w:hAnsi="仿宋_GB2312" w:eastAsia="仿宋_GB2312" w:cs="仿宋_GB2312"/>
          <w:color w:val="auto"/>
          <w:sz w:val="32"/>
          <w:highlight w:val="none"/>
          <w:lang w:val="en-US"/>
        </w:rPr>
        <w:t xml:space="preserve"> </w:t>
      </w:r>
      <w:r>
        <w:rPr>
          <w:rFonts w:hint="eastAsia" w:ascii="仿宋_GB2312" w:hAnsi="仿宋_GB2312" w:eastAsia="仿宋_GB2312" w:cs="仿宋_GB2312"/>
          <w:color w:val="auto"/>
          <w:sz w:val="32"/>
          <w:highlight w:val="none"/>
        </w:rPr>
        <w:t>%，</w:t>
      </w:r>
      <w:r>
        <w:rPr>
          <w:rFonts w:hint="eastAsia" w:ascii="仿宋_GB2312" w:hAnsi="仿宋_GB2312" w:eastAsia="仿宋_GB2312" w:cs="仿宋_GB2312"/>
          <w:color w:val="auto"/>
          <w:sz w:val="32"/>
          <w:szCs w:val="32"/>
          <w:highlight w:val="none"/>
        </w:rPr>
        <w:t>主要是</w:t>
      </w:r>
      <w:r>
        <w:rPr>
          <w:rFonts w:hint="eastAsia" w:ascii="仿宋_GB2312" w:hAnsi="仿宋_GB2312" w:eastAsia="仿宋_GB2312" w:cs="仿宋_GB2312"/>
          <w:color w:val="auto"/>
          <w:sz w:val="32"/>
          <w:szCs w:val="32"/>
          <w:highlight w:val="none"/>
          <w:lang w:eastAsia="zh-CN"/>
        </w:rPr>
        <w:t>公用经费和教学业务费增加</w:t>
      </w:r>
      <w:r>
        <w:rPr>
          <w:rFonts w:hint="eastAsia" w:ascii="仿宋_GB2312" w:hAnsi="仿宋_GB2312" w:eastAsia="仿宋_GB2312" w:cs="仿宋_GB2312"/>
          <w:color w:val="auto"/>
          <w:sz w:val="32"/>
          <w:szCs w:val="32"/>
          <w:highlight w:val="none"/>
        </w:rPr>
        <w:t>。</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1218.67</w:t>
      </w:r>
      <w:r>
        <w:rPr>
          <w:rFonts w:hint="eastAsia" w:ascii="仿宋_GB2312" w:eastAsia="仿宋_GB2312"/>
          <w:color w:val="000000"/>
          <w:sz w:val="32"/>
          <w:szCs w:val="32"/>
        </w:rPr>
        <w:t>万元（上年结转2.08万元），占74.3%；专户资金385.16万元，占23.5%；其他收入36.10万元，占2.2%</w:t>
      </w:r>
      <w:r>
        <w:rPr>
          <w:rFonts w:hint="eastAsia" w:ascii="仿宋_GB2312" w:eastAsia="仿宋_GB2312"/>
          <w:color w:val="000000"/>
          <w:sz w:val="32"/>
          <w:szCs w:val="32"/>
          <w:lang w:eastAsia="zh-CN"/>
        </w:rPr>
        <w:t>。</w:t>
      </w:r>
      <w:r>
        <w:rPr>
          <w:rFonts w:hint="eastAsia" w:ascii="仿宋_GB2312" w:eastAsia="仿宋_GB2312"/>
          <w:color w:val="000000"/>
          <w:sz w:val="32"/>
          <w:szCs w:val="32"/>
        </w:rPr>
        <w:br w:type="textWrapping"/>
      </w:r>
      <w:r>
        <w:rPr>
          <w:rFonts w:hint="eastAsia" w:ascii="楷体_GB2312" w:hAnsi="楷体_GB2312" w:eastAsia="楷体_GB2312" w:cs="楷体_GB2312"/>
          <w:bCs/>
          <w:color w:val="000000"/>
          <w:sz w:val="32"/>
          <w:szCs w:val="32"/>
        </w:rPr>
        <w:t>　　（三）关于浙江开放大学德清学院2024年支出预算情况说明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浙江开放大学德清学院</w:t>
      </w:r>
      <w:r>
        <w:rPr>
          <w:rFonts w:hint="eastAsia" w:ascii="仿宋_GB2312" w:hAnsi="仿宋_GB2312" w:eastAsia="仿宋_GB2312" w:cs="仿宋_GB2312"/>
          <w:color w:val="000000"/>
          <w:sz w:val="32"/>
          <w:szCs w:val="32"/>
          <w:highlight w:val="none"/>
        </w:rPr>
        <w:t>2024年支出预算1639.93万元，比上年执行数</w:t>
      </w:r>
      <w:r>
        <w:rPr>
          <w:rFonts w:hint="eastAsia" w:ascii="仿宋_GB2312" w:hAnsi="仿宋_GB2312" w:eastAsia="仿宋_GB2312" w:cs="仿宋_GB2312"/>
          <w:color w:val="000000"/>
          <w:sz w:val="32"/>
          <w:szCs w:val="32"/>
          <w:highlight w:val="none"/>
          <w:lang w:eastAsia="zh-CN"/>
        </w:rPr>
        <w:t>增加</w:t>
      </w:r>
      <w:r>
        <w:rPr>
          <w:rFonts w:hint="default" w:ascii="仿宋_GB2312" w:hAnsi="仿宋_GB2312" w:eastAsia="仿宋_GB2312" w:cs="仿宋_GB2312"/>
          <w:color w:val="000000"/>
          <w:sz w:val="32"/>
          <w:szCs w:val="32"/>
          <w:highlight w:val="none"/>
          <w:lang w:val="en-US"/>
        </w:rPr>
        <w:t xml:space="preserve"> </w:t>
      </w:r>
      <w:r>
        <w:rPr>
          <w:rFonts w:hint="eastAsia" w:ascii="仿宋_GB2312" w:hAnsi="仿宋_GB2312" w:eastAsia="仿宋_GB2312" w:cs="仿宋_GB2312"/>
          <w:color w:val="000000"/>
          <w:sz w:val="32"/>
          <w:szCs w:val="32"/>
          <w:highlight w:val="none"/>
          <w:lang w:val="en-US" w:eastAsia="zh-CN"/>
        </w:rPr>
        <w:t>51.42</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lang w:eastAsia="zh-CN"/>
        </w:rPr>
        <w:t>增长</w:t>
      </w:r>
      <w:r>
        <w:rPr>
          <w:rFonts w:hint="eastAsia" w:ascii="仿宋_GB2312" w:hAnsi="仿宋_GB2312" w:eastAsia="仿宋_GB2312" w:cs="仿宋_GB2312"/>
          <w:color w:val="000000"/>
          <w:sz w:val="32"/>
          <w:highlight w:val="none"/>
          <w:lang w:val="en-US" w:eastAsia="zh-CN"/>
        </w:rPr>
        <w:t xml:space="preserve">3.2 </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eastAsia="zh-CN"/>
        </w:rPr>
        <w:t>公用经费和教学业务费支出增加</w:t>
      </w:r>
      <w:r>
        <w:rPr>
          <w:rFonts w:hint="eastAsia" w:ascii="仿宋_GB2312" w:hAnsi="仿宋_GB2312" w:eastAsia="仿宋_GB2312" w:cs="仿宋_GB2312"/>
          <w:color w:val="000000"/>
          <w:sz w:val="32"/>
          <w:szCs w:val="32"/>
          <w:highlight w:val="none"/>
        </w:rPr>
        <w:t>。</w:t>
      </w:r>
    </w:p>
    <w:p>
      <w:pPr>
        <w:spacing w:line="520" w:lineRule="exact"/>
        <w:ind w:firstLine="630"/>
        <w:rPr>
          <w:rFonts w:hint="eastAsia" w:ascii="仿宋_GB2312" w:eastAsia="仿宋_GB2312"/>
          <w:color w:val="000000"/>
          <w:sz w:val="32"/>
          <w:szCs w:val="32"/>
          <w:lang w:eastAsia="zh-CN"/>
        </w:rPr>
      </w:pPr>
      <w:r>
        <w:rPr>
          <w:rFonts w:hint="eastAsia" w:ascii="仿宋_GB2312" w:eastAsia="仿宋_GB2312"/>
          <w:color w:val="000000"/>
          <w:sz w:val="32"/>
          <w:szCs w:val="32"/>
        </w:rPr>
        <w:t>1.按支出功能分类，包括教育支出1317.42万元、社会保障和就业支出221.33万元、卫生健康支出101.17万元</w:t>
      </w:r>
      <w:r>
        <w:rPr>
          <w:rFonts w:hint="eastAsia" w:ascii="仿宋_GB2312" w:eastAsia="仿宋_GB2312"/>
          <w:color w:val="000000"/>
          <w:sz w:val="32"/>
          <w:szCs w:val="32"/>
          <w:lang w:eastAsia="zh-CN"/>
        </w:rPr>
        <w:t>。</w:t>
      </w:r>
    </w:p>
    <w:p>
      <w:pPr>
        <w:spacing w:line="520" w:lineRule="exact"/>
        <w:ind w:firstLine="642"/>
        <w:rPr>
          <w:rFonts w:hint="eastAsia" w:ascii="仿宋_GB2312" w:eastAsia="仿宋_GB2312"/>
          <w:color w:val="000000"/>
          <w:sz w:val="32"/>
          <w:szCs w:val="32"/>
        </w:rPr>
      </w:pPr>
      <w:r>
        <w:rPr>
          <w:rFonts w:hint="eastAsia" w:ascii="仿宋_GB2312" w:eastAsia="仿宋_GB2312"/>
          <w:color w:val="000000"/>
          <w:sz w:val="32"/>
          <w:szCs w:val="32"/>
        </w:rPr>
        <w:t>2.按支出用途分类，包括人员支出1178.90万元，占71.9%；日常公用支出184.60万元，占11.3%；项目支出276.43万元，占16.9%。</w:t>
      </w:r>
    </w:p>
    <w:p>
      <w:pPr>
        <w:spacing w:line="520" w:lineRule="exact"/>
        <w:ind w:firstLine="642"/>
      </w:pPr>
      <w:r>
        <w:rPr>
          <w:rFonts w:hint="eastAsia" w:ascii="仿宋_GB2312" w:eastAsia="仿宋_GB2312"/>
          <w:color w:val="000000"/>
          <w:sz w:val="32"/>
          <w:szCs w:val="32"/>
        </w:rPr>
        <w:t>结转下年</w:t>
      </w:r>
      <w:r>
        <w:rPr>
          <w:rFonts w:ascii="仿宋_GB2312" w:eastAsia="仿宋_GB2312"/>
          <w:color w:val="000000"/>
          <w:sz w:val="32"/>
          <w:szCs w:val="32"/>
        </w:rPr>
        <w:fldChar w:fldCharType="begin"/>
      </w:r>
      <w:r>
        <w:rPr>
          <w:rFonts w:hint="eastAsia" w:ascii="仿宋_GB2312" w:eastAsia="仿宋_GB2312"/>
          <w:color w:val="000000"/>
          <w:sz w:val="32"/>
          <w:szCs w:val="32"/>
        </w:rPr>
        <w:instrText xml:space="preserve">MERGEFIELD ${page855778723.ds388518707_V_REP_BGT_DEP_INCOME_JZXN}</w:instrText>
      </w:r>
      <w:r>
        <w:rPr>
          <w:rFonts w:ascii="仿宋_GB2312" w:eastAsia="仿宋_GB2312"/>
          <w:color w:val="000000"/>
          <w:sz w:val="32"/>
          <w:szCs w:val="32"/>
        </w:rPr>
        <w:fldChar w:fldCharType="separate"/>
      </w:r>
      <w:r>
        <w:rPr>
          <w:rFonts w:hint="eastAsia" w:ascii="仿宋_GB2312" w:eastAsia="仿宋_GB2312"/>
          <w:color w:val="000000"/>
          <w:sz w:val="32"/>
          <w:szCs w:val="32"/>
        </w:rPr>
        <w:t>0.00</w:t>
      </w:r>
      <w:r>
        <w:fldChar w:fldCharType="end"/>
      </w:r>
      <w:r>
        <w:rPr>
          <w:rFonts w:hint="eastAsia" w:ascii="仿宋_GB2312" w:eastAsia="仿宋_GB2312"/>
          <w:color w:val="000000"/>
          <w:sz w:val="32"/>
          <w:szCs w:val="32"/>
        </w:rPr>
        <w:t>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（四）关于浙江开放大学德清学院2024年财政拨款收支预算情况的总体说明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浙江开放大学德清学院2024年财政拨款收支总预算1218.67万元。收入包括：一般公共预算1218.67万元；支出包括：教育支出896.16万元、社会保障和就业支出221.33万元、卫生健康支出101.17万元。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关于浙江开放大学德清学院2024年一般公共预算拨款情况说明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浙江开放大学德清学院2024年一般公共预算拨款</w:t>
      </w:r>
      <w:r>
        <w:rPr>
          <w:rFonts w:hint="eastAsia" w:ascii="仿宋_GB2312" w:hAnsi="仿宋_GB2312" w:eastAsia="仿宋_GB2312" w:cs="仿宋_GB2312"/>
          <w:bCs/>
          <w:color w:val="000000"/>
          <w:sz w:val="32"/>
          <w:szCs w:val="32"/>
          <w:highlight w:val="none"/>
        </w:rPr>
        <w:t>1218.67</w:t>
      </w:r>
      <w:r>
        <w:rPr>
          <w:rFonts w:hint="eastAsia" w:ascii="仿宋_GB2312" w:hAnsi="仿宋_GB2312" w:eastAsia="仿宋_GB2312" w:cs="仿宋_GB2312"/>
          <w:color w:val="000000"/>
          <w:sz w:val="32"/>
          <w:szCs w:val="32"/>
          <w:highlight w:val="none"/>
        </w:rPr>
        <w:t>万元，比上年执行数增加</w:t>
      </w:r>
      <w:r>
        <w:rPr>
          <w:rFonts w:hint="default" w:ascii="仿宋_GB2312" w:hAnsi="仿宋_GB2312" w:eastAsia="仿宋_GB2312" w:cs="仿宋_GB2312"/>
          <w:color w:val="000000"/>
          <w:sz w:val="32"/>
          <w:szCs w:val="32"/>
          <w:highlight w:val="none"/>
          <w:lang w:val="en-US"/>
        </w:rPr>
        <w:t>565.50</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default" w:ascii="仿宋_GB2312" w:hAnsi="仿宋_GB2312" w:eastAsia="仿宋_GB2312" w:cs="仿宋_GB2312"/>
          <w:color w:val="000000"/>
          <w:sz w:val="32"/>
          <w:highlight w:val="none"/>
          <w:lang w:val="en-US"/>
        </w:rPr>
        <w:t xml:space="preserve">86.58 </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2024年在编人员经费全部由一般公共预算拨款保证</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教育支出896.16万元，占73.5%；社会保障和就业支出221.33万元，占18.2%；卫生健康支出101.17万元，占8.3%。</w:t>
      </w:r>
    </w:p>
    <w:p>
      <w:pPr>
        <w:numPr>
          <w:ilvl w:val="0"/>
          <w:numId w:val="2"/>
        </w:numPr>
        <w:spacing w:line="520" w:lineRule="exact"/>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一般公共预算拨款具体使用情况。</w:t>
      </w:r>
    </w:p>
    <w:p>
      <w:pPr>
        <w:spacing w:line="360" w:lineRule="auto"/>
        <w:ind w:firstLine="640"/>
        <w:jc w:val="left"/>
        <w:rPr>
          <w:rFonts w:ascii="仿宋_GB2312" w:hAnsi="仿宋_GB2312" w:eastAsia="仿宋_GB2312" w:cs="仿宋_GB2312"/>
          <w:color w:val="000000"/>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rPr>
        <w:t>1）</w:t>
      </w:r>
      <w:r>
        <w:rPr>
          <w:rFonts w:hint="eastAsia" w:ascii="仿宋" w:hAnsi="仿宋" w:eastAsia="仿宋" w:cs="Arial"/>
          <w:sz w:val="32"/>
          <w:szCs w:val="32"/>
        </w:rPr>
        <w:t>教育支出（类）成人教育（款）成人中等教育（项）</w:t>
      </w:r>
      <w:r>
        <w:rPr>
          <w:rFonts w:hint="eastAsia" w:ascii="仿宋" w:hAnsi="仿宋" w:eastAsia="仿宋" w:cs="Arial"/>
          <w:sz w:val="32"/>
          <w:szCs w:val="32"/>
          <w:lang w:val="en-US" w:eastAsia="zh-CN"/>
        </w:rPr>
        <w:t>896.16</w:t>
      </w:r>
      <w:r>
        <w:rPr>
          <w:rFonts w:hint="eastAsia" w:ascii="仿宋_GB2312" w:eastAsia="仿宋_GB2312"/>
          <w:color w:val="000000"/>
          <w:sz w:val="32"/>
          <w:szCs w:val="32"/>
        </w:rPr>
        <w:t>万元，</w:t>
      </w:r>
      <w:r>
        <w:rPr>
          <w:rFonts w:hint="eastAsia" w:ascii="仿宋_GB2312" w:hAnsi="楷体_GB2312" w:eastAsia="仿宋_GB2312" w:cs="楷体_GB2312"/>
          <w:sz w:val="32"/>
          <w:szCs w:val="32"/>
        </w:rPr>
        <w:t>主要用于所属学校成人中等教育的支出。</w:t>
      </w:r>
    </w:p>
    <w:p>
      <w:pPr>
        <w:spacing w:line="520" w:lineRule="exact"/>
        <w:ind w:firstLine="640"/>
        <w:rPr>
          <w:rFonts w:hint="eastAsia" w:ascii="仿宋_GB2312" w:hAnsi="楷体_GB2312" w:eastAsia="仿宋_GB2312" w:cs="楷体_GB2312"/>
          <w:sz w:val="32"/>
          <w:szCs w:val="32"/>
        </w:rPr>
      </w:pPr>
      <w:r>
        <w:rPr>
          <w:rFonts w:hint="eastAsia" w:ascii="仿宋_GB2312" w:hAnsi="仿宋_GB2312" w:eastAsia="仿宋_GB2312" w:cs="仿宋_GB2312"/>
          <w:color w:val="000000"/>
          <w:sz w:val="32"/>
          <w:szCs w:val="32"/>
        </w:rPr>
        <w:t>（2）</w:t>
      </w:r>
      <w:r>
        <w:rPr>
          <w:rFonts w:hint="eastAsia" w:ascii="仿宋_GB2312" w:eastAsia="仿宋_GB2312"/>
          <w:color w:val="000000"/>
          <w:sz w:val="32"/>
          <w:szCs w:val="32"/>
        </w:rPr>
        <w:t>社会保障和就业支出(类)行政事业单位养老支出(款)事业</w:t>
      </w:r>
      <w:r>
        <w:rPr>
          <w:rFonts w:hint="eastAsia" w:ascii="仿宋_GB2312" w:hAnsi="楷体_GB2312" w:eastAsia="仿宋_GB2312" w:cs="楷体_GB2312"/>
          <w:sz w:val="32"/>
          <w:szCs w:val="32"/>
        </w:rPr>
        <w:t>单位离退休(项)</w:t>
      </w:r>
      <w:r>
        <w:rPr>
          <w:rFonts w:hint="eastAsia" w:ascii="仿宋_GB2312" w:hAnsi="楷体_GB2312" w:eastAsia="仿宋_GB2312" w:cs="楷体_GB2312"/>
          <w:sz w:val="32"/>
          <w:szCs w:val="32"/>
          <w:lang w:val="en-US" w:eastAsia="zh-CN"/>
        </w:rPr>
        <w:t>116.04</w:t>
      </w:r>
      <w:r>
        <w:rPr>
          <w:rFonts w:hint="eastAsia" w:ascii="仿宋_GB2312" w:hAnsi="楷体_GB2312" w:eastAsia="仿宋_GB2312" w:cs="楷体_GB2312"/>
          <w:sz w:val="32"/>
          <w:szCs w:val="32"/>
        </w:rPr>
        <w:t>万元，主要用于离退休干部职工退休福利费支出。</w:t>
      </w:r>
    </w:p>
    <w:p>
      <w:pPr>
        <w:pStyle w:val="2"/>
        <w:rPr>
          <w:rFonts w:hint="eastAsia" w:ascii="仿宋_GB2312" w:hAnsi="楷体_GB2312" w:eastAsia="仿宋_GB2312" w:cs="楷体_GB2312"/>
          <w:sz w:val="32"/>
          <w:szCs w:val="32"/>
        </w:rPr>
      </w:pPr>
      <w:r>
        <w:rPr>
          <w:rFonts w:hint="eastAsia" w:hAnsi="楷体_GB2312" w:cs="楷体_GB2312"/>
          <w:sz w:val="32"/>
          <w:szCs w:val="32"/>
          <w:lang w:val="en-US" w:eastAsia="zh-CN"/>
        </w:rPr>
        <w:t xml:space="preserve">    </w:t>
      </w:r>
      <w:r>
        <w:rPr>
          <w:rFonts w:hint="eastAsia" w:ascii="仿宋_GB2312" w:hAnsi="仿宋_GB2312" w:eastAsia="仿宋_GB2312" w:cs="仿宋_GB2312"/>
          <w:color w:val="000000"/>
          <w:sz w:val="32"/>
          <w:szCs w:val="32"/>
        </w:rPr>
        <w:t>（</w:t>
      </w:r>
      <w:r>
        <w:rPr>
          <w:rFonts w:hint="eastAsia" w:cs="仿宋_GB2312"/>
          <w:color w:val="000000"/>
          <w:sz w:val="32"/>
          <w:szCs w:val="32"/>
          <w:lang w:val="en-US" w:eastAsia="zh-CN"/>
        </w:rPr>
        <w:t>3</w:t>
      </w:r>
      <w:r>
        <w:rPr>
          <w:rFonts w:hint="eastAsia" w:ascii="仿宋_GB2312" w:hAnsi="仿宋_GB2312" w:eastAsia="仿宋_GB2312" w:cs="仿宋_GB2312"/>
          <w:color w:val="000000"/>
          <w:sz w:val="32"/>
          <w:szCs w:val="32"/>
        </w:rPr>
        <w:t>）</w:t>
      </w:r>
      <w:r>
        <w:rPr>
          <w:rFonts w:hint="eastAsia" w:ascii="仿宋_GB2312" w:eastAsia="仿宋_GB2312"/>
          <w:color w:val="000000"/>
          <w:sz w:val="32"/>
          <w:szCs w:val="32"/>
        </w:rPr>
        <w:t>社会保障和就业支出(类)行政事业单位养老支出(款)机关事业单位基本养老保险缴费支出</w:t>
      </w:r>
      <w:r>
        <w:rPr>
          <w:rFonts w:hint="eastAsia" w:ascii="仿宋_GB2312" w:hAnsi="楷体_GB2312" w:eastAsia="仿宋_GB2312" w:cs="楷体_GB2312"/>
          <w:sz w:val="32"/>
          <w:szCs w:val="32"/>
        </w:rPr>
        <w:t>(项)</w:t>
      </w:r>
      <w:r>
        <w:rPr>
          <w:rFonts w:hint="eastAsia" w:hAnsi="楷体_GB2312" w:cs="楷体_GB2312"/>
          <w:sz w:val="32"/>
          <w:szCs w:val="32"/>
          <w:lang w:val="en-US" w:eastAsia="zh-CN"/>
        </w:rPr>
        <w:t>70.2</w:t>
      </w:r>
      <w:r>
        <w:rPr>
          <w:rFonts w:hint="eastAsia" w:ascii="仿宋_GB2312" w:hAnsi="楷体_GB2312" w:eastAsia="仿宋_GB2312" w:cs="楷体_GB2312"/>
          <w:sz w:val="32"/>
          <w:szCs w:val="32"/>
        </w:rPr>
        <w:t>万元，主要用于</w:t>
      </w:r>
      <w:r>
        <w:rPr>
          <w:rFonts w:hint="eastAsia" w:ascii="仿宋_GB2312" w:eastAsia="仿宋_GB2312"/>
          <w:color w:val="000000"/>
          <w:sz w:val="32"/>
          <w:szCs w:val="32"/>
        </w:rPr>
        <w:t>事业单位基本养老保险缴费支出</w:t>
      </w:r>
      <w:r>
        <w:rPr>
          <w:rFonts w:hint="eastAsia" w:ascii="仿宋_GB2312" w:hAnsi="楷体_GB2312" w:eastAsia="仿宋_GB2312" w:cs="楷体_GB2312"/>
          <w:sz w:val="32"/>
          <w:szCs w:val="32"/>
        </w:rPr>
        <w:t>。</w:t>
      </w:r>
    </w:p>
    <w:p>
      <w:pPr>
        <w:pStyle w:val="2"/>
        <w:rPr>
          <w:rFonts w:hint="eastAsia" w:ascii="仿宋_GB2312" w:hAnsi="楷体_GB2312" w:eastAsia="仿宋_GB2312" w:cs="楷体_GB2312"/>
          <w:sz w:val="32"/>
          <w:szCs w:val="32"/>
        </w:rPr>
      </w:pPr>
      <w:r>
        <w:rPr>
          <w:rFonts w:hint="eastAsia" w:hAnsi="楷体_GB2312" w:cs="楷体_GB2312"/>
          <w:sz w:val="32"/>
          <w:szCs w:val="32"/>
          <w:lang w:val="en-US" w:eastAsia="zh-CN"/>
        </w:rPr>
        <w:t xml:space="preserve">    </w:t>
      </w:r>
      <w:r>
        <w:rPr>
          <w:rFonts w:hint="eastAsia" w:ascii="仿宋_GB2312" w:hAnsi="仿宋_GB2312" w:eastAsia="仿宋_GB2312" w:cs="仿宋_GB2312"/>
          <w:color w:val="000000"/>
          <w:sz w:val="32"/>
          <w:szCs w:val="32"/>
        </w:rPr>
        <w:t>（</w:t>
      </w:r>
      <w:r>
        <w:rPr>
          <w:rFonts w:hint="eastAsia" w:cs="仿宋_GB2312"/>
          <w:color w:val="000000"/>
          <w:sz w:val="32"/>
          <w:szCs w:val="32"/>
          <w:lang w:val="en-US" w:eastAsia="zh-CN"/>
        </w:rPr>
        <w:t>4</w:t>
      </w:r>
      <w:r>
        <w:rPr>
          <w:rFonts w:hint="eastAsia" w:ascii="仿宋_GB2312" w:hAnsi="仿宋_GB2312" w:eastAsia="仿宋_GB2312" w:cs="仿宋_GB2312"/>
          <w:color w:val="000000"/>
          <w:sz w:val="32"/>
          <w:szCs w:val="32"/>
        </w:rPr>
        <w:t>）</w:t>
      </w:r>
      <w:r>
        <w:rPr>
          <w:rFonts w:hint="eastAsia" w:ascii="仿宋_GB2312" w:eastAsia="仿宋_GB2312"/>
          <w:color w:val="000000"/>
          <w:sz w:val="32"/>
          <w:szCs w:val="32"/>
        </w:rPr>
        <w:t>社会保障和就业支出(类)行政事业单位养老支出(款)机关事业单位职业年金缴费支出</w:t>
      </w:r>
      <w:r>
        <w:rPr>
          <w:rFonts w:hint="eastAsia" w:ascii="仿宋_GB2312" w:hAnsi="楷体_GB2312" w:eastAsia="仿宋_GB2312" w:cs="楷体_GB2312"/>
          <w:sz w:val="32"/>
          <w:szCs w:val="32"/>
        </w:rPr>
        <w:t>(项)</w:t>
      </w:r>
      <w:r>
        <w:rPr>
          <w:rFonts w:hint="eastAsia" w:hAnsi="楷体_GB2312" w:cs="楷体_GB2312"/>
          <w:sz w:val="32"/>
          <w:szCs w:val="32"/>
          <w:lang w:val="en-US" w:eastAsia="zh-CN"/>
        </w:rPr>
        <w:t>35.1</w:t>
      </w:r>
      <w:r>
        <w:rPr>
          <w:rFonts w:hint="eastAsia" w:ascii="仿宋_GB2312" w:hAnsi="楷体_GB2312" w:eastAsia="仿宋_GB2312" w:cs="楷体_GB2312"/>
          <w:sz w:val="32"/>
          <w:szCs w:val="32"/>
        </w:rPr>
        <w:t>万元，主要用于机关事业单位职业年金缴费支出。</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）卫生健康支出（类）行政事业单位医疗（款）事业单位医疗（项）</w:t>
      </w:r>
      <w:r>
        <w:rPr>
          <w:rFonts w:hint="eastAsia" w:ascii="仿宋_GB2312" w:hAnsi="仿宋_GB2312" w:eastAsia="仿宋_GB2312" w:cs="仿宋_GB2312"/>
          <w:color w:val="000000"/>
          <w:sz w:val="32"/>
          <w:szCs w:val="32"/>
          <w:lang w:val="en-US" w:eastAsia="zh-CN"/>
        </w:rPr>
        <w:t>101.17</w:t>
      </w:r>
      <w:r>
        <w:rPr>
          <w:rFonts w:hint="eastAsia" w:ascii="仿宋_GB2312" w:hAnsi="仿宋_GB2312" w:eastAsia="仿宋_GB2312" w:cs="仿宋_GB2312"/>
          <w:color w:val="000000"/>
          <w:sz w:val="32"/>
          <w:szCs w:val="32"/>
        </w:rPr>
        <w:t>万元，主要用于</w:t>
      </w:r>
      <w:r>
        <w:rPr>
          <w:rFonts w:hint="eastAsia" w:ascii="仿宋_GB2312" w:hAnsi="仿宋_GB2312" w:eastAsia="仿宋_GB2312" w:cs="仿宋_GB2312"/>
          <w:color w:val="000000"/>
          <w:sz w:val="32"/>
          <w:szCs w:val="32"/>
          <w:lang w:eastAsia="zh-CN"/>
        </w:rPr>
        <w:t>事业单位医疗支出</w:t>
      </w:r>
      <w:r>
        <w:rPr>
          <w:rFonts w:hint="eastAsia" w:ascii="仿宋_GB2312" w:hAnsi="仿宋_GB2312" w:eastAsia="仿宋_GB2312" w:cs="仿宋_GB2312"/>
          <w:color w:val="000000"/>
          <w:sz w:val="32"/>
          <w:szCs w:val="32"/>
        </w:rPr>
        <w:t>。</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（六）关于浙江开放大学德清学院2024年一般公共预算基本支出情况说明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浙江开放大学德清学院2024年一般公共预算基本支出1166.14万元，其中：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1153.19万元，主要包括：基本工资、津贴补贴、奖金、绩效工资、机关事业单位基本养老保险缴费、职业年金缴费、职工基本医疗保险缴费、公务员医疗补助缴费、其他社会保障缴费、住房公积金、其他工资福利支出、退休费、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公用经费12.95万元，主要包括：劳务费、工会经费。</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（七）关于浙江开放大学德清学院2024年政府性基金预算支出情况说明</w:t>
      </w:r>
    </w:p>
    <w:p>
      <w:pPr>
        <w:spacing w:line="520" w:lineRule="exact"/>
        <w:ind w:firstLine="640" w:firstLineChars="200"/>
      </w:pPr>
      <w:r>
        <w:rPr>
          <w:rFonts w:hint="eastAsia" w:ascii="仿宋_GB2312" w:hAnsi="仿宋_GB2312" w:eastAsia="仿宋_GB2312" w:cs="仿宋_GB2312"/>
          <w:color w:val="000000"/>
          <w:sz w:val="32"/>
          <w:szCs w:val="32"/>
        </w:rPr>
        <w:t>浙江开放大学德清学院2024年没有使用政府性基金预算拨款安排的支出</w:t>
      </w:r>
      <w:r>
        <w:rPr>
          <w:rFonts w:hint="eastAsia" w:ascii="仿宋_GB2312" w:hAnsi="仿宋_GB2312" w:eastAsia="仿宋_GB2312" w:cs="仿宋_GB2312"/>
          <w:color w:val="000000"/>
          <w:sz w:val="32"/>
          <w:szCs w:val="32"/>
          <w:lang w:eastAsia="zh-CN"/>
        </w:rPr>
        <w:t>。</w:t>
      </w:r>
    </w:p>
    <w:p>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（八）关于</w:t>
      </w:r>
      <w:r>
        <w:rPr>
          <w:rFonts w:ascii="楷体_GB2312" w:hAnsi="楷体_GB2312" w:eastAsia="楷体_GB2312" w:cs="楷体_GB2312"/>
          <w:bCs/>
          <w:color w:val="000000"/>
          <w:sz w:val="32"/>
          <w:szCs w:val="32"/>
          <w:highlight w:val="none"/>
        </w:rPr>
        <w:t>浙江开放大学德清学院</w:t>
      </w:r>
      <w:r>
        <w:rPr>
          <w:rFonts w:hint="eastAsia" w:ascii="楷体_GB2312" w:hAnsi="楷体_GB2312" w:eastAsia="楷体_GB2312" w:cs="楷体_GB2312"/>
          <w:bCs/>
          <w:color w:val="000000"/>
          <w:sz w:val="32"/>
          <w:szCs w:val="32"/>
          <w:highlight w:val="none"/>
        </w:rPr>
        <w:t>国有资本经营预算支出情况说明</w:t>
      </w:r>
    </w:p>
    <w:p>
      <w:pPr>
        <w:spacing w:line="520" w:lineRule="exact"/>
        <w:ind w:firstLine="640" w:firstLineChars="200"/>
        <w:rPr>
          <w:rFonts w:hint="eastAsia" w:eastAsia="仿宋_GB2312"/>
          <w:b/>
          <w:sz w:val="20"/>
          <w:lang w:eastAsia="zh-CN"/>
        </w:rPr>
      </w:pPr>
      <w:r>
        <w:rPr>
          <w:rFonts w:hint="eastAsia" w:ascii="仿宋_GB2312" w:hAnsi="仿宋_GB2312" w:eastAsia="仿宋_GB2312" w:cs="仿宋_GB2312"/>
          <w:color w:val="000000"/>
          <w:sz w:val="32"/>
          <w:szCs w:val="32"/>
          <w:highlight w:val="none"/>
        </w:rPr>
        <w:t>浙江开放大学德清学院2024年没有使用国有资本经营预算拨款安排的支出</w:t>
      </w:r>
      <w:r>
        <w:rPr>
          <w:rFonts w:hint="eastAsia" w:ascii="仿宋_GB2312" w:hAnsi="仿宋_GB2312" w:eastAsia="仿宋_GB2312" w:cs="仿宋_GB2312"/>
          <w:color w:val="000000"/>
          <w:sz w:val="32"/>
          <w:szCs w:val="32"/>
          <w:highlight w:val="none"/>
          <w:lang w:eastAsia="zh-CN"/>
        </w:rPr>
        <w:t>。</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（九）关于浙江开放大学德清学院2024年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浙江开放大学德清学院2024年“三公”经费预算数为0万元，</w:t>
      </w:r>
      <w:r>
        <w:rPr>
          <w:rFonts w:hint="eastAsia" w:ascii="仿宋" w:hAnsi="仿宋" w:eastAsia="仿宋" w:cs="仿宋"/>
          <w:b w:val="0"/>
          <w:bCs/>
          <w:color w:val="000000" w:themeColor="text1"/>
          <w:sz w:val="32"/>
          <w:szCs w:val="32"/>
        </w:rPr>
        <w:t>与上年预算数持平</w:t>
      </w:r>
      <w:r>
        <w:rPr>
          <w:rFonts w:hint="eastAsia" w:ascii="仿宋" w:hAnsi="仿宋" w:eastAsia="仿宋" w:cs="仿宋"/>
          <w:b w:val="0"/>
          <w:bCs/>
          <w:color w:val="000000" w:themeColor="text1"/>
          <w:sz w:val="32"/>
          <w:szCs w:val="32"/>
          <w:lang w:eastAsia="zh-CN"/>
        </w:rPr>
        <w:t>，</w:t>
      </w:r>
      <w:r>
        <w:rPr>
          <w:rFonts w:hint="eastAsia" w:ascii="仿宋_GB2312" w:hAnsi="仿宋_GB2312" w:eastAsia="仿宋_GB2312"/>
          <w:sz w:val="32"/>
        </w:rPr>
        <w:t>具体如下：</w:t>
      </w:r>
    </w:p>
    <w:p>
      <w:pPr>
        <w:keepNext w:val="0"/>
        <w:keepLines w:val="0"/>
        <w:pageBreakBefore w:val="0"/>
        <w:kinsoku/>
        <w:wordWrap/>
        <w:overflowPunct/>
        <w:topLinePunct w:val="0"/>
        <w:bidi w:val="0"/>
        <w:spacing w:beforeLines="0" w:afterLines="0"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根据因公出国计划和实际工作需要，2024年安排因公出国（境）费用预算0万元，</w:t>
      </w:r>
      <w:r>
        <w:rPr>
          <w:rFonts w:hint="eastAsia" w:ascii="仿宋" w:hAnsi="仿宋" w:eastAsia="仿宋" w:cs="仿宋"/>
          <w:b w:val="0"/>
          <w:bCs/>
          <w:color w:val="000000" w:themeColor="text1"/>
          <w:sz w:val="32"/>
          <w:szCs w:val="32"/>
        </w:rPr>
        <w:t>与上年预算数持平</w:t>
      </w:r>
      <w:r>
        <w:rPr>
          <w:rFonts w:hint="eastAsia" w:ascii="仿宋" w:hAnsi="仿宋" w:eastAsia="仿宋" w:cs="仿宋"/>
          <w:b w:val="0"/>
          <w:bCs/>
          <w:sz w:val="32"/>
          <w:szCs w:val="32"/>
          <w:highlight w:val="none"/>
        </w:rPr>
        <w:t>。</w:t>
      </w:r>
      <w:r>
        <w:rPr>
          <w:rFonts w:hint="eastAsia" w:ascii="仿宋_GB2312" w:hAnsi="仿宋_GB2312" w:eastAsia="仿宋_GB2312" w:cs="仿宋_GB2312"/>
          <w:sz w:val="32"/>
          <w:szCs w:val="32"/>
        </w:rPr>
        <w:t>主要原因是</w:t>
      </w:r>
      <w:r>
        <w:rPr>
          <w:rFonts w:ascii="仿宋_GB2312" w:hAnsi="仿宋_GB2312" w:eastAsia="仿宋_GB2312" w:cs="仿宋_GB2312"/>
          <w:kern w:val="0"/>
          <w:sz w:val="32"/>
          <w:szCs w:val="32"/>
        </w:rPr>
        <w:t>由相关部门从严审批控制，根据实际情况调整，年初未纳入部门预算。</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2.公务接待费：2024年安排公务接待费预算0万元，</w:t>
      </w:r>
      <w:r>
        <w:rPr>
          <w:rFonts w:hint="eastAsia" w:ascii="仿宋" w:hAnsi="仿宋" w:eastAsia="仿宋" w:cs="仿宋"/>
          <w:b w:val="0"/>
          <w:bCs/>
          <w:color w:val="000000" w:themeColor="text1"/>
          <w:sz w:val="32"/>
          <w:szCs w:val="32"/>
        </w:rPr>
        <w:t>与上年预算数持平</w:t>
      </w:r>
      <w:r>
        <w:rPr>
          <w:rFonts w:hint="eastAsia" w:ascii="仿宋" w:hAnsi="仿宋" w:eastAsia="仿宋" w:cs="仿宋"/>
          <w:b w:val="0"/>
          <w:bCs/>
          <w:sz w:val="32"/>
          <w:szCs w:val="32"/>
          <w:highlight w:val="none"/>
        </w:rPr>
        <w:t>。</w:t>
      </w:r>
    </w:p>
    <w:p>
      <w:pPr>
        <w:pStyle w:val="14"/>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 w:hAnsi="仿宋" w:eastAsia="仿宋" w:cs="仿宋"/>
          <w:b w:val="0"/>
          <w:bCs/>
          <w:color w:val="000000" w:themeColor="text1"/>
          <w:sz w:val="32"/>
          <w:szCs w:val="32"/>
        </w:rPr>
        <w:t>与上年预算数持平</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w:t>
      </w:r>
      <w:r>
        <w:rPr>
          <w:rFonts w:hint="eastAsia" w:ascii="仿宋" w:hAnsi="仿宋" w:eastAsia="仿宋" w:cs="仿宋"/>
          <w:b w:val="0"/>
          <w:bCs/>
          <w:color w:val="000000" w:themeColor="text1"/>
          <w:sz w:val="32"/>
          <w:szCs w:val="32"/>
        </w:rPr>
        <w:t>与上年预算数持平</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 w:hAnsi="仿宋" w:eastAsia="仿宋" w:cs="仿宋"/>
          <w:b w:val="0"/>
          <w:bCs/>
          <w:color w:val="000000" w:themeColor="text1"/>
          <w:sz w:val="32"/>
          <w:szCs w:val="32"/>
        </w:rPr>
        <w:t>与上年预算数持平</w:t>
      </w:r>
      <w:r>
        <w:rPr>
          <w:rFonts w:hint="eastAsia" w:ascii="仿宋_GB2312" w:eastAsia="仿宋_GB2312"/>
          <w:sz w:val="32"/>
          <w:szCs w:val="32"/>
          <w:highlight w:val="none"/>
        </w:rPr>
        <w:t>。</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ind w:firstLine="643" w:firstLineChars="200"/>
        <w:rPr>
          <w:rFonts w:ascii="仿宋_GB2312" w:eastAsia="仿宋_GB2312"/>
          <w:b/>
          <w:bCs/>
          <w:sz w:val="32"/>
          <w:szCs w:val="32"/>
        </w:rPr>
      </w:pPr>
      <w:r>
        <w:rPr>
          <w:rFonts w:hint="eastAsia" w:ascii="仿宋_GB2312" w:hAnsi="仿宋_GB2312" w:eastAsia="仿宋_GB2312" w:cs="仿宋_GB2312"/>
          <w:b/>
          <w:color w:val="000000"/>
          <w:sz w:val="32"/>
          <w:szCs w:val="32"/>
        </w:rPr>
        <w:t>1.</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2024年浙江开放大学德清学院</w:t>
      </w:r>
      <w:r>
        <w:rPr>
          <w:rFonts w:hint="eastAsia" w:ascii="仿宋_GB2312" w:eastAsia="仿宋_GB2312"/>
          <w:color w:val="000000"/>
          <w:sz w:val="32"/>
          <w:szCs w:val="32"/>
        </w:rPr>
        <w:t>各单位政府采购预算总额</w:t>
      </w:r>
      <w:r>
        <w:rPr>
          <w:rFonts w:ascii="仿宋_GB2312" w:eastAsia="仿宋_GB2312"/>
          <w:color w:val="000000"/>
          <w:sz w:val="32"/>
          <w:szCs w:val="32"/>
        </w:rPr>
        <w:t>136.78</w:t>
      </w:r>
      <w:r>
        <w:rPr>
          <w:rFonts w:hint="eastAsia" w:ascii="仿宋_GB2312" w:eastAsia="仿宋_GB2312"/>
          <w:color w:val="000000"/>
          <w:sz w:val="32"/>
          <w:szCs w:val="32"/>
        </w:rPr>
        <w:t>万元，其中：政府采购货物预算1.50万元、政府采购服务预算</w:t>
      </w:r>
      <w:r>
        <w:rPr>
          <w:rFonts w:ascii="仿宋_GB2312" w:eastAsia="仿宋_GB2312"/>
          <w:color w:val="000000"/>
          <w:sz w:val="32"/>
          <w:szCs w:val="32"/>
        </w:rPr>
        <w:t>135.28</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rPr>
        <w:t>3.国有资产占有使用情况。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w:t>
      </w:r>
      <w:r>
        <w:rPr>
          <w:rFonts w:hint="eastAsia" w:ascii="仿宋_GB2312" w:hAnsi="仿宋_GB2312" w:eastAsia="仿宋_GB2312" w:cs="仿宋_GB2312"/>
          <w:spacing w:val="6"/>
          <w:sz w:val="32"/>
          <w:szCs w:val="32"/>
          <w:lang w:eastAsia="zh-CN"/>
        </w:rPr>
        <w:t>浙江开放大学德清学院</w:t>
      </w:r>
      <w:r>
        <w:rPr>
          <w:rFonts w:hint="eastAsia" w:ascii="仿宋_GB2312" w:hAnsi="仿宋_GB2312" w:eastAsia="仿宋_GB2312" w:cs="仿宋_GB2312"/>
          <w:spacing w:val="6"/>
          <w:sz w:val="32"/>
          <w:szCs w:val="32"/>
        </w:rPr>
        <w:t>共有车辆</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highlight w:val="none"/>
        </w:rPr>
        <w:t>其他用车1辆</w:t>
      </w:r>
      <w:r>
        <w:rPr>
          <w:rFonts w:hint="eastAsia" w:ascii="仿宋_GB2312" w:hAnsi="仿宋_GB2312" w:eastAsia="仿宋_GB2312" w:cs="仿宋_GB2312"/>
          <w:sz w:val="32"/>
          <w:szCs w:val="32"/>
        </w:rPr>
        <w:t>。单位价值50万元以上通用设备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 </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w:t>
      </w:r>
      <w:r>
        <w:rPr>
          <w:rFonts w:hint="eastAsia" w:ascii="仿宋_GB2312" w:hAnsi="仿宋_GB2312" w:eastAsia="仿宋_GB2312" w:cs="仿宋_GB2312"/>
          <w:sz w:val="32"/>
          <w:szCs w:val="32"/>
          <w:lang w:eastAsia="zh-CN"/>
        </w:rPr>
        <w:t>单位</w:t>
      </w:r>
      <w:r>
        <w:rPr>
          <w:rFonts w:ascii="仿宋_GB2312" w:hAnsi="仿宋_GB2312" w:eastAsia="仿宋_GB2312" w:cs="仿宋_GB2312"/>
          <w:sz w:val="32"/>
          <w:szCs w:val="32"/>
        </w:rPr>
        <w:t>预算未安排购置车辆、单位价值50万元以上通用设备及单位价值100万元以上专用设备</w:t>
      </w:r>
      <w:r>
        <w:rPr>
          <w:rFonts w:hint="eastAsia" w:ascii="仿宋_GB2312" w:hAnsi="仿宋_GB2312" w:eastAsia="仿宋_GB2312" w:cs="仿宋_GB2312"/>
          <w:sz w:val="32"/>
          <w:szCs w:val="32"/>
        </w:rPr>
        <w:t>。</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4.预算绩效情况说明。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2024年浙江开放大学德清学院其他运转类项目和特定目标类项目均实行绩效目标管理，共计1个一级项目，涉及当年资金276.43万元。同时，将按照相关制度规定开展绩效自评。</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pStyle w:val="14"/>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8</w:t>
      </w:r>
      <w:r>
        <w:rPr>
          <w:rFonts w:hint="eastAsia" w:ascii="仿宋_GB2312" w:hAnsi="仿宋_GB2312" w:eastAsia="仿宋_GB2312"/>
          <w:sz w:val="32"/>
        </w:rPr>
        <w:t>．</w:t>
      </w:r>
      <w:r>
        <w:rPr>
          <w:rFonts w:hint="eastAsia" w:ascii="仿宋_GB2312" w:eastAsia="仿宋_GB2312"/>
          <w:sz w:val="32"/>
          <w:szCs w:val="32"/>
        </w:rPr>
        <w:t>教育支出(类)成人教育(款)成人中等教育(项)，主要用于各部门举办成人中等教育的支出。</w:t>
      </w:r>
    </w:p>
    <w:p>
      <w:pPr>
        <w:pStyle w:val="14"/>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9</w:t>
      </w:r>
      <w:r>
        <w:rPr>
          <w:rFonts w:hint="eastAsia" w:ascii="仿宋_GB2312" w:hAnsi="仿宋_GB2312" w:eastAsia="仿宋_GB2312"/>
          <w:sz w:val="32"/>
        </w:rPr>
        <w:t>．</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行政事业单位养老支出(款)行政单位离退休(项)，主要用于反映未实行归口管理的行政单位开支的离退休支出。</w:t>
      </w:r>
    </w:p>
    <w:p>
      <w:pPr>
        <w:pStyle w:val="14"/>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0</w:t>
      </w:r>
      <w:r>
        <w:rPr>
          <w:rFonts w:hint="eastAsia" w:ascii="仿宋_GB2312" w:hAnsi="仿宋_GB2312" w:eastAsia="仿宋_GB2312"/>
          <w:sz w:val="32"/>
        </w:rPr>
        <w:t>．</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行政事业单位养老支出(款)机关事业单位基本养老金保险缴费支出(项)，主要用于机关事业单位实施养老保险制度由单位缴纳的基本养老保险费的支出。</w:t>
      </w:r>
    </w:p>
    <w:p>
      <w:pPr>
        <w:pStyle w:val="14"/>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1</w:t>
      </w:r>
      <w:r>
        <w:rPr>
          <w:rFonts w:hint="eastAsia" w:ascii="仿宋_GB2312" w:hAnsi="仿宋_GB2312" w:eastAsia="仿宋_GB2312"/>
          <w:sz w:val="32"/>
        </w:rPr>
        <w:t>．</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行政事业单位养老支出(款)机关事业单位职业年金缴费支出(项)，主要用于机关事业单位实施养老保险制度由单位实际缴纳的职业年金支出。</w:t>
      </w:r>
    </w:p>
    <w:p>
      <w:pPr>
        <w:pStyle w:val="14"/>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2</w:t>
      </w:r>
      <w:r>
        <w:rPr>
          <w:rFonts w:hint="eastAsia" w:ascii="仿宋_GB2312" w:hAnsi="仿宋_GB2312" w:eastAsia="仿宋_GB2312"/>
          <w:sz w:val="32"/>
        </w:rPr>
        <w:t>．</w:t>
      </w:r>
      <w:r>
        <w:rPr>
          <w:rFonts w:hint="eastAsia" w:ascii="仿宋_GB2312" w:eastAsia="仿宋_GB2312"/>
          <w:sz w:val="32"/>
          <w:szCs w:val="32"/>
        </w:rPr>
        <w:t>卫生健康支出(类)行政事业单位医疗（款）事业单位医疗(项)，主要用于反映财政部门集中安排的事业单位基本医疗保险缴费经费，未参加医疗保险的事业单位的公费医疗经费，按国家规定享受离休人员待遇的医疗医疗经费。</w:t>
      </w:r>
    </w:p>
    <w:p>
      <w:pPr>
        <w:pStyle w:val="2"/>
        <w:spacing w:line="360" w:lineRule="auto"/>
        <w:ind w:firstLine="640"/>
        <w:rPr>
          <w:sz w:val="32"/>
          <w:szCs w:val="32"/>
        </w:rPr>
      </w:pPr>
      <w:r>
        <w:rPr>
          <w:sz w:val="32"/>
          <w:szCs w:val="32"/>
        </w:rPr>
        <w:t>1</w:t>
      </w:r>
      <w:r>
        <w:rPr>
          <w:rFonts w:hint="eastAsia"/>
          <w:sz w:val="32"/>
          <w:szCs w:val="32"/>
          <w:lang w:val="en-US" w:eastAsia="zh-CN"/>
        </w:rPr>
        <w:t>3</w:t>
      </w:r>
      <w:r>
        <w:rPr>
          <w:sz w:val="32"/>
        </w:rPr>
        <w:t>．</w:t>
      </w:r>
      <w:r>
        <w:rPr>
          <w:sz w:val="32"/>
          <w:szCs w:val="32"/>
        </w:rPr>
        <w:t>卫生健康支出(类)行政事业单位医疗（款）公务员医疗补助（项），主要用于财政部门集中安排的公务员医疗补助经费。</w:t>
      </w:r>
    </w:p>
    <w:p>
      <w:pPr>
        <w:spacing w:line="520" w:lineRule="exact"/>
        <w:ind w:firstLine="640" w:firstLineChars="200"/>
        <w:rPr>
          <w:rStyle w:val="9"/>
          <w:rFonts w:ascii="黑体" w:eastAsia="黑体"/>
          <w:b w:val="0"/>
          <w:color w:val="000000"/>
          <w:sz w:val="32"/>
          <w:szCs w:val="32"/>
        </w:rPr>
      </w:pPr>
      <w:r>
        <w:rPr>
          <w:rStyle w:val="9"/>
          <w:rFonts w:hint="eastAsia" w:ascii="黑体" w:eastAsia="黑体"/>
          <w:b w:val="0"/>
          <w:color w:val="000000"/>
          <w:sz w:val="32"/>
          <w:szCs w:val="32"/>
        </w:rPr>
        <w:t>四、2024年浙江开放大学德清学院单位预算表</w:t>
      </w:r>
    </w:p>
    <w:p>
      <w:pPr>
        <w:spacing w:line="520" w:lineRule="exact"/>
      </w:pP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6"/>
          <w:cols w:space="425" w:num="1"/>
          <w:docGrid w:type="lines" w:linePitch="312" w:charSpace="0"/>
        </w:sectPr>
      </w:pPr>
    </w:p>
    <w:p>
      <w:pPr>
        <w:pStyle w:val="2"/>
        <w:sectPr>
          <w:pgSz w:w="16838" w:h="11906" w:orient="landscape"/>
          <w:pgMar w:top="1800" w:right="1440" w:bottom="1800" w:left="1440" w:header="851" w:footer="992" w:gutter="0"/>
          <w:pgNumType w:start="6"/>
          <w:cols w:space="425" w:num="1"/>
          <w:docGrid w:type="lines" w:linePitch="312" w:charSpace="0"/>
        </w:sectPr>
      </w:pPr>
      <w:r>
        <w:object>
          <v:shape id="_x0000_i1025" o:spt="75" type="#_x0000_t75" style="height:339.45pt;width:697.8pt;" o:ole="t" filled="f" o:preferrelative="t" stroked="f" coordsize="21600,21600">
            <v:path/>
            <v:fill on="f" focussize="0,0"/>
            <v:stroke on="f"/>
            <v:imagedata r:id="rId11" o:title=""/>
            <o:lock v:ext="edit" aspectratio="f"/>
            <w10:wrap type="none"/>
            <w10:anchorlock/>
          </v:shape>
          <o:OLEObject Type="Embed" ProgID="Excel.Sheet.8" ShapeID="_x0000_i1025" DrawAspect="Content" ObjectID="_1468075725" r:id="rId10">
            <o:LockedField>false</o:LockedField>
          </o:OLEObject>
        </w:object>
      </w:r>
    </w:p>
    <w:p>
      <w:pPr>
        <w:pStyle w:val="2"/>
        <w:sectPr>
          <w:pgSz w:w="16838" w:h="11906" w:orient="landscape"/>
          <w:pgMar w:top="1800" w:right="1440" w:bottom="1800" w:left="1440" w:header="851" w:footer="992" w:gutter="0"/>
          <w:pgNumType w:start="6"/>
          <w:cols w:space="425" w:num="1"/>
          <w:docGrid w:type="lines" w:linePitch="312" w:charSpace="0"/>
        </w:sectPr>
      </w:pPr>
      <w:r>
        <w:object>
          <v:shape id="_x0000_i1026" o:spt="75" type="#_x0000_t75" style="height:124.15pt;width:696.75pt;" o:ole="t" filled="f" o:preferrelative="t" stroked="f" coordsize="21600,21600">
            <v:path/>
            <v:fill on="f" focussize="0,0"/>
            <v:stroke on="f"/>
            <v:imagedata r:id="rId13" o:title=""/>
            <o:lock v:ext="edit" aspectratio="f"/>
            <w10:wrap type="none"/>
            <w10:anchorlock/>
          </v:shape>
          <o:OLEObject Type="Embed" ProgID="Excel.Sheet.8" ShapeID="_x0000_i1026" DrawAspect="Content" ObjectID="_1468075726" r:id="rId12">
            <o:LockedField>false</o:LockedField>
          </o:OLEObject>
        </w:object>
      </w:r>
    </w:p>
    <w:p>
      <w:pPr>
        <w:pStyle w:val="2"/>
        <w:sectPr>
          <w:pgSz w:w="16838" w:h="11906" w:orient="landscape"/>
          <w:pgMar w:top="1800" w:right="1440" w:bottom="1800" w:left="1440" w:header="851" w:footer="992" w:gutter="0"/>
          <w:pgNumType w:start="6"/>
          <w:cols w:space="425" w:num="1"/>
          <w:docGrid w:type="lines" w:linePitch="312" w:charSpace="0"/>
        </w:sectPr>
      </w:pPr>
      <w:r>
        <w:object>
          <v:shape id="_x0000_i1027" o:spt="75" type="#_x0000_t75" style="height:350.2pt;width:697.7pt;" o:ole="t" filled="f" o:preferrelative="t" stroked="f" coordsize="21600,21600">
            <v:path/>
            <v:fill on="f" focussize="0,0"/>
            <v:stroke on="f"/>
            <v:imagedata r:id="rId15" o:title=""/>
            <o:lock v:ext="edit" aspectratio="f"/>
            <w10:wrap type="none"/>
            <w10:anchorlock/>
          </v:shape>
          <o:OLEObject Type="Embed" ProgID="Excel.Sheet.8" ShapeID="_x0000_i1027" DrawAspect="Content" ObjectID="_1468075727" r:id="rId14">
            <o:LockedField>false</o:LockedField>
          </o:OLEObject>
        </w:object>
      </w:r>
    </w:p>
    <w:p>
      <w:pPr>
        <w:pStyle w:val="2"/>
        <w:sectPr>
          <w:pgSz w:w="16838" w:h="11906" w:orient="landscape"/>
          <w:pgMar w:top="1800" w:right="1440" w:bottom="1800" w:left="1440" w:header="851" w:footer="992" w:gutter="0"/>
          <w:pgNumType w:start="6"/>
          <w:cols w:space="425" w:num="1"/>
          <w:docGrid w:type="lines" w:linePitch="312" w:charSpace="0"/>
        </w:sectPr>
      </w:pPr>
      <w:r>
        <w:object>
          <v:shape id="_x0000_i1028" o:spt="75" type="#_x0000_t75" style="height:340.65pt;width:697.8pt;" o:ole="t" filled="f" o:preferrelative="t" stroked="f" coordsize="21600,21600">
            <v:path/>
            <v:fill on="f" focussize="0,0"/>
            <v:stroke on="f"/>
            <v:imagedata r:id="rId17" o:title=""/>
            <o:lock v:ext="edit" aspectratio="f"/>
            <w10:wrap type="none"/>
            <w10:anchorlock/>
          </v:shape>
          <o:OLEObject Type="Embed" ProgID="Excel.Sheet.8" ShapeID="_x0000_i1028" DrawAspect="Content" ObjectID="_1468075728" r:id="rId16">
            <o:LockedField>false</o:LockedField>
          </o:OLEObject>
        </w:object>
      </w:r>
    </w:p>
    <w:p>
      <w:pPr>
        <w:pStyle w:val="2"/>
        <w:sectPr>
          <w:pgSz w:w="16838" w:h="11906" w:orient="landscape"/>
          <w:pgMar w:top="1800" w:right="1440" w:bottom="1800" w:left="1440" w:header="851" w:footer="992" w:gutter="0"/>
          <w:pgNumType w:start="6"/>
          <w:cols w:space="425" w:num="1"/>
          <w:docGrid w:type="lines" w:linePitch="312" w:charSpace="0"/>
        </w:sectPr>
      </w:pPr>
      <w:r>
        <w:object>
          <v:shape id="_x0000_i1029" o:spt="75" type="#_x0000_t75" style="height:379.7pt;width:697.4pt;" o:ole="t" filled="f" o:preferrelative="t" stroked="f" coordsize="21600,21600">
            <v:path/>
            <v:fill on="f" focussize="0,0"/>
            <v:stroke on="f"/>
            <v:imagedata r:id="rId19" o:title=""/>
            <o:lock v:ext="edit" aspectratio="f"/>
            <w10:wrap type="none"/>
            <w10:anchorlock/>
          </v:shape>
          <o:OLEObject Type="Embed" ProgID="Excel.Sheet.8" ShapeID="_x0000_i1029" DrawAspect="Content" ObjectID="_1468075729" r:id="rId18">
            <o:LockedField>false</o:LockedField>
          </o:OLEObject>
        </w:object>
      </w:r>
    </w:p>
    <w:p>
      <w:pPr>
        <w:pStyle w:val="2"/>
        <w:sectPr>
          <w:pgSz w:w="16838" w:h="11906" w:orient="landscape"/>
          <w:pgMar w:top="1800" w:right="1440" w:bottom="1800" w:left="1440" w:header="851" w:footer="992" w:gutter="0"/>
          <w:pgNumType w:start="6"/>
          <w:cols w:space="425" w:num="1"/>
          <w:docGrid w:type="lines" w:linePitch="312" w:charSpace="0"/>
        </w:sectPr>
      </w:pPr>
      <w:r>
        <w:object>
          <v:shape id="_x0000_i1030" o:spt="75" type="#_x0000_t75" style="height:400.45pt;width:677.15pt;" o:ole="t" filled="f" o:preferrelative="t" stroked="f" coordsize="21600,21600">
            <v:path/>
            <v:fill on="f" focussize="0,0"/>
            <v:stroke on="f"/>
            <v:imagedata r:id="rId21" o:title=""/>
            <o:lock v:ext="edit" aspectratio="f"/>
            <w10:wrap type="none"/>
            <w10:anchorlock/>
          </v:shape>
          <o:OLEObject Type="Embed" ProgID="Excel.Sheet.8" ShapeID="_x0000_i1030" DrawAspect="Content" ObjectID="_1468075730" r:id="rId20">
            <o:LockedField>false</o:LockedField>
          </o:OLEObject>
        </w:object>
      </w:r>
    </w:p>
    <w:p>
      <w:pPr>
        <w:pStyle w:val="2"/>
      </w:pPr>
      <w:r>
        <w:object>
          <v:shape id="_x0000_i1036" o:spt="75" type="#_x0000_t75" style="height:192.75pt;width:609.75pt;" o:ole="t" filled="f" o:preferrelative="t" stroked="f" coordsize="21600,21600">
            <v:path/>
            <v:fill on="f" focussize="0,0"/>
            <v:stroke on="f"/>
            <v:imagedata r:id="rId23" o:title=""/>
            <o:lock v:ext="edit" aspectratio="f"/>
            <w10:wrap type="none"/>
            <w10:anchorlock/>
          </v:shape>
          <o:OLEObject Type="Embed" ProgID="Excel.Sheet.8" ShapeID="_x0000_i1036" DrawAspect="Content" ObjectID="_1468075731" r:id="rId22">
            <o:LockedField>false</o:LockedField>
          </o:OLEObject>
        </w:object>
      </w:r>
    </w:p>
    <w:p>
      <w:pPr>
        <w:pStyle w:val="2"/>
      </w:pPr>
    </w:p>
    <w:p>
      <w:pPr>
        <w:pStyle w:val="2"/>
      </w:pPr>
    </w:p>
    <w:p>
      <w:pPr>
        <w:pStyle w:val="2"/>
      </w:pPr>
      <w:r>
        <w:rPr>
          <w:rFonts w:hint="eastAsia" w:ascii="宋体" w:hAnsi="宋体" w:eastAsiaTheme="majorEastAsia"/>
          <w:b/>
          <w:sz w:val="28"/>
          <w:szCs w:val="28"/>
          <w:u w:val="none"/>
          <w:lang w:eastAsia="zh-CN"/>
        </w:rPr>
        <w:t>浙江开放大学德清学院</w:t>
      </w:r>
      <w:r>
        <w:rPr>
          <w:rFonts w:hint="eastAsia" w:asciiTheme="majorEastAsia" w:hAnsiTheme="majorEastAsia" w:eastAsiaTheme="majorEastAsia"/>
          <w:b/>
          <w:sz w:val="28"/>
          <w:szCs w:val="28"/>
          <w:u w:val="none"/>
        </w:rPr>
        <w:t>当年</w:t>
      </w:r>
      <w:r>
        <w:rPr>
          <w:rFonts w:hint="eastAsia" w:ascii="宋体" w:hAnsi="宋体"/>
          <w:b/>
          <w:sz w:val="28"/>
          <w:szCs w:val="28"/>
          <w:u w:val="none"/>
        </w:rPr>
        <w:t>没有</w:t>
      </w:r>
      <w:r>
        <w:rPr>
          <w:rFonts w:hint="eastAsia" w:ascii="宋体" w:hAnsi="宋体"/>
          <w:b/>
          <w:sz w:val="28"/>
          <w:szCs w:val="28"/>
          <w:u w:val="none"/>
          <w:lang w:val="en-US" w:eastAsia="zh-CN"/>
        </w:rPr>
        <w:t>一般公共预算“三公”经费</w:t>
      </w:r>
      <w:bookmarkStart w:id="0" w:name="_GoBack"/>
      <w:bookmarkEnd w:id="0"/>
      <w:r>
        <w:rPr>
          <w:rFonts w:hint="eastAsia" w:ascii="宋体" w:hAnsi="宋体"/>
          <w:b/>
          <w:sz w:val="28"/>
          <w:szCs w:val="28"/>
          <w:u w:val="none"/>
        </w:rPr>
        <w:t>安排的支出，故本表无数据</w:t>
      </w:r>
    </w:p>
    <w:p>
      <w:pPr>
        <w:pStyle w:val="2"/>
        <w:sectPr>
          <w:pgSz w:w="16838" w:h="11906" w:orient="landscape"/>
          <w:pgMar w:top="1800" w:right="1440" w:bottom="1800" w:left="1440" w:header="851" w:footer="992" w:gutter="0"/>
          <w:pgNumType w:start="6"/>
          <w:cols w:space="425" w:num="1"/>
          <w:docGrid w:type="lines" w:linePitch="312" w:charSpace="0"/>
        </w:sectPr>
      </w:pPr>
    </w:p>
    <w:p>
      <w:pPr>
        <w:pStyle w:val="2"/>
      </w:pPr>
      <w:r>
        <w:object>
          <v:shape id="_x0000_i1032" o:spt="75" type="#_x0000_t75" style="height:146.4pt;width:697.7pt;" o:ole="t" filled="f" o:preferrelative="t" stroked="f" coordsize="21600,21600">
            <v:path/>
            <v:fill on="f" focussize="0,0"/>
            <v:stroke on="f"/>
            <v:imagedata r:id="rId25" o:title=""/>
            <o:lock v:ext="edit" aspectratio="f"/>
            <w10:wrap type="none"/>
            <w10:anchorlock/>
          </v:shape>
          <o:OLEObject Type="Embed" ProgID="Excel.Sheet.8" ShapeID="_x0000_i1032" DrawAspect="Content" ObjectID="_1468075732" r:id="rId24">
            <o:LockedField>false</o:LockedField>
          </o:OLEObject>
        </w:object>
      </w:r>
    </w:p>
    <w:p>
      <w:pPr>
        <w:pStyle w:val="2"/>
      </w:pPr>
    </w:p>
    <w:p>
      <w:pPr>
        <w:pStyle w:val="2"/>
      </w:pPr>
      <w:r>
        <w:rPr>
          <w:rFonts w:hint="eastAsia" w:ascii="宋体" w:hAnsi="宋体" w:eastAsiaTheme="majorEastAsia"/>
          <w:b/>
          <w:sz w:val="28"/>
          <w:szCs w:val="28"/>
          <w:u w:val="none"/>
          <w:lang w:eastAsia="zh-CN"/>
        </w:rPr>
        <w:t>浙江开放大学德清学院</w:t>
      </w:r>
      <w:r>
        <w:rPr>
          <w:rFonts w:hint="eastAsia" w:asciiTheme="majorEastAsia" w:hAnsiTheme="majorEastAsia" w:eastAsiaTheme="majorEastAsia"/>
          <w:b/>
          <w:sz w:val="28"/>
          <w:szCs w:val="28"/>
          <w:u w:val="none"/>
        </w:rPr>
        <w:t>当年</w:t>
      </w:r>
      <w:r>
        <w:rPr>
          <w:rFonts w:hint="eastAsia" w:ascii="宋体" w:hAnsi="宋体"/>
          <w:b/>
          <w:sz w:val="28"/>
          <w:szCs w:val="28"/>
          <w:u w:val="none"/>
        </w:rPr>
        <w:t>没有政府性基金拨款安排的支出，故本表无数据</w:t>
      </w:r>
    </w:p>
    <w:p>
      <w:pPr>
        <w:pStyle w:val="2"/>
        <w:sectPr>
          <w:pgSz w:w="16838" w:h="11906" w:orient="landscape"/>
          <w:pgMar w:top="1800" w:right="1440" w:bottom="1800" w:left="1440" w:header="851" w:footer="992" w:gutter="0"/>
          <w:pgNumType w:start="6"/>
          <w:cols w:space="425" w:num="1"/>
          <w:docGrid w:type="lines" w:linePitch="312" w:charSpace="0"/>
        </w:sectPr>
      </w:pPr>
    </w:p>
    <w:p>
      <w:pPr>
        <w:pStyle w:val="2"/>
      </w:pPr>
      <w:r>
        <w:object>
          <v:shape id="_x0000_i1033" o:spt="75" type="#_x0000_t75" style="height:123.1pt;width:697.7pt;" o:ole="t" filled="f" o:preferrelative="t" stroked="f" coordsize="21600,21600">
            <v:path/>
            <v:fill on="f" focussize="0,0"/>
            <v:stroke on="f"/>
            <v:imagedata r:id="rId27" o:title=""/>
            <o:lock v:ext="edit" aspectratio="f"/>
            <w10:wrap type="none"/>
            <w10:anchorlock/>
          </v:shape>
          <o:OLEObject Type="Embed" ProgID="Excel.Sheet.8" ShapeID="_x0000_i1033" DrawAspect="Content" ObjectID="_1468075733" r:id="rId26">
            <o:LockedField>false</o:LockedField>
          </o:OLEObject>
        </w:object>
      </w:r>
    </w:p>
    <w:p>
      <w:pPr>
        <w:pStyle w:val="2"/>
      </w:pPr>
    </w:p>
    <w:p>
      <w:pPr>
        <w:pStyle w:val="2"/>
      </w:pPr>
      <w:r>
        <w:rPr>
          <w:rFonts w:hint="eastAsia" w:ascii="宋体" w:hAnsi="宋体" w:eastAsiaTheme="majorEastAsia"/>
          <w:b/>
          <w:sz w:val="28"/>
          <w:szCs w:val="28"/>
          <w:u w:val="none"/>
          <w:lang w:eastAsia="zh-CN"/>
        </w:rPr>
        <w:t>浙江开放大学德清学院</w:t>
      </w:r>
      <w:r>
        <w:rPr>
          <w:rFonts w:hint="eastAsia" w:asciiTheme="majorEastAsia" w:hAnsiTheme="majorEastAsia" w:eastAsiaTheme="majorEastAsia"/>
          <w:b/>
          <w:sz w:val="28"/>
          <w:szCs w:val="28"/>
          <w:u w:val="none"/>
        </w:rPr>
        <w:t>当年</w:t>
      </w:r>
      <w:r>
        <w:rPr>
          <w:rFonts w:hint="eastAsia" w:ascii="宋体" w:hAnsi="宋体"/>
          <w:b/>
          <w:sz w:val="28"/>
          <w:szCs w:val="28"/>
          <w:u w:val="none"/>
        </w:rPr>
        <w:t>没有国有资本经营预算拨款安排的支出，故本表无数据</w:t>
      </w:r>
    </w:p>
    <w:p>
      <w:pPr>
        <w:pStyle w:val="2"/>
      </w:pPr>
    </w:p>
    <w:p>
      <w:pPr>
        <w:pStyle w:val="2"/>
        <w:sectPr>
          <w:pgSz w:w="16838" w:h="11906" w:orient="landscape"/>
          <w:pgMar w:top="1800" w:right="1440" w:bottom="1800" w:left="1440" w:header="851" w:footer="992" w:gutter="0"/>
          <w:pgNumType w:start="6"/>
          <w:cols w:space="425" w:num="1"/>
          <w:docGrid w:type="lines" w:linePitch="312" w:charSpace="0"/>
        </w:sectPr>
      </w:pPr>
    </w:p>
    <w:p>
      <w:pPr>
        <w:pStyle w:val="2"/>
        <w:sectPr>
          <w:pgSz w:w="16838" w:h="11906" w:orient="landscape"/>
          <w:pgMar w:top="1800" w:right="1440" w:bottom="1800" w:left="1440" w:header="851" w:footer="992" w:gutter="0"/>
          <w:pgNumType w:start="6"/>
          <w:cols w:space="425" w:num="1"/>
          <w:docGrid w:type="lines" w:linePitch="312" w:charSpace="0"/>
        </w:sectPr>
      </w:pPr>
      <w:r>
        <w:object>
          <v:shape id="_x0000_i1034" o:spt="75" type="#_x0000_t75" style="height:169.25pt;width:697.55pt;" o:ole="t" filled="f" o:preferrelative="t" stroked="f" coordsize="21600,21600">
            <v:path/>
            <v:fill on="f" focussize="0,0"/>
            <v:stroke on="f"/>
            <v:imagedata r:id="rId29" o:title=""/>
            <o:lock v:ext="edit" aspectratio="f"/>
            <w10:wrap type="none"/>
            <w10:anchorlock/>
          </v:shape>
          <o:OLEObject Type="Embed" ProgID="Excel.Sheet.8" ShapeID="_x0000_i1034" DrawAspect="Content" ObjectID="_1468075734" r:id="rId28">
            <o:LockedField>false</o:LockedField>
          </o:OLEObject>
        </w:object>
      </w:r>
    </w:p>
    <w:p>
      <w:pPr>
        <w:pStyle w:val="2"/>
      </w:pPr>
      <w:r>
        <w:object>
          <v:shape id="_x0000_i1035" o:spt="75" type="#_x0000_t75" style="height:220.1pt;width:697.55pt;" o:ole="t" filled="f" o:preferrelative="t" stroked="f" coordsize="21600,21600">
            <v:path/>
            <v:fill on="f" focussize="0,0"/>
            <v:stroke on="f"/>
            <v:imagedata r:id="rId31" o:title=""/>
            <o:lock v:ext="edit" aspectratio="f"/>
            <w10:wrap type="none"/>
            <w10:anchorlock/>
          </v:shape>
          <o:OLEObject Type="Embed" ProgID="Excel.Sheet.8" ShapeID="_x0000_i1035" DrawAspect="Content" ObjectID="_1468075735" r:id="rId30">
            <o:LockedField>false</o:LockedField>
          </o:OLEObject>
        </w:object>
      </w:r>
    </w:p>
    <w:sectPr>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2"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3861B0"/>
    <w:multiLevelType w:val="singleLevel"/>
    <w:tmpl w:val="143861B0"/>
    <w:lvl w:ilvl="0" w:tentative="0">
      <w:start w:val="3"/>
      <w:numFmt w:val="decimal"/>
      <w:lvlText w:val="%1."/>
      <w:lvlJc w:val="left"/>
      <w:pPr>
        <w:tabs>
          <w:tab w:val="left" w:pos="312"/>
        </w:tabs>
        <w:ind w:left="963" w:firstLine="0"/>
      </w:pPr>
    </w:lvl>
  </w:abstractNum>
  <w:abstractNum w:abstractNumId="1">
    <w:nsid w:val="5895A99C"/>
    <w:multiLevelType w:val="singleLevel"/>
    <w:tmpl w:val="5895A99C"/>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ZlMTU2MTUxZjg1Mjc0YzNiZGZiMTkyYjM5MWMwMTAifQ=="/>
  </w:docVars>
  <w:rsids>
    <w:rsidRoot w:val="0018453C"/>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72A55"/>
    <w:rsid w:val="003A54FF"/>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925CD"/>
    <w:rsid w:val="00E95C9E"/>
    <w:rsid w:val="00ED0384"/>
    <w:rsid w:val="00F23B56"/>
    <w:rsid w:val="00F56A05"/>
    <w:rsid w:val="00F7116F"/>
    <w:rsid w:val="01405C62"/>
    <w:rsid w:val="01F263DB"/>
    <w:rsid w:val="01F37A98"/>
    <w:rsid w:val="01F648EB"/>
    <w:rsid w:val="024C6702"/>
    <w:rsid w:val="026505B4"/>
    <w:rsid w:val="028630A1"/>
    <w:rsid w:val="02FD4879"/>
    <w:rsid w:val="038C7FF1"/>
    <w:rsid w:val="03AA3E3B"/>
    <w:rsid w:val="03EA5C50"/>
    <w:rsid w:val="04600135"/>
    <w:rsid w:val="04723EDD"/>
    <w:rsid w:val="05054F3D"/>
    <w:rsid w:val="05F46152"/>
    <w:rsid w:val="05F835B0"/>
    <w:rsid w:val="06113422"/>
    <w:rsid w:val="063B27DE"/>
    <w:rsid w:val="065E25EC"/>
    <w:rsid w:val="06835E42"/>
    <w:rsid w:val="07487AC1"/>
    <w:rsid w:val="07623DA7"/>
    <w:rsid w:val="07686F86"/>
    <w:rsid w:val="081119C7"/>
    <w:rsid w:val="08602EE2"/>
    <w:rsid w:val="08DE4DFD"/>
    <w:rsid w:val="09B9268A"/>
    <w:rsid w:val="09D0600C"/>
    <w:rsid w:val="0A1D1E06"/>
    <w:rsid w:val="0A4C7CCD"/>
    <w:rsid w:val="0B486D9D"/>
    <w:rsid w:val="0B4F52A1"/>
    <w:rsid w:val="0B652DFD"/>
    <w:rsid w:val="0B654246"/>
    <w:rsid w:val="0BD448F3"/>
    <w:rsid w:val="0C7B7749"/>
    <w:rsid w:val="0CE2397A"/>
    <w:rsid w:val="0CEE5818"/>
    <w:rsid w:val="0DDF3EA9"/>
    <w:rsid w:val="0EF76BAE"/>
    <w:rsid w:val="0F0A0BC6"/>
    <w:rsid w:val="0F0F20F9"/>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35B95"/>
    <w:rsid w:val="18EF3804"/>
    <w:rsid w:val="195C3A7E"/>
    <w:rsid w:val="1A2375F0"/>
    <w:rsid w:val="1A2A15A2"/>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8243AD"/>
    <w:rsid w:val="20950267"/>
    <w:rsid w:val="20C21B5F"/>
    <w:rsid w:val="20D8491F"/>
    <w:rsid w:val="2163103A"/>
    <w:rsid w:val="217D79B3"/>
    <w:rsid w:val="219B3B12"/>
    <w:rsid w:val="21ED35E0"/>
    <w:rsid w:val="21F8300E"/>
    <w:rsid w:val="22C3257C"/>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78110B"/>
    <w:rsid w:val="2ED263DE"/>
    <w:rsid w:val="2EEF0EE8"/>
    <w:rsid w:val="2F312BD6"/>
    <w:rsid w:val="2F4F315F"/>
    <w:rsid w:val="2F5260FE"/>
    <w:rsid w:val="2F78760A"/>
    <w:rsid w:val="30044970"/>
    <w:rsid w:val="30780EC9"/>
    <w:rsid w:val="31651329"/>
    <w:rsid w:val="31C46552"/>
    <w:rsid w:val="31EC7268"/>
    <w:rsid w:val="32691E0F"/>
    <w:rsid w:val="33722AF4"/>
    <w:rsid w:val="339F6CDD"/>
    <w:rsid w:val="344952F9"/>
    <w:rsid w:val="34F20284"/>
    <w:rsid w:val="3619346A"/>
    <w:rsid w:val="366152C5"/>
    <w:rsid w:val="37984381"/>
    <w:rsid w:val="37DD34EA"/>
    <w:rsid w:val="3859649B"/>
    <w:rsid w:val="386D2696"/>
    <w:rsid w:val="38CA384A"/>
    <w:rsid w:val="39227B1B"/>
    <w:rsid w:val="39406911"/>
    <w:rsid w:val="39850296"/>
    <w:rsid w:val="39C26750"/>
    <w:rsid w:val="3A7F1D43"/>
    <w:rsid w:val="3A8D223E"/>
    <w:rsid w:val="3B111C96"/>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5F67B77"/>
    <w:rsid w:val="46181B9F"/>
    <w:rsid w:val="46B73DB3"/>
    <w:rsid w:val="46B85A12"/>
    <w:rsid w:val="46C20ABF"/>
    <w:rsid w:val="471C5409"/>
    <w:rsid w:val="475E76EE"/>
    <w:rsid w:val="47B54AE2"/>
    <w:rsid w:val="481F1F7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597784"/>
    <w:rsid w:val="4EA45B39"/>
    <w:rsid w:val="4EED2017"/>
    <w:rsid w:val="4F2E2211"/>
    <w:rsid w:val="4F4E78CD"/>
    <w:rsid w:val="4FA62E1E"/>
    <w:rsid w:val="4FAC0AB2"/>
    <w:rsid w:val="4FC809F8"/>
    <w:rsid w:val="4FE85961"/>
    <w:rsid w:val="50072C4D"/>
    <w:rsid w:val="50341189"/>
    <w:rsid w:val="50837233"/>
    <w:rsid w:val="514C5668"/>
    <w:rsid w:val="51513799"/>
    <w:rsid w:val="518C29B6"/>
    <w:rsid w:val="51ED0FB3"/>
    <w:rsid w:val="52170DB7"/>
    <w:rsid w:val="521A36CE"/>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40122A"/>
    <w:rsid w:val="565F6886"/>
    <w:rsid w:val="56BC237C"/>
    <w:rsid w:val="56CD4B4D"/>
    <w:rsid w:val="57077EAB"/>
    <w:rsid w:val="575C7815"/>
    <w:rsid w:val="57742C09"/>
    <w:rsid w:val="5798381B"/>
    <w:rsid w:val="57D4447A"/>
    <w:rsid w:val="57E7218B"/>
    <w:rsid w:val="57F17B50"/>
    <w:rsid w:val="57F759F2"/>
    <w:rsid w:val="585447AE"/>
    <w:rsid w:val="58AF736D"/>
    <w:rsid w:val="58EC4DE1"/>
    <w:rsid w:val="58FC3501"/>
    <w:rsid w:val="596B72CE"/>
    <w:rsid w:val="59B3494A"/>
    <w:rsid w:val="59EB1B1F"/>
    <w:rsid w:val="59EC6E24"/>
    <w:rsid w:val="5A025174"/>
    <w:rsid w:val="5A0B2520"/>
    <w:rsid w:val="5A186813"/>
    <w:rsid w:val="5A3B2376"/>
    <w:rsid w:val="5A40591F"/>
    <w:rsid w:val="5A6F0692"/>
    <w:rsid w:val="5ABE44A6"/>
    <w:rsid w:val="5ABF2E42"/>
    <w:rsid w:val="5B586398"/>
    <w:rsid w:val="5B916903"/>
    <w:rsid w:val="5BEF472E"/>
    <w:rsid w:val="5C932202"/>
    <w:rsid w:val="5CC87E6F"/>
    <w:rsid w:val="5CD918EA"/>
    <w:rsid w:val="5D247D3D"/>
    <w:rsid w:val="5D373808"/>
    <w:rsid w:val="5DAE1AC9"/>
    <w:rsid w:val="5DCA0B67"/>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C32075"/>
    <w:rsid w:val="63F321C7"/>
    <w:rsid w:val="64C20A08"/>
    <w:rsid w:val="64F06443"/>
    <w:rsid w:val="65737FB9"/>
    <w:rsid w:val="65C94540"/>
    <w:rsid w:val="65DF5ECF"/>
    <w:rsid w:val="661D7FD4"/>
    <w:rsid w:val="662D5D9A"/>
    <w:rsid w:val="665A45AE"/>
    <w:rsid w:val="66A662C4"/>
    <w:rsid w:val="66DE2D4E"/>
    <w:rsid w:val="66FD3A95"/>
    <w:rsid w:val="67222B8A"/>
    <w:rsid w:val="679D182D"/>
    <w:rsid w:val="67BB6396"/>
    <w:rsid w:val="68794E30"/>
    <w:rsid w:val="687B5327"/>
    <w:rsid w:val="688621C1"/>
    <w:rsid w:val="68C15BDE"/>
    <w:rsid w:val="69025709"/>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58807C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181A92"/>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2811F6"/>
    <w:rsid w:val="7F346A78"/>
    <w:rsid w:val="7F5E6D3A"/>
    <w:rsid w:val="7FA57776"/>
    <w:rsid w:val="7FBB3CBB"/>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image" Target="media/image11.emf"/><Relationship Id="rId30" Type="http://schemas.openxmlformats.org/officeDocument/2006/relationships/oleObject" Target="embeddings/oleObject11.bin"/><Relationship Id="rId3" Type="http://schemas.openxmlformats.org/officeDocument/2006/relationships/header" Target="header1.xml"/><Relationship Id="rId29" Type="http://schemas.openxmlformats.org/officeDocument/2006/relationships/image" Target="media/image10.emf"/><Relationship Id="rId28" Type="http://schemas.openxmlformats.org/officeDocument/2006/relationships/oleObject" Target="embeddings/oleObject10.bin"/><Relationship Id="rId27" Type="http://schemas.openxmlformats.org/officeDocument/2006/relationships/image" Target="media/image9.emf"/><Relationship Id="rId26" Type="http://schemas.openxmlformats.org/officeDocument/2006/relationships/oleObject" Target="embeddings/oleObject9.bin"/><Relationship Id="rId25" Type="http://schemas.openxmlformats.org/officeDocument/2006/relationships/image" Target="media/image8.emf"/><Relationship Id="rId24" Type="http://schemas.openxmlformats.org/officeDocument/2006/relationships/oleObject" Target="embeddings/oleObject8.bin"/><Relationship Id="rId23" Type="http://schemas.openxmlformats.org/officeDocument/2006/relationships/image" Target="media/image7.emf"/><Relationship Id="rId22" Type="http://schemas.openxmlformats.org/officeDocument/2006/relationships/oleObject" Target="embeddings/oleObject7.bin"/><Relationship Id="rId21" Type="http://schemas.openxmlformats.org/officeDocument/2006/relationships/image" Target="media/image6.e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5.emf"/><Relationship Id="rId18" Type="http://schemas.openxmlformats.org/officeDocument/2006/relationships/oleObject" Target="embeddings/oleObject5.bin"/><Relationship Id="rId17" Type="http://schemas.openxmlformats.org/officeDocument/2006/relationships/image" Target="media/image4.emf"/><Relationship Id="rId16" Type="http://schemas.openxmlformats.org/officeDocument/2006/relationships/oleObject" Target="embeddings/oleObject4.bin"/><Relationship Id="rId15" Type="http://schemas.openxmlformats.org/officeDocument/2006/relationships/image" Target="media/image3.emf"/><Relationship Id="rId14" Type="http://schemas.openxmlformats.org/officeDocument/2006/relationships/oleObject" Target="embeddings/oleObject3.bin"/><Relationship Id="rId13" Type="http://schemas.openxmlformats.org/officeDocument/2006/relationships/image" Target="media/image2.emf"/><Relationship Id="rId12" Type="http://schemas.openxmlformats.org/officeDocument/2006/relationships/oleObject" Target="embeddings/oleObject2.bin"/><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xc</Company>
  <Pages>19</Pages>
  <Words>9627</Words>
  <Characters>17492</Characters>
  <Lines>145</Lines>
  <Paragraphs>54</Paragraphs>
  <TotalTime>1</TotalTime>
  <ScaleCrop>false</ScaleCrop>
  <LinksUpToDate>false</LinksUpToDate>
  <CharactersWithSpaces>27065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Administrator</cp:lastModifiedBy>
  <dcterms:modified xsi:type="dcterms:W3CDTF">2024-03-11T17:33:57Z</dcterms:modified>
  <dc:title>关于2019年部门预算的批复</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