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firstLineChars="0" w:firstLine="0"/>
        <w:jc w:val="center"/>
        <w:textAlignment w:val="auto"/>
        <w:rPr>
          <w:rFonts w:ascii="Times New Roman" w:eastAsia="方正小标宋简体" w:cs="Times New Roman" w:hAnsi="Times New Roman"/>
          <w:color w:val="auto"/>
          <w:sz w:val="44"/>
          <w:szCs w:val="44"/>
        </w:rPr>
      </w:pPr>
      <w:r>
        <w:rPr>
          <w:rFonts w:ascii="Times New Roman" w:eastAsia="方正小标宋简体" w:cs="Times New Roman" w:hAnsi="Times New Roman"/>
          <w:color w:val="auto"/>
          <w:sz w:val="44"/>
          <w:szCs w:val="44"/>
        </w:rPr>
        <w:t>湖州市传统产业转型升级三年行动方案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firstLineChars="0" w:firstLine="0"/>
        <w:jc w:val="center"/>
        <w:textAlignment w:val="auto"/>
        <w:rPr>
          <w:rFonts w:ascii="Times New Roman" w:eastAsia="方正小标宋简体" w:cs="Times New Roman" w:hAnsi="Times New Roman"/>
          <w:color w:val="auto"/>
          <w:sz w:val="44"/>
          <w:szCs w:val="44"/>
        </w:rPr>
      </w:pPr>
      <w:r>
        <w:rPr>
          <w:rFonts w:ascii="Times New Roman" w:eastAsia="方正小标宋简体" w:cs="Times New Roman" w:hAnsi="Times New Roman"/>
          <w:color w:val="auto"/>
          <w:sz w:val="44"/>
          <w:szCs w:val="44"/>
        </w:rPr>
        <w:t>（2023-2025年）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left="0" w:firstLineChars="0" w:firstLine="0"/>
        <w:jc w:val="center"/>
        <w:textAlignment w:val="auto"/>
        <w:rPr>
          <w:rFonts w:ascii="Times New Roman" w:eastAsia="方正小标宋简体" w:cs="Times New Roman" w:hAnsi="Times New Roman"/>
          <w:color w:val="auto"/>
          <w:sz w:val="44"/>
          <w:szCs w:val="44"/>
        </w:rPr>
      </w:pPr>
      <w:r>
        <w:rPr>
          <w:rFonts w:ascii="Times New Roman" w:eastAsia="楷体_GB2312" w:cs="Times New Roman" w:hAnsi="Times New Roman"/>
          <w:color w:val="auto"/>
          <w:szCs w:val="32"/>
        </w:rPr>
        <w:t>（</w:t>
      </w:r>
      <w:r>
        <w:rPr>
          <w:rFonts w:ascii="Times New Roman" w:eastAsia="楷体_GB2312" w:cs="Times New Roman" w:hAnsi="Times New Roman"/>
          <w:color w:val="auto"/>
          <w:szCs w:val="32"/>
          <w:lang w:eastAsia="zh-CN"/>
        </w:rPr>
        <w:t>征求意见</w:t>
      </w:r>
      <w:r>
        <w:rPr>
          <w:rFonts w:ascii="Times New Roman" w:eastAsia="楷体_GB2312" w:cs="Times New Roman" w:hAnsi="Times New Roman"/>
          <w:color w:val="auto"/>
          <w:szCs w:val="32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color w:val="auto"/>
          <w:szCs w:val="32"/>
        </w:rPr>
        <w:t>为深入贯彻落实党中央、国务院和省委、省政府关于加快传统产业转型升级的决策部署，推动全市传统产业高质量发展，夯实现代化产业体系基底，特制定本实施意见。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textAlignment w:val="auto"/>
        <w:rPr>
          <w:rFonts w:ascii="Times New Roman" w:eastAsia="黑体" w:cs="Times New Roman" w:hAnsi="Times New Roman"/>
          <w:color w:val="auto"/>
          <w:szCs w:val="32"/>
        </w:rPr>
      </w:pPr>
      <w:r>
        <w:rPr>
          <w:rFonts w:ascii="Times New Roman" w:eastAsia="黑体" w:cs="Times New Roman" w:hAnsi="Times New Roman"/>
          <w:color w:val="auto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（一）指导思想。</w:t>
      </w:r>
      <w:r>
        <w:rPr>
          <w:rFonts w:ascii="Times New Roman" w:cs="Times New Roman" w:hAnsi="Times New Roman"/>
          <w:bCs/>
          <w:color w:val="auto"/>
          <w:szCs w:val="32"/>
        </w:rPr>
        <w:t>以习近平新时代中国特色社会主义思想为指导，完整、准确、全面贯彻新发展理念，按照国家、省关于传统产业转型升级决策部署，坚持扶优扶强和提标提效相结合、市场主导和政府引导相结合、全市域统筹和重点突破相结合，以高端化、智能化、绿色化、多元化为导向，以“转理念、转产品、转生产、转市场、转管理”为路径，加快推动传统产业产品升级、生产提效、产销衔接、主体育强、能级跃升，以特色鲜明、优势彰显、韧性十足的传统产业夯实现代化产业体系基底，为全市高水平建设生态文明典范城市提供坚实基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（二）主要目标。</w:t>
      </w:r>
      <w:r>
        <w:rPr>
          <w:rFonts w:ascii="Times New Roman" w:cs="Times New Roman" w:hAnsi="Times New Roman"/>
          <w:color w:val="auto"/>
          <w:szCs w:val="32"/>
        </w:rPr>
        <w:t>传统产业规模总量保持稳定，竞争实力不断攀升，</w:t>
      </w:r>
      <w:r>
        <w:rPr>
          <w:rFonts w:ascii="Times New Roman" w:cs="Times New Roman" w:hAnsi="Times New Roman"/>
          <w:bCs/>
          <w:color w:val="auto"/>
          <w:szCs w:val="32"/>
        </w:rPr>
        <w:t>加速形成一批集聚集约、引领发展的传统特色优势产业集群，着力</w:t>
      </w:r>
      <w:r>
        <w:rPr>
          <w:rFonts w:ascii="Times New Roman" w:cs="Times New Roman" w:hAnsi="Times New Roman"/>
          <w:color w:val="auto"/>
          <w:szCs w:val="32"/>
        </w:rPr>
        <w:t>打造全省领先的传统产业绿色转型示范地、数实融合互促发展标杆地、特色集群区域品牌新高地。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发展质效显著提升。</w:t>
      </w:r>
      <w:r>
        <w:rPr>
          <w:rFonts w:ascii="Times New Roman" w:cs="Times New Roman" w:hAnsi="Times New Roman"/>
          <w:color w:val="auto"/>
          <w:szCs w:val="32"/>
        </w:rPr>
        <w:t>到2025年，全市传统产业规模达到5000亿元，</w:t>
      </w:r>
      <w:r>
        <w:rPr>
          <w:rFonts w:ascii="Times New Roman" w:cs="Times New Roman" w:hAnsi="Times New Roman"/>
          <w:bCs/>
          <w:color w:val="auto"/>
          <w:szCs w:val="32"/>
        </w:rPr>
        <w:t>传统制造业营业利润率、亩均税收达到省均水平。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jc w:val="both"/>
        <w:textAlignment w:val="auto"/>
        <w:rPr>
          <w:rFonts w:ascii="Times New Roman" w:cs="Times New Roman" w:hAnsi="Times New Roman"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品牌创新显著提升。</w:t>
      </w:r>
      <w:r>
        <w:rPr>
          <w:rFonts w:ascii="Times New Roman" w:cs="Times New Roman" w:hAnsi="Times New Roman"/>
          <w:bCs/>
          <w:color w:val="auto"/>
          <w:szCs w:val="32"/>
        </w:rPr>
        <w:t>到2025年，全市</w:t>
      </w:r>
      <w:r>
        <w:rPr>
          <w:rFonts w:ascii="Times New Roman" w:cs="Times New Roman" w:hAnsi="Times New Roman"/>
          <w:color w:val="auto"/>
          <w:szCs w:val="32"/>
        </w:rPr>
        <w:t>规模以上传统制造业工业企业研发费用占主营业务收入比重达到2.2%以上、新产品产值年均增长7%，新增“品字标浙江制造”企业35个以上。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jc w:val="both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制造效率显著提升。</w:t>
      </w:r>
      <w:r>
        <w:rPr>
          <w:rFonts w:ascii="Times New Roman" w:cs="Times New Roman" w:hAnsi="Times New Roman"/>
          <w:color w:val="auto"/>
          <w:szCs w:val="32"/>
        </w:rPr>
        <w:t>到2025年，全市规上</w:t>
      </w:r>
      <w:r>
        <w:rPr>
          <w:rFonts w:ascii="Times New Roman" w:cs="Times New Roman" w:hAnsi="Times New Roman"/>
          <w:bCs/>
          <w:color w:val="auto"/>
          <w:szCs w:val="32"/>
        </w:rPr>
        <w:t>传统制造业企业“三化”技术改造实现全覆盖，三年累计完成</w:t>
      </w:r>
      <w:r>
        <w:rPr>
          <w:rFonts w:ascii="Times New Roman" w:cs="Times New Roman" w:hAnsi="Times New Roman"/>
          <w:color w:val="auto"/>
          <w:szCs w:val="32"/>
        </w:rPr>
        <w:t>技改投资600亿元，</w:t>
      </w:r>
      <w:r>
        <w:rPr>
          <w:rFonts w:ascii="Times New Roman" w:cs="Times New Roman" w:hAnsi="Times New Roman"/>
          <w:bCs/>
          <w:color w:val="auto"/>
          <w:szCs w:val="32"/>
        </w:rPr>
        <w:t>规模以上全员劳动生产率年均增长6%以上</w:t>
        <w:tab/>
      </w:r>
      <w:r>
        <w:rPr>
          <w:rFonts w:ascii="Times New Roman" w:cs="Times New Roman" w:hAnsi="Times New Roman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jc w:val="both"/>
        <w:textAlignment w:val="auto"/>
        <w:rPr>
          <w:rFonts w:ascii="Times New Roman" w:cs="Times New Roman" w:hAnsi="Times New Roman"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绿色转型显著提升。</w:t>
      </w:r>
      <w:r>
        <w:rPr>
          <w:rFonts w:ascii="Times New Roman" w:cs="Times New Roman" w:hAnsi="Times New Roman"/>
          <w:bCs/>
          <w:color w:val="auto"/>
          <w:szCs w:val="32"/>
        </w:rPr>
        <w:t>到2025年，全市规上工业单位增加值能耗年均下降3.66</w:t>
      </w:r>
      <w:r>
        <w:rPr>
          <w:rFonts w:cs="Times New Roman" w:hint="eastAsia"/>
          <w:bCs/>
          <w:color w:val="auto"/>
          <w:szCs w:val="32"/>
          <w:lang w:val="en-US" w:eastAsia="zh-CN"/>
        </w:rPr>
        <w:t>%</w:t>
      </w:r>
      <w:r>
        <w:rPr>
          <w:rFonts w:ascii="Times New Roman" w:cs="Times New Roman" w:hAnsi="Times New Roman"/>
          <w:bCs/>
          <w:color w:val="auto"/>
          <w:szCs w:val="32"/>
        </w:rPr>
        <w:t>以上，主要行业碳效水平优于全省同行业平均水平。挥发性有机物和氮氧化物排放强度分别下降20%和40%以上。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textAlignment w:val="auto"/>
        <w:rPr>
          <w:rFonts w:ascii="Times New Roman" w:eastAsia="黑体" w:cs="Times New Roman" w:hAnsi="Times New Roman"/>
          <w:color w:val="auto"/>
          <w:szCs w:val="32"/>
        </w:rPr>
      </w:pPr>
      <w:r>
        <w:rPr>
          <w:rFonts w:ascii="Times New Roman" w:eastAsia="黑体" w:cs="Times New Roman" w:hAnsi="Times New Roman"/>
          <w:color w:val="auto"/>
          <w:szCs w:val="32"/>
        </w:rPr>
        <w:t>二、重点领域和转型方向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color w:val="auto"/>
          <w:szCs w:val="32"/>
        </w:rPr>
        <w:t>紧扣“415X”先进制造业集群部署和生态文明典范城市建设要求，立足产业发展特点、发展阶段及区域特色优势，实施分行业改造提升，加快推进产业结构性调整。围绕强品牌、育龙头、拓市场，扶优扶强健康座椅、家装木业、时尚童装、纺织面料；围绕促集聚、强治理、提效能，提标提效印染、水泥、铸造、墙材，焕发传统产业新活力，塑造特色产业新优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（一）扶优扶强四大领域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1.健康座椅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发展短板：</w:t>
      </w:r>
      <w:r>
        <w:rPr>
          <w:rFonts w:ascii="Times New Roman" w:cs="Times New Roman" w:hAnsi="Times New Roman"/>
          <w:color w:val="auto"/>
          <w:szCs w:val="32"/>
        </w:rPr>
        <w:t>品牌知名度不高、国内市场占有率不高、国际市场份额不稳固。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提优目标：</w:t>
      </w:r>
      <w:r>
        <w:rPr>
          <w:rFonts w:ascii="Times New Roman" w:cs="Times New Roman" w:hAnsi="Times New Roman"/>
          <w:color w:val="auto"/>
          <w:szCs w:val="32"/>
        </w:rPr>
        <w:t>对标全国领先、全球先进家居产业集群，打响“世界椅·安吉造”品牌，建设全球知名绿色家居特色产业基地。力争到2025年，内销总额超100亿元，产业规模突破500亿元。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重点区域：</w:t>
      </w:r>
      <w:r>
        <w:rPr>
          <w:rFonts w:ascii="Times New Roman" w:cs="Times New Roman" w:hAnsi="Times New Roman"/>
          <w:bCs/>
          <w:color w:val="auto"/>
          <w:szCs w:val="32"/>
        </w:rPr>
        <w:t>安吉县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主要路径</w:t>
      </w:r>
      <w:r>
        <w:rPr>
          <w:rFonts w:ascii="Times New Roman" w:cs="Times New Roman" w:hAnsi="Times New Roman"/>
          <w:color w:val="auto"/>
          <w:szCs w:val="32"/>
        </w:rPr>
        <w:t>：①“品牌+营销”拓展市场。按照“稳固欧美、扩展亚非、挖掘国内”总体思路，大力推进“产业公用品牌+企业品牌”母子品牌建设，加快“线上+线下”企业自营体系建设，积极抢占海内外市场；②“设计+理念”引领消费。迭代工业设计大赛，推动企业根据市场需求增设多品种、小批量生产线，逐步开辟系统办公、全屋定制等新赛道；③“数字+技术”创新模式。开展关键环节和整体流程智能化改造，推动人体健康数据采集分析、物联网等技术融合应用，实现网络化定制、柔性化生产、智能化制造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2.家装木业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发展短板：</w:t>
      </w:r>
      <w:r>
        <w:rPr>
          <w:rFonts w:ascii="Times New Roman" w:cs="Times New Roman" w:hAnsi="Times New Roman"/>
          <w:color w:val="auto"/>
          <w:szCs w:val="32"/>
        </w:rPr>
        <w:t>生产数字化水平不高、中小企业分布散乱、家居市场占有率不高。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提优目标：</w:t>
      </w:r>
      <w:r>
        <w:rPr>
          <w:rFonts w:ascii="Times New Roman" w:cs="Times New Roman" w:hAnsi="Times New Roman"/>
          <w:color w:val="auto"/>
          <w:szCs w:val="32"/>
        </w:rPr>
        <w:t>巩固放大现有产业优势，依托高端木地板、时尚木质家具、休闲户外家具等特色产业，打造“中国高定家居之都”、国内知名的绿色智能家居创新设计和先进制造基地。力争到2025年，产业规模突破500亿元。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重点区域：</w:t>
      </w:r>
      <w:r>
        <w:rPr>
          <w:rFonts w:ascii="Times New Roman" w:cs="Times New Roman" w:hAnsi="Times New Roman"/>
          <w:bCs/>
          <w:color w:val="auto"/>
          <w:szCs w:val="32"/>
        </w:rPr>
        <w:t>南浔区、德清县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主要路径</w:t>
      </w:r>
      <w:r>
        <w:rPr>
          <w:rFonts w:ascii="Times New Roman" w:cs="Times New Roman" w:hAnsi="Times New Roman"/>
          <w:color w:val="auto"/>
          <w:szCs w:val="32"/>
        </w:rPr>
        <w:t>：①从板材加工向全屋定制转型。围绕个性化需求，提供全屋定制等家装一站式服务，打造“产品+服务+场景体验”三位一体的竞争优势；②从简单产品向健康复合型产品升级。鼓励企业采用国内外先进标准，积极研发复合型、组合型、集成型等新型装饰新材；③从低水平加工向高效率生产转型。运用大数据，以个性化定制平台建设为支撑，串联从原料到客户完整链条，提升订单响应率和生产效率；④从低小散经营向龙头引领集聚入园发展。支持行业龙头企业配套建设小微园，引领产业链中小企业集聚集入园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3.时尚童装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发展短板：</w:t>
      </w:r>
      <w:r>
        <w:rPr>
          <w:rFonts w:ascii="Times New Roman" w:cs="Times New Roman" w:hAnsi="Times New Roman"/>
          <w:color w:val="auto"/>
          <w:szCs w:val="32"/>
        </w:rPr>
        <w:t>品牌知名度不高、国际化水平较低、高端市场份额不足。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提优目标：</w:t>
      </w:r>
      <w:r>
        <w:rPr>
          <w:rFonts w:ascii="Times New Roman" w:cs="Times New Roman" w:hAnsi="Times New Roman"/>
          <w:bCs/>
          <w:color w:val="auto"/>
          <w:szCs w:val="32"/>
        </w:rPr>
        <w:t>借力</w:t>
      </w:r>
      <w:r>
        <w:rPr>
          <w:rFonts w:ascii="Times New Roman" w:cs="Times New Roman" w:hAnsi="Times New Roman"/>
          <w:color w:val="auto"/>
          <w:szCs w:val="32"/>
        </w:rPr>
        <w:t>“一带一路”提升全球份额，</w:t>
      </w:r>
      <w:r>
        <w:rPr>
          <w:rFonts w:ascii="Times New Roman" w:cs="Times New Roman" w:hAnsi="Times New Roman"/>
          <w:bCs/>
          <w:color w:val="auto"/>
          <w:szCs w:val="32"/>
        </w:rPr>
        <w:t>推动</w:t>
      </w:r>
      <w:r>
        <w:rPr>
          <w:rFonts w:ascii="Times New Roman" w:cs="Times New Roman" w:hAnsi="Times New Roman"/>
          <w:color w:val="auto"/>
          <w:szCs w:val="32"/>
        </w:rPr>
        <w:t>由“中国童装之都”迈向“世界童装之都”。力争到2025年，上市企业实现突破，</w:t>
      </w:r>
      <w:r>
        <w:rPr>
          <w:rFonts w:ascii="Times New Roman" w:cs="Times New Roman" w:hAnsi="Times New Roman"/>
          <w:bCs/>
          <w:color w:val="auto"/>
          <w:szCs w:val="32"/>
        </w:rPr>
        <w:t>产业规模突破1000亿元。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重点区域：</w:t>
      </w:r>
      <w:r>
        <w:rPr>
          <w:rFonts w:ascii="Times New Roman" w:cs="Times New Roman" w:hAnsi="Times New Roman"/>
          <w:bCs/>
          <w:color w:val="auto"/>
          <w:szCs w:val="32"/>
        </w:rPr>
        <w:t>吴兴区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主要路径</w:t>
      </w:r>
      <w:r>
        <w:rPr>
          <w:rFonts w:ascii="Times New Roman" w:cs="Times New Roman" w:hAnsi="Times New Roman"/>
          <w:color w:val="auto"/>
          <w:szCs w:val="32"/>
        </w:rPr>
        <w:t>：①向高端化转型。以智能化生产、个性化订制为支撑，推动童装自主品牌建设，加快向区域群体品牌延伸，培育形成若干个龙头企业；②向国际化转型。瞄准“一带一路”国家，通过参展和跨境电商经营，加快童装“抱团”出海。探索“以国有公司为主体、多种主体参与”组团开设海外城市商业区童装专卖场的新模式；③向时尚化转型。强化童装设计中心建设，持续开展童装设计大赛，定期召开发布会、订货会，进一步确立</w:t>
      </w:r>
      <w:r>
        <w:rPr>
          <w:rFonts w:ascii="Times New Roman" w:cs="Times New Roman" w:hAnsi="Times New Roman"/>
          <w:bCs/>
          <w:color w:val="auto"/>
          <w:szCs w:val="32"/>
        </w:rPr>
        <w:t>“时装看巴黎、童装看织里”引领地位。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4.纺织面料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发展短板：</w:t>
      </w:r>
      <w:r>
        <w:rPr>
          <w:rFonts w:ascii="Times New Roman" w:cs="Times New Roman" w:hAnsi="Times New Roman"/>
          <w:color w:val="auto"/>
          <w:szCs w:val="32"/>
        </w:rPr>
        <w:t>面料高端市场份额不足、下游品类单一、行业同质化竞争严重。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提优目标：</w:t>
      </w:r>
      <w:r>
        <w:rPr>
          <w:rFonts w:ascii="Times New Roman" w:cs="Times New Roman" w:hAnsi="Times New Roman"/>
          <w:color w:val="auto"/>
          <w:szCs w:val="32"/>
        </w:rPr>
        <w:t>全行业中高端面料占比超20%，终端纺织品占比提升至20%以上，</w:t>
      </w:r>
      <w:r>
        <w:rPr>
          <w:rFonts w:ascii="Times New Roman" w:cs="Times New Roman" w:hAnsi="Times New Roman"/>
          <w:bCs/>
          <w:color w:val="auto"/>
          <w:szCs w:val="32"/>
        </w:rPr>
        <w:t>初步</w:t>
      </w:r>
      <w:r>
        <w:rPr>
          <w:rFonts w:ascii="Times New Roman" w:cs="Times New Roman" w:hAnsi="Times New Roman"/>
          <w:color w:val="auto"/>
          <w:szCs w:val="32"/>
        </w:rPr>
        <w:t>形成具有较强创新设计能力和品牌影响力的纺织基地。力争到2025年，</w:t>
      </w:r>
      <w:r>
        <w:rPr>
          <w:rFonts w:ascii="Times New Roman" w:cs="Times New Roman" w:hAnsi="Times New Roman"/>
          <w:bCs/>
          <w:color w:val="auto"/>
          <w:szCs w:val="32"/>
        </w:rPr>
        <w:t>产业规模突破500亿元。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重点区域：</w:t>
      </w:r>
      <w:r>
        <w:rPr>
          <w:rFonts w:ascii="Times New Roman" w:cs="Times New Roman" w:hAnsi="Times New Roman"/>
          <w:bCs/>
          <w:color w:val="auto"/>
          <w:szCs w:val="32"/>
        </w:rPr>
        <w:t>长兴县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主要路径</w:t>
      </w:r>
      <w:r>
        <w:rPr>
          <w:rFonts w:ascii="Times New Roman" w:cs="Times New Roman" w:hAnsi="Times New Roman"/>
          <w:color w:val="auto"/>
          <w:szCs w:val="32"/>
        </w:rPr>
        <w:t>：①从普通面料供给向中高端面料供给转型。发展具有抗静电、防紫外线等特种功能性面料及后整理等技术，积极拓展在航空航天、医疗健康、应急救援、海洋渔业等领域应用的高端产业用纺织品；②从中间产品向终端产品转型。鼓励纺织企业向下游服装、床上用品、头巾、消毒湿巾等终端产品延伸，提升产品附加值和产业价值链水平；③从传统供应链向柔性供应链转型。借鉴希音模式，强化供应链数字化改造，通过按需生产“小单快反”有效应对纺织行业供需矛盾，有效降低库存、减少浪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（二）提标提效四大领域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1.印染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问题短板：</w:t>
      </w:r>
      <w:r>
        <w:rPr>
          <w:rFonts w:ascii="Times New Roman" w:cs="Times New Roman" w:hAnsi="Times New Roman"/>
          <w:color w:val="auto"/>
          <w:szCs w:val="32"/>
        </w:rPr>
        <w:t>企业数量多且分布散、规模普遍不大、排放治理水平不高。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主要目标：</w:t>
      </w:r>
      <w:r>
        <w:rPr>
          <w:rFonts w:ascii="Times New Roman" w:cs="Times New Roman" w:hAnsi="Times New Roman"/>
          <w:color w:val="auto"/>
          <w:szCs w:val="32"/>
        </w:rPr>
        <w:t>全市域形成若干个印染组团，进一步集聚布局点位；VOCs排放达到省印染行业整治标准。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重点区域：</w:t>
      </w:r>
      <w:r>
        <w:rPr>
          <w:rFonts w:ascii="Times New Roman" w:cs="Times New Roman" w:hAnsi="Times New Roman"/>
          <w:bCs/>
          <w:color w:val="auto"/>
          <w:szCs w:val="32"/>
        </w:rPr>
        <w:t>全市域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主要路径</w:t>
      </w:r>
      <w:r>
        <w:rPr>
          <w:rFonts w:ascii="Times New Roman" w:cs="Times New Roman" w:hAnsi="Times New Roman"/>
          <w:color w:val="auto"/>
          <w:szCs w:val="32"/>
        </w:rPr>
        <w:t>：①推动集聚入园发展。将亩均效益评价与能耗排放挂钩，依法依规腾退低效企业，推动印染企业集聚入园、规模化发展，对整合重组入园的印染企业，在用地上优先予以支持，做大龙头企业规模，提升行业集聚度；②提升生产装备水平。推广染料助剂自动配送系统等高端智能生产设备，加大排放低、技术高的数码印花、无水印花等新技术、新工艺应用；③环保达标排放治理。严格浆料助剂颜料配制、染色、印花、定型等工艺废气产生车间管理，提高废气收集处理效率，定型废气实施分段收集，污水处理系统废气经加盖有效收集处理，确保各项大气污染物排放达到《纺织染整工业大气污染物排放标准》（DB33/962-2015）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2.水泥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问题短板：</w:t>
      </w:r>
      <w:r>
        <w:rPr>
          <w:rFonts w:ascii="Times New Roman" w:cs="Times New Roman" w:hAnsi="Times New Roman"/>
          <w:bCs/>
          <w:color w:val="auto"/>
          <w:szCs w:val="32"/>
        </w:rPr>
        <w:t>粉磨企业布局分散、部分装备工艺落后、产能利用率低。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主要目标：</w:t>
      </w:r>
      <w:r>
        <w:rPr>
          <w:rFonts w:ascii="Times New Roman" w:cs="Times New Roman" w:hAnsi="Times New Roman"/>
          <w:bCs/>
          <w:color w:val="auto"/>
          <w:szCs w:val="32"/>
        </w:rPr>
        <w:t>限制类产能大幅减少，空间布局进一步集聚；主要大气污染物排放强度明显下降；腾出用能空间50万吨标煤以上；盘活土地800亩左右。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重点区域：</w:t>
      </w:r>
      <w:r>
        <w:rPr>
          <w:rFonts w:ascii="Times New Roman" w:cs="Times New Roman" w:hAnsi="Times New Roman"/>
          <w:bCs/>
          <w:color w:val="auto"/>
          <w:szCs w:val="32"/>
        </w:rPr>
        <w:t>全市域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主要路径：</w:t>
      </w:r>
      <w:r>
        <w:rPr>
          <w:rFonts w:ascii="Times New Roman" w:cs="Times New Roman" w:hAnsi="Times New Roman"/>
          <w:bCs/>
          <w:color w:val="auto"/>
          <w:szCs w:val="32"/>
        </w:rPr>
        <w:t>①整合现有产能。</w:t>
      </w:r>
      <w:r>
        <w:rPr>
          <w:rFonts w:ascii="Times New Roman" w:cs="Times New Roman" w:hAnsi="Times New Roman"/>
          <w:bCs/>
          <w:color w:val="auto"/>
          <w:szCs w:val="32"/>
        </w:rPr>
        <w:t>落实日产2500吨及以下水泥熟料生产线整合退出方案。</w:t>
      </w:r>
      <w:r>
        <w:rPr>
          <w:rFonts w:ascii="Times New Roman" w:cs="Times New Roman" w:hAnsi="Times New Roman"/>
          <w:bCs/>
          <w:color w:val="auto"/>
          <w:szCs w:val="32"/>
        </w:rPr>
        <w:t>对29条水泥粉磨生产线（不含特种水泥）分类处置，其中关停11条、整合提升13条、保留5条；②优化空间布局。严格项目准入审批，新建水泥粉磨产能不大于退出产能，且规模达到年产水泥100万吨及以上。支持国企、央企搭建产能整合平台，推进兼并重组</w:t>
      </w:r>
      <w:bookmarkStart w:id="0" w:name="_GoBack"/>
      <w:bookmarkEnd w:id="0"/>
      <w:r>
        <w:rPr>
          <w:rFonts w:ascii="Times New Roman" w:cs="Times New Roman" w:hAnsi="Times New Roman"/>
          <w:bCs/>
          <w:color w:val="auto"/>
          <w:szCs w:val="32"/>
        </w:rPr>
        <w:t>，整合优化后各区（县）水泥粉磨企业原则上不超过1家；③提升绿色发展水平。调整产品结构，降低低标号水泥产量。将水泥行业纳入我市强制性清洁生产审核范围，保留水泥粉磨站达到大气绩效引领企业建设标准，水泥熟料全面完成超低排放二阶段改造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3.铸造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问题短板：</w:t>
      </w:r>
      <w:r>
        <w:rPr>
          <w:rFonts w:ascii="Times New Roman" w:cs="Times New Roman" w:hAnsi="Times New Roman"/>
          <w:bCs/>
          <w:color w:val="auto"/>
          <w:szCs w:val="32"/>
        </w:rPr>
        <w:t>工艺水平普遍不高、生产环境差、产能利用率低。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主要目标：</w:t>
      </w:r>
      <w:r>
        <w:rPr>
          <w:rFonts w:ascii="Times New Roman" w:cs="Times New Roman" w:hAnsi="Times New Roman"/>
          <w:bCs/>
          <w:color w:val="auto"/>
          <w:szCs w:val="32"/>
        </w:rPr>
        <w:t>工艺技术和装备自动化、智能化水平明显提升，中高端铸造产品产量占比明显提升，砂型铸造企业废砂回收利用率明显提升。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重点区域：</w:t>
      </w:r>
      <w:r>
        <w:rPr>
          <w:rFonts w:ascii="Times New Roman" w:cs="Times New Roman" w:hAnsi="Times New Roman"/>
          <w:color w:val="auto"/>
          <w:szCs w:val="32"/>
        </w:rPr>
        <w:t>全市域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主要路径：</w:t>
      </w:r>
      <w:r>
        <w:rPr>
          <w:rFonts w:ascii="Times New Roman" w:cs="Times New Roman" w:hAnsi="Times New Roman"/>
          <w:bCs/>
          <w:color w:val="auto"/>
          <w:szCs w:val="32"/>
        </w:rPr>
        <w:t>①全面开展清洁生产审核。将铸造行业纳入我市强制性清洁生产审核范围，聚焦能耗、排放、现场管理、废砂回用等方面全面开展清洁生产审核工作，推动一批整改方案实施。②依法依规淘汰一批落后产能及“散乱污”企业。深入实施“腾笼换鸟、凤凰涅槃”攻坚和工业全域有机更新，对能耗、排放不达标，存在重大安全隐患的企业，依法依规进行处置。③加快产品升级。推进快速成型、一体化压铸成形、砂型3D打印技术应用，鼓励从粗加工向精加工、从单件产品向组合式产品、从配套产品向整机产品延伸，提高铸件精深加工水平，提升产品附加值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4.墙材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问题短板：</w:t>
      </w:r>
      <w:r>
        <w:rPr>
          <w:rFonts w:ascii="Times New Roman" w:cs="Times New Roman" w:hAnsi="Times New Roman"/>
          <w:color w:val="auto"/>
          <w:szCs w:val="32"/>
        </w:rPr>
        <w:t>生产工艺相对落后、生产环境较差、产品质量不稳定</w:t>
      </w:r>
      <w:r>
        <w:rPr>
          <w:rFonts w:ascii="Times New Roman" w:cs="Times New Roman" w:hAnsi="Times New Roman"/>
          <w:bCs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主要目标：</w:t>
      </w:r>
      <w:r>
        <w:rPr>
          <w:rFonts w:ascii="Times New Roman" w:cs="Times New Roman" w:hAnsi="Times New Roman"/>
          <w:color w:val="auto"/>
          <w:szCs w:val="32"/>
        </w:rPr>
        <w:t>主要大气污染物排放强度明显下降，企业管理水平明显提升，自动化程度明显提高。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重点区域：</w:t>
      </w:r>
      <w:r>
        <w:rPr>
          <w:rFonts w:ascii="Times New Roman" w:cs="Times New Roman" w:hAnsi="Times New Roman"/>
          <w:bCs/>
          <w:color w:val="auto"/>
          <w:szCs w:val="32"/>
        </w:rPr>
        <w:t>全市域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/>
          <w:bCs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主要路径：</w:t>
      </w:r>
      <w:r>
        <w:rPr>
          <w:rFonts w:ascii="Times New Roman" w:eastAsia="宋体" w:cs="Times New Roman" w:hAnsi="Times New Roman"/>
          <w:bCs/>
          <w:color w:val="auto"/>
          <w:szCs w:val="32"/>
        </w:rPr>
        <w:t>①</w:t>
      </w:r>
      <w:r>
        <w:rPr>
          <w:rFonts w:ascii="Times New Roman" w:cs="Times New Roman" w:hAnsi="Times New Roman"/>
          <w:bCs/>
          <w:color w:val="auto"/>
          <w:szCs w:val="32"/>
        </w:rPr>
        <w:t>开展综合性改造。</w:t>
      </w:r>
      <w:r>
        <w:rPr>
          <w:rFonts w:ascii="Times New Roman" w:cs="Times New Roman" w:hAnsi="Times New Roman"/>
          <w:color w:val="auto"/>
          <w:szCs w:val="32"/>
        </w:rPr>
        <w:t>围绕环保、能耗、质量、管理等内容，实施综合性改造，鼓励和支持新工艺、新技术、新装备在新型墙体材料生产中的应用，推动企业生产向低能耗、低排放、高质量、优管理发展</w:t>
      </w:r>
      <w:r>
        <w:rPr>
          <w:rFonts w:ascii="Times New Roman" w:cs="Times New Roman" w:hAnsi="Times New Roman"/>
          <w:bCs/>
          <w:color w:val="auto"/>
          <w:szCs w:val="32"/>
        </w:rPr>
        <w:t>；</w:t>
      </w:r>
      <w:r>
        <w:rPr>
          <w:rFonts w:ascii="Times New Roman" w:eastAsia="宋体" w:cs="Times New Roman" w:hAnsi="Times New Roman"/>
          <w:bCs/>
          <w:color w:val="auto"/>
          <w:szCs w:val="32"/>
        </w:rPr>
        <w:t>②</w:t>
      </w:r>
      <w:r>
        <w:rPr>
          <w:rFonts w:ascii="Times New Roman" w:cs="Times New Roman" w:hAnsi="Times New Roman"/>
          <w:bCs/>
          <w:color w:val="auto"/>
          <w:szCs w:val="32"/>
        </w:rPr>
        <w:t>取缔无证无照企业。大力出清不符合法律法规要求，整改无望或整改后仍不达标的企业，坚决关停混凝土砖类无营业执照和产品认定证书的“低散乱”作坊，规范行业的市场秩序。</w:t>
      </w:r>
      <w:r>
        <w:rPr>
          <w:rFonts w:ascii="Times New Roman" w:eastAsia="宋体" w:cs="Times New Roman" w:hAnsi="Times New Roman"/>
          <w:bCs/>
          <w:color w:val="auto"/>
          <w:szCs w:val="32"/>
        </w:rPr>
        <w:t>③</w:t>
      </w:r>
      <w:r>
        <w:rPr>
          <w:rFonts w:ascii="Times New Roman" w:cs="Times New Roman" w:hAnsi="Times New Roman"/>
          <w:bCs/>
          <w:color w:val="auto"/>
          <w:szCs w:val="32"/>
        </w:rPr>
        <w:t>示范引领转型升级。以龙头企业为引领，鼓励企业生产向机械化、自动化、信息化发展，企业管理向规范化、标准化发展。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黑体" w:cs="Times New Roman" w:hAnsi="Times New Roman"/>
          <w:color w:val="auto"/>
          <w:szCs w:val="32"/>
        </w:rPr>
      </w:pPr>
      <w:r>
        <w:rPr>
          <w:rFonts w:ascii="Times New Roman" w:eastAsia="黑体" w:cs="Times New Roman" w:hAnsi="Times New Roman"/>
          <w:color w:val="auto"/>
          <w:szCs w:val="32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（一）支持产品“高端化”转型升级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1.加快产品迭代创新。</w:t>
      </w:r>
      <w:r>
        <w:rPr>
          <w:rFonts w:ascii="Times New Roman" w:cs="Times New Roman" w:hAnsi="Times New Roman"/>
          <w:bCs/>
          <w:color w:val="auto"/>
          <w:szCs w:val="32"/>
        </w:rPr>
        <w:t>支持座椅、童装、丝绸等快消品迭代创新定制化、个性化、时尚化、品质化的新产品，创造新的消费需求，引领新的消费热点。推动人才培养、创新资源向新产品研发倾斜，结合新技术、新材料、创意设计、品牌文化，加快开发大众化产品，提升拓客、锁客能力，增强产品复购率，打造一批全国“销冠”爆品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（责任单位：市经信局、市科技局、市商务局）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2.强化工业设计赋能。</w:t>
      </w:r>
      <w:r>
        <w:rPr>
          <w:rFonts w:ascii="Times New Roman" w:cs="Times New Roman" w:hAnsi="Times New Roman"/>
          <w:bCs/>
          <w:color w:val="auto"/>
          <w:szCs w:val="32"/>
        </w:rPr>
        <w:t>以大数据、物联网和人工智能等信息技术为支撑，以举办设计系列赛事为载体，</w:t>
      </w:r>
      <w:r>
        <w:rPr>
          <w:rFonts w:ascii="Times New Roman" w:cs="Times New Roman" w:hAnsi="Times New Roman"/>
          <w:color w:val="auto"/>
          <w:szCs w:val="32"/>
        </w:rPr>
        <w:t>鼓励传统企业构建“设计＋研发＋用户体验”的创新设计体系，</w:t>
      </w:r>
      <w:r>
        <w:rPr>
          <w:rFonts w:ascii="Times New Roman" w:cs="Times New Roman" w:hAnsi="Times New Roman"/>
          <w:bCs/>
          <w:color w:val="auto"/>
          <w:szCs w:val="32"/>
        </w:rPr>
        <w:t>引导传统企业从“以产品为中心”向“以用户为中心”转变。鼓励木材、纺织、童装等行业实施全屋定制、节能环保、共享制造等新业态新模式，突出以企业为主体，加快建立“设计+营销”新体系，全面</w:t>
      </w:r>
      <w:r>
        <w:rPr>
          <w:rFonts w:ascii="Times New Roman" w:cs="Times New Roman" w:hAnsi="Times New Roman"/>
          <w:color w:val="auto"/>
          <w:szCs w:val="32"/>
        </w:rPr>
        <w:t>提升传统产品附加值。力争三年新增省级以上工业设计企业4家、</w:t>
      </w:r>
      <w:r>
        <w:rPr>
          <w:rFonts w:ascii="Times New Roman" w:cs="Times New Roman" w:hAnsi="Times New Roman"/>
          <w:bCs/>
          <w:color w:val="auto"/>
          <w:szCs w:val="32"/>
        </w:rPr>
        <w:t>省级以上服务型制造企业4家</w:t>
      </w:r>
      <w:r>
        <w:rPr>
          <w:rFonts w:ascii="Times New Roman" w:cs="Times New Roman" w:hAnsi="Times New Roman"/>
          <w:color w:val="auto"/>
          <w:szCs w:val="32"/>
        </w:rPr>
        <w:t>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（责任单位：市经信局）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3.实施品牌质量标准战略。</w:t>
      </w:r>
      <w:r>
        <w:rPr>
          <w:rFonts w:ascii="Times New Roman" w:cs="Times New Roman" w:hAnsi="Times New Roman"/>
          <w:color w:val="auto"/>
          <w:szCs w:val="32"/>
        </w:rPr>
        <w:t>大力推进“品牌+”行动，持续扩大织里童装、安吉椅业等区域品牌影响力，鼓励跨境电商出口企业在境外注册自有商标品牌。推进“质量+”“标准化+”行动，鼓励传统企业主导或参与制订国际标准、行业标准。加大知识产权保护力度，积极争取“两山”绿色知识产权推广中心落地，湖州市知识产权产业园建成省知识产权服务业集聚发展示范区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4.培育优质企业主体。</w:t>
      </w:r>
      <w:r>
        <w:rPr>
          <w:rFonts w:ascii="Times New Roman" w:cs="Times New Roman" w:hAnsi="Times New Roman"/>
          <w:color w:val="auto"/>
          <w:szCs w:val="32"/>
        </w:rPr>
        <w:t>深入推进“地瓜经济”提能升级“一号开放工程”，实施“雄鹰”“凤凰”“金象金牛”等大企业培育行动，着力培育壮大一批更具竞争力、创新力、贡献力的传统产业总部型、专业型、平台型大企业大集团。鼓励引导中小企业向专精特新方向发展，培育一批细分行业影响力大、市场占有率高、创新实力强的单项冠军企业和专精特新“小巨人”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（责任单位：市经信局）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（二）支持制造“智能化”转型升级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5.强化创新能力提升。</w:t>
      </w:r>
      <w:r>
        <w:rPr>
          <w:rFonts w:ascii="Times New Roman" w:cs="Times New Roman" w:hAnsi="Times New Roman"/>
          <w:color w:val="auto"/>
          <w:szCs w:val="32"/>
        </w:rPr>
        <w:t>鼓励传统企业组建研发创新机构，加大产品研发投入，突破一批行业“卡脖子”关键技术，创建省级以上企业技术中心10家，建设市级以上企业研发机构50家以上。推进产业创新服务综合体的能力建设，为传统制造业大中小企业提供研发设计、检验检测、成果转化、教育培训等服务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（责任单位：市科技局、市经信局）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6.提升智能制造水平。</w:t>
      </w:r>
      <w:r>
        <w:rPr>
          <w:rFonts w:ascii="Times New Roman" w:cs="Times New Roman" w:hAnsi="Times New Roman"/>
          <w:color w:val="auto"/>
          <w:szCs w:val="32"/>
        </w:rPr>
        <w:t>持续完善提升“1+N”工业互联网平台体系，培育推广“平台+园区”“平台+模式”等创新模式。按照“做样—仿样—推广—覆盖”实施路径，加快推进吴兴童装、长兴纺织、安吉椅业等传统行业数字化改造，应用工业机器人、智能传感与控制装备、智能监测装备、智能物流装备等数字化智能化成套产线，实现工厂、车间、工序、工段生产装备换代。加快推进数字化改造“三个全覆盖”，梯次培育“数字化车间—智能工厂—未来工厂”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（责任单位：市经信局）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（三）支持</w:t>
      </w:r>
      <w:r>
        <w:rPr>
          <w:rFonts w:eastAsia="楷体_GB2312" w:cs="Times New Roman" w:hint="eastAsia"/>
          <w:b/>
          <w:bCs/>
          <w:color w:val="auto"/>
          <w:szCs w:val="32"/>
          <w:lang w:val="en-US" w:eastAsia="zh-CN"/>
        </w:rPr>
        <w:t>生产</w:t>
      </w: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“绿色化”转型升级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7.推动绿色低碳改造。</w:t>
      </w:r>
      <w:r>
        <w:rPr>
          <w:rFonts w:ascii="Times New Roman" w:cs="Times New Roman" w:hAnsi="Times New Roman"/>
          <w:color w:val="auto"/>
          <w:szCs w:val="32"/>
        </w:rPr>
        <w:t>分行业、分领域推广节能降碳技术、工艺、装备，提升企业能源利用效率和绿色发展水平。在转椅、家具等行业全面推广水性涂料，水性和本体胶粘剂。重点推动印染、铸造等产业链配套产业的绿色低碳发展水平提升，将印染、铸造等行业纳入全市强制性清洁生产审核范围，</w:t>
      </w:r>
      <w:r>
        <w:rPr>
          <w:rFonts w:ascii="Times New Roman" w:cs="Times New Roman" w:hAnsi="Times New Roman"/>
          <w:bCs/>
          <w:color w:val="auto"/>
          <w:szCs w:val="32"/>
        </w:rPr>
        <w:t>全面开展清洁生产审核</w:t>
      </w:r>
      <w:r>
        <w:rPr>
          <w:rFonts w:ascii="Times New Roman" w:cs="Times New Roman" w:hAnsi="Times New Roman"/>
          <w:color w:val="auto"/>
          <w:szCs w:val="32"/>
        </w:rPr>
        <w:t>工作，推动一批以节能、降耗、减排为重点的绿色化技改项目实施。力争三年累计实施绿色化技改项目600个。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（责任单位：市经信局、市发展改革委、市生态环境局）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8.加强综合治理力度。</w:t>
      </w:r>
      <w:r>
        <w:rPr>
          <w:rFonts w:ascii="Times New Roman" w:cs="Times New Roman" w:hAnsi="Times New Roman"/>
          <w:color w:val="auto"/>
          <w:szCs w:val="32"/>
        </w:rPr>
        <w:t>深入实施“腾笼换鸟、凤凰涅槃”行动，全面推进低效工业用地整治，抓好连片整治试点，引导企业入园集聚发展。研究在家具、印染等行业建立涉VOCs原料和税收挂钩的评价制度，实行低效企业末位淘汰。</w:t>
      </w:r>
      <w:r>
        <w:rPr>
          <w:rFonts w:ascii="Times New Roman" w:cs="Times New Roman" w:hAnsi="Times New Roman"/>
          <w:bCs/>
          <w:color w:val="auto"/>
          <w:szCs w:val="32"/>
        </w:rPr>
        <w:t>严格常态化执法和强制性标准实施，重点企业通过安装在线监控、用电监控等方式全面实现在线监管，对能耗、环保、安全、技术达不到标准和生产不合格产品或淘汰类产能依法依规关停退出</w:t>
      </w:r>
      <w:r>
        <w:rPr>
          <w:rFonts w:ascii="Times New Roman" w:cs="Times New Roman" w:hAnsi="Times New Roman"/>
          <w:color w:val="auto"/>
          <w:szCs w:val="32"/>
        </w:rPr>
        <w:t>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（责任单位：市生态环境局、市经信局、市发展改革委、市自然资源和规划局、市应急管理局）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（四）支持营销“多元化”转型升级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9.助力企业出海拓市。</w:t>
      </w:r>
      <w:r>
        <w:rPr>
          <w:rFonts w:ascii="Times New Roman" w:cs="Times New Roman" w:hAnsi="Times New Roman"/>
          <w:color w:val="auto"/>
          <w:szCs w:val="32"/>
        </w:rPr>
        <w:t>积极推动行业协会作用发挥，引领行业内企业抱团出海，参加各类国内外知名展会，并在线上开展平台团购、直播带货等新型销售模式，畅通传统产品出口销售渠道。引导企业参与“一带一路”建设，通过跨境电商、设立海外仓、品牌出海等方式，打造“基地在海外、营销在全球、总部在湖州”的本土企业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（责任单位：市商务局）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10.支持企业兼并重组。</w:t>
      </w:r>
      <w:r>
        <w:rPr>
          <w:rFonts w:ascii="Times New Roman" w:cs="Times New Roman" w:hAnsi="Times New Roman"/>
          <w:color w:val="auto"/>
          <w:szCs w:val="32"/>
        </w:rPr>
        <w:t>鼓励传统优势企业围绕提升产业集中度、延伸产业链，撬动社会资本，通过直接投资、收购兼并等方式，在全球范围整合技术、品牌、营销网络和战略资源渠道等核心资源，建立国际化生产基地、研发设计基地、海外孵化器，实现换道发展、转型升级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（责任单位：市经信局、市金融办）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textAlignment w:val="auto"/>
        <w:rPr>
          <w:rFonts w:ascii="Times New Roman" w:eastAsia="楷体_GB2312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11.满足新型消费需求。</w:t>
      </w:r>
      <w:r>
        <w:rPr>
          <w:rFonts w:ascii="Times New Roman" w:cs="Times New Roman" w:hAnsi="Times New Roman"/>
          <w:color w:val="auto"/>
          <w:szCs w:val="32"/>
        </w:rPr>
        <w:t>加快工业旅游与文化旅游有机融合，通过向国内外游客展示传统工业遗产、传统工业基地、老字号品牌生产、传统工艺表演等形式，充分利用文旅吸引流量和传统产品刺激消费的互补优势，设计一批工厂旅游精品线路。积极开设全国首店、区域首店、城市首店到新概念店、设计师品牌店，通过在产品、服务、业态等多个维度的创新，满足消费者新型、多样、个性的市场消费需求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（责任单位：市商务局、市经信局、市文化广电旅游局）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textAlignment w:val="auto"/>
        <w:rPr>
          <w:rFonts w:ascii="Times New Roman" w:cs="Times New Roman" w:hAnsi="Times New Roman"/>
          <w:color w:val="auto"/>
          <w:szCs w:val="32"/>
        </w:rPr>
      </w:pPr>
      <w:r>
        <w:rPr>
          <w:rFonts w:ascii="Times New Roman" w:cs="Times New Roman" w:hAnsi="Times New Roman"/>
          <w:b/>
          <w:bCs/>
          <w:color w:val="auto"/>
          <w:szCs w:val="32"/>
        </w:rPr>
        <w:t>12.加大产品推广应用。</w:t>
      </w:r>
      <w:r>
        <w:rPr>
          <w:rFonts w:ascii="Times New Roman" w:cs="Times New Roman" w:hAnsi="Times New Roman"/>
          <w:color w:val="auto"/>
          <w:szCs w:val="32"/>
        </w:rPr>
        <w:t>推动传统特色产业企业主动对接国家、省、市重点项目，进一步拓展产品应用范围。以创建国家级服务型制造城市的机遇，支持健康座椅等产品生产企业参加国家、省、市招标，跻身大型民营企业、外资企业的采购目录名单，加大推广力度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（责任单位：市发展改革委、市经信局、市财政局、市建设局、市商务局、市国资委）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600" w:lineRule="exact"/>
        <w:textAlignment w:val="auto"/>
        <w:rPr>
          <w:rFonts w:ascii="Times New Roman" w:eastAsia="黑体" w:cs="Times New Roman" w:hAnsi="Times New Roman"/>
          <w:color w:val="auto"/>
          <w:szCs w:val="32"/>
        </w:rPr>
      </w:pPr>
      <w:r>
        <w:rPr>
          <w:rFonts w:ascii="Times New Roman" w:eastAsia="黑体" w:cs="Times New Roman" w:hAnsi="Times New Roman"/>
          <w:color w:val="auto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ind w:firstLineChars="0" w:firstLine="643"/>
        <w:textAlignment w:val="auto"/>
        <w:rPr>
          <w:rFonts w:ascii="Times New Roman" w:cs="Times New Roman" w:hAnsi="Times New Roman"/>
          <w:bCs/>
          <w:color w:val="auto"/>
          <w:spacing w:val="-4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（一）加强组织领导。</w:t>
      </w:r>
      <w:r>
        <w:rPr>
          <w:rFonts w:ascii="Times New Roman" w:cs="Times New Roman" w:hAnsi="Times New Roman"/>
          <w:color w:val="auto"/>
          <w:szCs w:val="32"/>
        </w:rPr>
        <w:t>市制造业高质量发展领导小组负责统筹传统产业转型升级工作，建议联席会议工作制度，由市领导定期召开会议，研究、</w:t>
      </w:r>
      <w:r>
        <w:rPr>
          <w:rFonts w:ascii="Times New Roman" w:cs="Times New Roman" w:hAnsi="Times New Roman"/>
          <w:color w:val="auto"/>
          <w:kern w:val="0"/>
          <w:szCs w:val="32"/>
        </w:rPr>
        <w:t>协调解决推进过程中遇到的困难和问题</w:t>
      </w:r>
      <w:r>
        <w:rPr>
          <w:rFonts w:ascii="Times New Roman" w:cs="Times New Roman" w:hAnsi="Times New Roman"/>
          <w:color w:val="auto"/>
          <w:szCs w:val="32"/>
        </w:rPr>
        <w:t>。区县强化组织领导，落实主体责任，对列入重点区域的行业制定“一业一策”方案，细化工作举措及任务清单，强化闭环管理。</w:t>
      </w:r>
      <w:r>
        <w:rPr>
          <w:rFonts w:ascii="Times New Roman" w:eastAsia="楷体_GB2312" w:cs="Times New Roman" w:hAnsi="Times New Roman"/>
          <w:color w:val="auto"/>
          <w:szCs w:val="32"/>
        </w:rPr>
        <w:t>（责任单位：市制高办及各成员单位，各区县人民政府〈含南太湖新区、长合区管委会，下同〉）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eastAsia="楷体_GB2312" w:cs="Times New Roman" w:hAnsi="Times New Roman"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（二）加大政策支持。</w:t>
      </w:r>
      <w:r>
        <w:rPr>
          <w:rFonts w:ascii="Times New Roman" w:cs="Times New Roman" w:hAnsi="Times New Roman"/>
          <w:bCs/>
          <w:color w:val="auto"/>
          <w:szCs w:val="32"/>
        </w:rPr>
        <w:t>支持传统产业企业实施数字化转型、绿色化发展，在“零土地”技改、绿色智造等方面强化资金保障；支持企业抱团出海，鼓励企业在境外投资设立或租用电商海外仓，对符合条件的给予一定奖励，对出口企业“应保尽保”；对重点领域开展产能优化整合的兼并重组项目，实行“一事一议”。</w:t>
      </w:r>
      <w:r>
        <w:rPr>
          <w:rFonts w:ascii="Times New Roman" w:eastAsia="楷体_GB2312" w:cs="Times New Roman" w:hAnsi="Times New Roman"/>
          <w:bCs/>
          <w:color w:val="auto"/>
          <w:szCs w:val="32"/>
        </w:rPr>
        <w:t>（责任单位：市经信局、市商务局、市财政局）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pacing w:line="600" w:lineRule="exact"/>
        <w:textAlignment w:val="auto"/>
        <w:rPr>
          <w:rFonts w:ascii="Times New Roman" w:cs="Times New Roman" w:hAnsi="Times New Roman"/>
          <w:bCs/>
          <w:color w:val="auto"/>
          <w:szCs w:val="32"/>
        </w:rPr>
      </w:pPr>
      <w:r>
        <w:rPr>
          <w:rFonts w:ascii="Times New Roman" w:eastAsia="楷体_GB2312" w:cs="Times New Roman" w:hAnsi="Times New Roman"/>
          <w:b/>
          <w:bCs/>
          <w:color w:val="auto"/>
          <w:szCs w:val="32"/>
        </w:rPr>
        <w:t>（三）强化要素保障。</w:t>
      </w:r>
      <w:r>
        <w:rPr>
          <w:rFonts w:ascii="Times New Roman" w:cs="Times New Roman" w:hAnsi="Times New Roman"/>
          <w:bCs/>
          <w:color w:val="auto"/>
          <w:szCs w:val="32"/>
        </w:rPr>
        <w:t>支持区县提足“腾笼换鸟”专项经费，用于盘活工业用地、企业整治提升、产业园区配套设施建设等方面；对符合产业导向的中小微企业，在符合安全、环保等标准的情况下，进一步降低入园成本，推动产业集聚集约发展；出台转型贷款贴息补助配套政策，为转型企业提供更高额度、更低利率、更快审批效率的差异化服务方案。</w:t>
      </w:r>
      <w:r>
        <w:rPr>
          <w:rFonts w:ascii="Times New Roman" w:eastAsia="楷体_GB2312" w:cs="Times New Roman" w:hAnsi="Times New Roman"/>
          <w:bCs/>
          <w:color w:val="auto"/>
          <w:szCs w:val="32"/>
        </w:rPr>
        <w:t>（责任单位：市经信局、市自然资源和规划局、市金融办、市财政局）</w:t>
      </w:r>
    </w:p>
    <w:p>
      <w:pPr>
        <w:pStyle w:val="133"/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pacing w:line="600" w:lineRule="exact"/>
        <w:ind w:firstLineChars="200" w:firstLine="640"/>
        <w:textAlignment w:val="auto"/>
        <w:rPr>
          <w:rFonts w:ascii="Times New Roman" w:eastAsia="方正小标宋简体" w:cs="Times New Roman" w:hAnsi="Times New Roman"/>
          <w:color w:val="auto"/>
          <w:sz w:val="36"/>
          <w:szCs w:val="36"/>
        </w:rPr>
      </w:pPr>
      <w:r>
        <w:rPr>
          <w:rFonts w:ascii="Times New Roman" w:eastAsia="楷体_GB2312" w:cs="Times New Roman" w:hAnsi="Times New Roman"/>
          <w:b/>
          <w:bCs/>
          <w:color w:val="auto"/>
          <w:sz w:val="32"/>
          <w:szCs w:val="32"/>
        </w:rPr>
        <w:t>（四）营造浓厚氛围。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</w:rPr>
        <w:t>积极发掘、培育和树立一批转型升级新样板，广泛宣传传统特色优势产业转型案例和企业典型代表。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依托“看见”栏目载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</w:rPr>
        <w:t>体，推行“一地曝光、全域整改”，对未按期整改完成的企业，发现一起、曝光一起。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依托各类科研院所、高等院校、行业协会等机构，鼓励传统制造企业组织或参与各类国际性、全国性交流活动，积极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</w:rPr>
        <w:t>举办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十链百场万企等拓市场活动。</w:t>
      </w:r>
      <w:r>
        <w:rPr>
          <w:rFonts w:ascii="Times New Roman" w:eastAsia="楷体_GB2312" w:cs="Times New Roman" w:hAnsi="Times New Roman"/>
          <w:color w:val="auto"/>
          <w:sz w:val="32"/>
          <w:szCs w:val="32"/>
        </w:rPr>
        <w:t>（责任单位：市制高办、各区县人民政府）</w:t>
      </w:r>
    </w:p>
    <w:p>
      <w:pPr>
        <w:spacing w:line="240" w:lineRule="auto"/>
        <w:ind w:left="0" w:firstLineChars="0" w:firstLine="0"/>
        <w:jc w:val="left"/>
      </w:pPr>
    </w:p>
    <w:p/>
    <w:sectPr>
      <w:footerReference w:type="default" r:id="rId2"/>
      <w:pgSz w:w="11906" w:h="16838"/>
      <w:pgMar w:top="1701" w:right="1644" w:bottom="1701" w:left="1644" w:header="851" w:footer="992" w:gutter="0"/>
      <w:cols w:num="1" w:space="425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000" cy="380999"/>
              <wp:effectExtent l="0" t="0" r="0" b="0"/>
              <wp:wrapNone/>
              <wp:docPr id="1" name="_x0000_s409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81000" cy="38099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4097 3" o:spid="_x0000_s3" filled="f" stroked="f" style="position:absolute;margin-left:0.0pt;margin-top:0.0pt;width:30.0pt;height:29.999954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0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33">
    <w:name w:val="footer"/>
    <w:basedOn w:val="0"/>
    <w:next w:val="23"/>
    <w:pPr>
      <w:widowControl w:val="0"/>
      <w:tabs>
        <w:tab w:val="center" w:pos="4153"/>
        <w:tab w:val="right" w:pos="8306"/>
      </w:tabs>
      <w:snapToGrid w:val="0"/>
      <w:spacing w:line="600" w:lineRule="exact"/>
      <w:ind w:firstLineChars="200" w:firstLine="200"/>
      <w:jc w:val="left"/>
    </w:pPr>
    <w:rPr>
      <w:rFonts w:ascii="Times New Roman" w:eastAsia="仿宋_GB2312" w:cs="Times New Roman" w:hAnsi="Times New Roman"/>
      <w:kern w:val="2"/>
      <w:sz w:val="18"/>
      <w:szCs w:val="22"/>
      <w:lang w:val="en-US" w:eastAsia="zh-CN" w:bidi="ar-SA"/>
    </w:rPr>
  </w:style>
  <w:style w:type="paragraph" w:customStyle="1" w:styleId="133">
    <w:name w:val="首行缩进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2" Type="http://schemas.openxmlformats.org/officeDocument/2006/relationships/footer" Target="footer1.xml"/>
  <Relationship Id="rId3" Type="http://schemas.openxmlformats.org/officeDocument/2006/relationships/styles" Target="styles.xml"/>
  <Relationship Id="rId4" Type="http://schemas.openxmlformats.org/officeDocument/2006/relationships/fontTable" Target="fontTable.xml"/>
  <Relationship Id="rId5" Type="http://schemas.openxmlformats.org/officeDocument/2006/relationships/customXml" Target="../customXml/item1.xml"/>
</Relationships>
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990A5C8-F405-42C3-A29C-E7141A89C26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14</Pages>
  <Words>0</Words>
  <Characters>5177</Characters>
  <Lines>0</Lines>
  <Paragraphs>80</Paragraphs>
  <CharactersWithSpaces>6903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2023-09-06T02:08:55Z</dcterms:created>
  <dc:creator>Huzhou</dc:creator>
  <lastModifiedBy>Huzhou</lastModifiedBy>
  <dcterms:modified xsi:type="dcterms:W3CDTF">2023-09-06T02:12:02Z</dcterms:modified>
  <revision>1</revision>
</coreProperties>
</file>