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jc w:val="left"/>
        <w:textAlignment w:val="auto"/>
        <w:rPr>
          <w:rFonts w:hint="default" w:ascii="黑体" w:hAnsi="黑体" w:eastAsia="黑体" w:cs="黑体"/>
          <w:sz w:val="32"/>
          <w:szCs w:val="32"/>
          <w:lang w:val="en" w:eastAsia="zh-CN"/>
        </w:rPr>
      </w:pPr>
      <w:bookmarkStart w:id="0" w:name="_GoBack"/>
      <w:bookmarkEnd w:id="0"/>
      <w:r>
        <w:rPr>
          <w:rFonts w:hint="eastAsia" w:ascii="黑体" w:hAnsi="黑体" w:eastAsia="黑体" w:cs="黑体"/>
          <w:sz w:val="32"/>
          <w:szCs w:val="32"/>
          <w:lang w:val="en" w:eastAsia="zh-CN"/>
        </w:rPr>
        <w:t>附件</w:t>
      </w:r>
      <w:r>
        <w:rPr>
          <w:rFonts w:hint="default" w:ascii="黑体" w:hAnsi="黑体" w:eastAsia="黑体" w:cs="黑体"/>
          <w:sz w:val="32"/>
          <w:szCs w:val="32"/>
          <w:lang w:val="en" w:eastAsia="zh-CN"/>
        </w:rPr>
        <w:t>2</w:t>
      </w:r>
    </w:p>
    <w:p>
      <w:pPr>
        <w:keepNext w:val="0"/>
        <w:keepLines w:val="0"/>
        <w:pageBreakBefore w:val="0"/>
        <w:kinsoku/>
        <w:wordWrap/>
        <w:topLinePunct w:val="0"/>
        <w:bidi w:val="0"/>
        <w:spacing w:line="560" w:lineRule="exact"/>
        <w:jc w:val="left"/>
        <w:textAlignment w:val="auto"/>
        <w:rPr>
          <w:rFonts w:hint="eastAsia"/>
        </w:rPr>
      </w:pPr>
      <w:r>
        <w:rPr>
          <w:rFonts w:hint="eastAsia" w:ascii="仿宋_GB2312" w:hAnsi="仿宋_GB2312" w:eastAsia="仿宋_GB2312" w:cs="仿宋_GB2312"/>
          <w:sz w:val="36"/>
          <w:szCs w:val="36"/>
        </w:rPr>
        <w:t xml:space="preserve">                </w:t>
      </w:r>
    </w:p>
    <w:p>
      <w:pPr>
        <w:keepNext w:val="0"/>
        <w:keepLines w:val="0"/>
        <w:pageBreakBefore w:val="0"/>
        <w:kinsoku/>
        <w:wordWrap/>
        <w:topLinePunct w:val="0"/>
        <w:bidi w:val="0"/>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hAnsi="方正小标宋简体" w:eastAsia="方正小标宋简体" w:cs="方正小标宋简体"/>
          <w:sz w:val="44"/>
          <w:szCs w:val="44"/>
        </w:rPr>
        <w:t>《文化和旅游部 公安部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eastAsia="方正小标宋简体"/>
          <w:sz w:val="44"/>
          <w:szCs w:val="44"/>
          <w:lang w:val="en-US" w:eastAsia="zh-CN"/>
        </w:rPr>
        <w:t>国务院未成年人</w:t>
      </w:r>
    </w:p>
    <w:p>
      <w:pPr>
        <w:keepNext w:val="0"/>
        <w:keepLines w:val="0"/>
        <w:pageBreakBefore w:val="0"/>
        <w:kinsoku/>
        <w:wordWrap/>
        <w:topLinePunct w:val="0"/>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lang w:val="en-US" w:eastAsia="zh-CN"/>
        </w:rPr>
        <w:t>保护工作领导小组办公室</w:t>
      </w:r>
      <w:r>
        <w:rPr>
          <w:rFonts w:hint="eastAsia" w:ascii="方正小标宋简体" w:hAnsi="方正小标宋简体" w:eastAsia="方正小标宋简体" w:cs="方正小标宋简体"/>
          <w:sz w:val="44"/>
          <w:szCs w:val="44"/>
        </w:rPr>
        <w:t>关于加强电竞</w:t>
      </w:r>
    </w:p>
    <w:p>
      <w:pPr>
        <w:keepNext w:val="0"/>
        <w:keepLines w:val="0"/>
        <w:pageBreakBefore w:val="0"/>
        <w:kinsoku/>
        <w:wordWrap/>
        <w:topLinePunct w:val="0"/>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酒店未成年人保护工作的通知</w:t>
      </w:r>
    </w:p>
    <w:p>
      <w:pPr>
        <w:keepNext w:val="0"/>
        <w:keepLines w:val="0"/>
        <w:pageBreakBefore w:val="0"/>
        <w:kinsoku/>
        <w:wordWrap/>
        <w:topLinePunct w:val="0"/>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（征求意见稿）》的起草说明</w:t>
      </w:r>
    </w:p>
    <w:p>
      <w:pPr>
        <w:keepNext w:val="0"/>
        <w:keepLines w:val="0"/>
        <w:pageBreakBefore w:val="0"/>
        <w:tabs>
          <w:tab w:val="left" w:pos="736"/>
        </w:tabs>
        <w:kinsoku/>
        <w:wordWrap/>
        <w:topLinePunct w:val="0"/>
        <w:bidi w:val="0"/>
        <w:spacing w:line="560" w:lineRule="exact"/>
        <w:textAlignment w:val="auto"/>
        <w:rPr>
          <w:rFonts w:ascii="仿宋_GB2312" w:eastAsia="仿宋_GB2312"/>
          <w:sz w:val="32"/>
          <w:szCs w:val="32"/>
        </w:rPr>
      </w:pPr>
      <w:r>
        <w:rPr>
          <w:rFonts w:hint="eastAsia" w:ascii="仿宋_GB2312" w:eastAsia="仿宋_GB2312"/>
          <w:sz w:val="32"/>
          <w:szCs w:val="32"/>
        </w:rPr>
        <w:tab/>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加强电竞酒店未成年人保护工作</w:t>
      </w:r>
      <w:r>
        <w:rPr>
          <w:rFonts w:hint="eastAsia" w:ascii="仿宋_GB2312" w:hAnsi="仿宋_GB2312" w:eastAsia="仿宋_GB2312" w:cs="仿宋_GB2312"/>
          <w:sz w:val="32"/>
          <w:szCs w:val="32"/>
        </w:rPr>
        <w:t>，回应社会关切，切实保障未成年人身心健康，促进电竞酒店行业健康有序发展，文化和旅游部会同公安部</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国务院未成年人保护工作领导小组办公室</w:t>
      </w:r>
      <w:r>
        <w:rPr>
          <w:rFonts w:hint="eastAsia" w:ascii="仿宋_GB2312" w:hAnsi="仿宋_GB2312" w:eastAsia="仿宋_GB2312" w:cs="仿宋_GB2312"/>
          <w:sz w:val="32"/>
          <w:szCs w:val="32"/>
        </w:rPr>
        <w:t>起草了《文化和旅游部 公安部</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eastAsia="zh-CN"/>
        </w:rPr>
        <w:t>国务院未成年人保护工作领导小组办公室</w:t>
      </w:r>
      <w:r>
        <w:rPr>
          <w:rFonts w:hint="eastAsia" w:ascii="仿宋_GB2312" w:hAnsi="仿宋_GB2312" w:eastAsia="仿宋_GB2312" w:cs="仿宋_GB2312"/>
          <w:sz w:val="32"/>
          <w:szCs w:val="32"/>
        </w:rPr>
        <w:t>关于加强电竞酒店未成年人保护工作的通知（征求意见稿）》（以下简称《通知》），现将有关起草情况说明如下。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一、起草背景</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电竞酒店兼具住宿和电子竞技娱乐等服务功能。近年来，电竞酒店行业快速发展，在满足群众需求、扩大消费等方面起到了积极作用，但同时也存在接待未成年人</w:t>
      </w:r>
      <w:r>
        <w:rPr>
          <w:rFonts w:hint="eastAsia" w:ascii="仿宋_GB2312" w:hAnsi="仿宋_GB2312" w:eastAsia="仿宋_GB2312" w:cs="仿宋_GB2312"/>
          <w:sz w:val="32"/>
          <w:szCs w:val="32"/>
          <w:lang w:val="en"/>
        </w:rPr>
        <w:t>产生</w:t>
      </w:r>
      <w:r>
        <w:rPr>
          <w:rFonts w:hint="eastAsia" w:ascii="仿宋_GB2312" w:hAnsi="仿宋_GB2312" w:eastAsia="仿宋_GB2312" w:cs="仿宋_GB2312"/>
          <w:sz w:val="32"/>
          <w:szCs w:val="32"/>
        </w:rPr>
        <w:t>沉迷网络等问题。社会各界</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关注，全国人大代表</w:t>
      </w:r>
      <w:r>
        <w:rPr>
          <w:rFonts w:hint="eastAsia" w:ascii="仿宋_GB2312" w:hAnsi="仿宋_GB2312" w:eastAsia="仿宋_GB2312" w:cs="仿宋_GB2312"/>
          <w:sz w:val="32"/>
          <w:szCs w:val="32"/>
          <w:lang w:eastAsia="zh-CN"/>
        </w:rPr>
        <w:t>、政协委员</w:t>
      </w:r>
      <w:r>
        <w:rPr>
          <w:rFonts w:hint="eastAsia" w:ascii="仿宋_GB2312" w:hAnsi="仿宋_GB2312" w:eastAsia="仿宋_GB2312" w:cs="仿宋_GB2312"/>
          <w:sz w:val="32"/>
          <w:szCs w:val="32"/>
        </w:rPr>
        <w:t>多次提出关于禁止电竞酒店接待未成年人的建议，江苏宿迁等地检察院就电竞酒店接待未成年人问题提起公益性诉讼，中央电视台等主流媒体呼吁政府部门加强电竞酒店未成年人保护工作。</w:t>
      </w:r>
    </w:p>
    <w:p>
      <w:pPr>
        <w:pStyle w:val="2"/>
        <w:keepNext w:val="0"/>
        <w:keepLines w:val="0"/>
        <w:pageBreakBefore w:val="0"/>
        <w:widowControl w:val="0"/>
        <w:kinsoku/>
        <w:wordWrap/>
        <w:topLinePunct w:val="0"/>
        <w:autoSpaceDE/>
        <w:autoSpaceDN/>
        <w:bidi w:val="0"/>
        <w:adjustRightInd/>
        <w:snapToGrid/>
        <w:spacing w:after="0" w:line="560" w:lineRule="exact"/>
        <w:ind w:firstLine="640"/>
        <w:textAlignment w:val="auto"/>
        <w:rPr>
          <w:rFonts w:hAnsi="仿宋_GB2312" w:eastAsia="仿宋_GB2312" w:cs="仿宋_GB2312"/>
          <w:sz w:val="32"/>
          <w:szCs w:val="32"/>
        </w:rPr>
      </w:pPr>
      <w:r>
        <w:rPr>
          <w:rFonts w:hint="eastAsia" w:hAnsi="仿宋_GB2312" w:eastAsia="仿宋_GB2312" w:cs="仿宋_GB2312"/>
          <w:sz w:val="32"/>
          <w:szCs w:val="32"/>
        </w:rPr>
        <w:t>自2018年电竞酒店刚兴起之时，文化和旅游部即关注行业发展情况，多次赴全国各地深入开展调研，并形成多份调研报告</w:t>
      </w:r>
      <w:r>
        <w:rPr>
          <w:rFonts w:hint="eastAsia" w:hAnsi="仿宋_GB2312" w:eastAsia="仿宋_GB2312" w:cs="仿宋_GB2312"/>
          <w:sz w:val="32"/>
          <w:szCs w:val="32"/>
          <w:lang w:eastAsia="zh-CN"/>
        </w:rPr>
        <w:t>，其中，</w:t>
      </w:r>
      <w:r>
        <w:rPr>
          <w:rFonts w:hint="eastAsia" w:hAnsi="仿宋_GB2312" w:eastAsia="仿宋_GB2312" w:cs="仿宋_GB2312"/>
          <w:sz w:val="32"/>
          <w:szCs w:val="32"/>
        </w:rPr>
        <w:t>2022年会同公安部等部门在北京等地开展</w:t>
      </w:r>
      <w:r>
        <w:rPr>
          <w:rFonts w:hint="eastAsia" w:hAnsi="仿宋_GB2312" w:eastAsia="仿宋_GB2312" w:cs="仿宋_GB2312"/>
          <w:sz w:val="32"/>
          <w:szCs w:val="32"/>
          <w:lang w:eastAsia="zh-CN"/>
        </w:rPr>
        <w:t>了</w:t>
      </w:r>
      <w:r>
        <w:rPr>
          <w:rFonts w:hint="eastAsia" w:hAnsi="仿宋_GB2312" w:eastAsia="仿宋_GB2312" w:cs="仿宋_GB2312"/>
          <w:sz w:val="32"/>
          <w:szCs w:val="32"/>
        </w:rPr>
        <w:t>专题调研。为了探索电竞酒店未成年人保护工作，文化和旅游部于2021年底起在上海市浦东新区和湖南省长沙市、湘潭市等地开展电竞酒店管理试点工作，并于2023年2月中旬完成试点验收工作。</w:t>
      </w:r>
    </w:p>
    <w:p>
      <w:pPr>
        <w:pStyle w:val="2"/>
        <w:keepNext w:val="0"/>
        <w:keepLines w:val="0"/>
        <w:pageBreakBefore w:val="0"/>
        <w:widowControl w:val="0"/>
        <w:kinsoku/>
        <w:wordWrap/>
        <w:topLinePunct w:val="0"/>
        <w:autoSpaceDE/>
        <w:autoSpaceDN/>
        <w:bidi w:val="0"/>
        <w:adjustRightInd/>
        <w:snapToGrid/>
        <w:spacing w:after="0" w:line="560" w:lineRule="exact"/>
        <w:ind w:firstLine="640"/>
        <w:textAlignment w:val="auto"/>
        <w:rPr>
          <w:rFonts w:hint="eastAsia" w:hAnsi="仿宋_GB2312" w:eastAsia="仿宋_GB2312" w:cs="仿宋_GB2312"/>
          <w:sz w:val="32"/>
          <w:szCs w:val="32"/>
        </w:rPr>
      </w:pPr>
      <w:r>
        <w:rPr>
          <w:rFonts w:hint="eastAsia" w:hAnsi="仿宋_GB2312" w:eastAsia="仿宋_GB2312" w:cs="仿宋_GB2312"/>
          <w:sz w:val="32"/>
          <w:szCs w:val="32"/>
          <w:lang w:eastAsia="zh-CN"/>
        </w:rPr>
        <w:t>为坚决贯彻落实中央关于“放管服”改革、对新业态实施包容审慎监管制度等决策部署，</w:t>
      </w:r>
      <w:r>
        <w:rPr>
          <w:rFonts w:hint="eastAsia" w:hAnsi="仿宋_GB2312" w:eastAsia="仿宋_GB2312" w:cs="仿宋_GB2312"/>
          <w:sz w:val="32"/>
          <w:szCs w:val="32"/>
        </w:rPr>
        <w:t>文化和旅游部、公安部</w:t>
      </w:r>
      <w:r>
        <w:rPr>
          <w:rFonts w:hint="eastAsia" w:hAnsi="仿宋_GB2312" w:eastAsia="仿宋_GB2312" w:cs="仿宋_GB2312"/>
          <w:sz w:val="32"/>
          <w:szCs w:val="32"/>
          <w:lang w:eastAsia="zh-CN"/>
        </w:rPr>
        <w:t>、</w:t>
      </w:r>
      <w:r>
        <w:rPr>
          <w:rFonts w:hint="eastAsia" w:ascii="仿宋_GB2312" w:eastAsia="仿宋_GB2312"/>
          <w:sz w:val="32"/>
          <w:szCs w:val="32"/>
          <w:lang w:eastAsia="zh-CN"/>
        </w:rPr>
        <w:t>国务院未成年人保护工作领导小组办公室</w:t>
      </w:r>
      <w:r>
        <w:rPr>
          <w:rFonts w:hint="eastAsia" w:hAnsi="仿宋_GB2312" w:eastAsia="仿宋_GB2312" w:cs="仿宋_GB2312"/>
          <w:sz w:val="32"/>
          <w:szCs w:val="32"/>
        </w:rPr>
        <w:t>等部门</w:t>
      </w:r>
      <w:r>
        <w:rPr>
          <w:rFonts w:hint="eastAsia" w:hAnsi="仿宋_GB2312" w:eastAsia="仿宋_GB2312" w:cs="仿宋_GB2312"/>
          <w:sz w:val="32"/>
          <w:szCs w:val="32"/>
          <w:lang w:eastAsia="zh-CN"/>
        </w:rPr>
        <w:t>经</w:t>
      </w:r>
      <w:r>
        <w:rPr>
          <w:rFonts w:hint="eastAsia" w:hAnsi="仿宋_GB2312" w:eastAsia="仿宋_GB2312" w:cs="仿宋_GB2312"/>
          <w:sz w:val="32"/>
          <w:szCs w:val="32"/>
        </w:rPr>
        <w:t>反复研讨会商，结合地方实践经验和企业、行业协会、有关部门等各方意见，逐步形成监管共识：电竞酒店属于社会普遍认为的不适宜未成年人活动的场所，必须加强电竞酒店接待未成年人</w:t>
      </w:r>
      <w:r>
        <w:rPr>
          <w:rFonts w:hint="eastAsia" w:hAnsi="仿宋_GB2312" w:eastAsia="仿宋_GB2312" w:cs="仿宋_GB2312"/>
          <w:sz w:val="32"/>
          <w:szCs w:val="32"/>
          <w:lang w:eastAsia="zh-CN"/>
        </w:rPr>
        <w:t>监管</w:t>
      </w:r>
      <w:r>
        <w:rPr>
          <w:rFonts w:hint="eastAsia" w:hAnsi="仿宋_GB2312" w:eastAsia="仿宋_GB2312" w:cs="仿宋_GB2312"/>
          <w:sz w:val="32"/>
          <w:szCs w:val="32"/>
        </w:rPr>
        <w:t>工作，但暂不建议将电竞酒店定性为互联网上网服务营业场所，主要考虑两个方面因素：一是现有电竞酒店普遍不符合互联网上网服务营业场所24时至8时不得营业、营业期间禁止锁闭门窗等规定，</w:t>
      </w:r>
      <w:r>
        <w:rPr>
          <w:rFonts w:hint="eastAsia" w:hAnsi="仿宋_GB2312" w:eastAsia="仿宋_GB2312" w:cs="仿宋_GB2312"/>
          <w:sz w:val="32"/>
          <w:szCs w:val="32"/>
          <w:lang w:eastAsia="zh-CN"/>
        </w:rPr>
        <w:t>难以取得网络文化经营许可证，</w:t>
      </w:r>
      <w:r>
        <w:rPr>
          <w:rFonts w:hint="eastAsia" w:hAnsi="仿宋_GB2312" w:eastAsia="仿宋_GB2312" w:cs="仿宋_GB2312"/>
          <w:sz w:val="32"/>
          <w:szCs w:val="32"/>
        </w:rPr>
        <w:t>二是按照互联网上网服务营业场所对电竞酒店实施管理，容易产生收缩性影响。各方普遍建议坚持问题导向，创新监管方式，既坚决管住电竞酒店接待未成年人问题，又秉持包容审慎原则，合理引导电竞酒店行业健康有序发展。</w:t>
      </w:r>
    </w:p>
    <w:p>
      <w:pPr>
        <w:pStyle w:val="2"/>
        <w:keepNext w:val="0"/>
        <w:keepLines w:val="0"/>
        <w:pageBreakBefore w:val="0"/>
        <w:widowControl w:val="0"/>
        <w:kinsoku/>
        <w:wordWrap/>
        <w:topLinePunct w:val="0"/>
        <w:autoSpaceDE/>
        <w:autoSpaceDN/>
        <w:bidi w:val="0"/>
        <w:adjustRightInd/>
        <w:snapToGrid/>
        <w:spacing w:after="0" w:line="560" w:lineRule="exact"/>
        <w:ind w:firstLine="640"/>
        <w:textAlignment w:val="auto"/>
        <w:rPr>
          <w:rFonts w:hAnsi="仿宋_GB2312" w:eastAsia="仿宋_GB2312" w:cs="仿宋_GB2312"/>
          <w:sz w:val="32"/>
          <w:szCs w:val="32"/>
        </w:rPr>
      </w:pPr>
      <w:r>
        <w:rPr>
          <w:rFonts w:hint="eastAsia" w:hAnsi="仿宋_GB2312" w:eastAsia="仿宋_GB2312" w:cs="仿宋_GB2312"/>
          <w:sz w:val="32"/>
          <w:szCs w:val="32"/>
          <w:lang w:eastAsia="zh-CN"/>
        </w:rPr>
        <w:t>《通知》书面征求了全国人大法工委、最高人民检察院、商务部等部门意见，并吸收了相关意见建议，基本形成监管共识。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textAlignment w:val="auto"/>
        <w:rPr>
          <w:rFonts w:ascii="黑体" w:hAnsi="黑体" w:eastAsia="黑体" w:cs="仿宋_GB2312"/>
          <w:sz w:val="32"/>
          <w:szCs w:val="32"/>
        </w:rPr>
      </w:pPr>
      <w:r>
        <w:rPr>
          <w:rFonts w:hint="eastAsia" w:ascii="黑体" w:hAnsi="黑体" w:eastAsia="黑体" w:cs="仿宋_GB2312"/>
          <w:sz w:val="32"/>
          <w:szCs w:val="32"/>
        </w:rPr>
        <w:t>二、主要内容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《通知》坚持问题导向，从明确底线、强化主体责任、加强协同监管等方面提出管理要求，坚持从管主体审批向管行为转变，以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小切口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解决电竞酒店接待未成年人问题，建立系列事中监管制度，明确行政处罚依据，在不改变电竞酒店基本行业生态和经营活动的情况下，切实保障未成年人身心健康。</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（一）提高政治站位。</w:t>
      </w:r>
      <w:r>
        <w:rPr>
          <w:rFonts w:hint="eastAsia" w:ascii="仿宋_GB2312" w:hAnsi="仿宋_GB2312" w:eastAsia="仿宋_GB2312" w:cs="仿宋_GB2312"/>
          <w:sz w:val="32"/>
          <w:szCs w:val="32"/>
        </w:rPr>
        <w:t>《通知》要求</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高度重视电竞酒店未成年人保护工作，切实肩负起相应职责，创新监管方式，坚决管住电竞酒店接待未成年人问题，做到守土有责、守土尽责。</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（二）明确业态属性。</w:t>
      </w:r>
      <w:r>
        <w:rPr>
          <w:rFonts w:hint="eastAsia" w:ascii="仿宋_GB2312" w:hAnsi="仿宋_GB2312" w:eastAsia="仿宋_GB2312" w:cs="仿宋_GB2312"/>
          <w:sz w:val="32"/>
          <w:szCs w:val="32"/>
        </w:rPr>
        <w:t>《通知》将电竞酒店</w:t>
      </w:r>
      <w:r>
        <w:rPr>
          <w:rFonts w:hint="eastAsia" w:ascii="仿宋_GB2312" w:hAnsi="仿宋_GB2312" w:eastAsia="仿宋_GB2312" w:cs="仿宋_GB2312"/>
          <w:sz w:val="32"/>
          <w:szCs w:val="32"/>
          <w:lang w:eastAsia="zh-CN"/>
        </w:rPr>
        <w:t>界定</w:t>
      </w:r>
      <w:r>
        <w:rPr>
          <w:rFonts w:hint="eastAsia" w:ascii="仿宋_GB2312" w:hAnsi="仿宋_GB2312" w:eastAsia="仿宋_GB2312" w:cs="仿宋_GB2312"/>
          <w:sz w:val="32"/>
          <w:szCs w:val="32"/>
        </w:rPr>
        <w:t>为通过设置电竞房向消费者提供电子竞技娱乐服务的新型住宿业态，</w:t>
      </w:r>
      <w:r>
        <w:rPr>
          <w:rFonts w:hint="eastAsia" w:ascii="仿宋_GB2312" w:hAnsi="仿宋_GB2312" w:eastAsia="仿宋_GB2312" w:cs="仿宋_GB2312"/>
          <w:sz w:val="32"/>
          <w:szCs w:val="32"/>
          <w:lang w:val="en"/>
        </w:rPr>
        <w:t>包括所有客房均为电竞房的专业电竞酒店和利用部分客房开设电竞房区域的非专业电竞酒店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rPr>
      </w:pPr>
      <w:r>
        <w:rPr>
          <w:rFonts w:hint="eastAsia" w:ascii="楷体_GB2312" w:hAnsi="楷体_GB2312" w:eastAsia="楷体_GB2312" w:cs="楷体_GB2312"/>
          <w:sz w:val="32"/>
          <w:szCs w:val="32"/>
        </w:rPr>
        <w:t>（三）划出监管底线。</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专业电竞酒店和非专业电竞酒店的电竞房区域</w:t>
      </w:r>
      <w:r>
        <w:rPr>
          <w:rFonts w:hint="eastAsia" w:ascii="仿宋_GB2312" w:hAnsi="仿宋_GB2312" w:eastAsia="仿宋_GB2312" w:cs="仿宋_GB2312"/>
          <w:sz w:val="32"/>
          <w:szCs w:val="32"/>
        </w:rPr>
        <w:t>容易产生未成年人沉迷网络等问题，</w:t>
      </w:r>
      <w:r>
        <w:rPr>
          <w:rFonts w:hint="eastAsia" w:ascii="仿宋_GB2312" w:hAnsi="仿宋_GB2312" w:eastAsia="仿宋_GB2312" w:cs="仿宋_GB2312"/>
          <w:sz w:val="32"/>
          <w:szCs w:val="32"/>
          <w:lang w:eastAsia="zh-CN"/>
        </w:rPr>
        <w:t>与娱乐场所、酒吧、互联网上网服务营业场所等场所类似，属于社会普遍认为的不适宜未成年人活动的场所。</w:t>
      </w:r>
      <w:r>
        <w:rPr>
          <w:rFonts w:hint="eastAsia" w:hAnsi="仿宋_GB2312" w:eastAsia="仿宋_GB2312" w:cs="仿宋_GB2312"/>
          <w:sz w:val="32"/>
          <w:szCs w:val="32"/>
        </w:rPr>
        <w:t>根据《中华人民共和国未成年人保护法》第五十八条规定，《通知》严禁专业电竞酒店和非专业电竞酒店的电竞房区域接待未成年人。</w:t>
      </w:r>
    </w:p>
    <w:p>
      <w:pPr>
        <w:pStyle w:val="2"/>
        <w:keepNext w:val="0"/>
        <w:keepLines w:val="0"/>
        <w:pageBreakBefore w:val="0"/>
        <w:widowControl w:val="0"/>
        <w:kinsoku/>
        <w:wordWrap/>
        <w:topLinePunct w:val="0"/>
        <w:autoSpaceDE/>
        <w:autoSpaceDN/>
        <w:bidi w:val="0"/>
        <w:adjustRightInd/>
        <w:snapToGrid/>
        <w:spacing w:after="0" w:line="560" w:lineRule="exact"/>
        <w:ind w:firstLine="640"/>
        <w:textAlignment w:val="auto"/>
        <w:rPr>
          <w:rFonts w:hAnsi="仿宋_GB2312" w:eastAsia="仿宋_GB2312" w:cs="仿宋_GB2312"/>
          <w:sz w:val="32"/>
          <w:szCs w:val="32"/>
        </w:rPr>
      </w:pPr>
      <w:r>
        <w:rPr>
          <w:rFonts w:hint="eastAsia" w:ascii="楷体_GB2312" w:hAnsi="楷体_GB2312" w:eastAsia="楷体_GB2312" w:cs="楷体_GB2312"/>
          <w:sz w:val="32"/>
          <w:szCs w:val="32"/>
        </w:rPr>
        <w:t>（四）建立事中监管制度。《</w:t>
      </w:r>
      <w:r>
        <w:rPr>
          <w:rFonts w:hint="eastAsia" w:hAnsi="仿宋_GB2312" w:eastAsia="仿宋_GB2312" w:cs="仿宋_GB2312"/>
          <w:sz w:val="32"/>
          <w:szCs w:val="32"/>
        </w:rPr>
        <w:t>通知》要求电竞酒店经营者强化主体责任，严格落实设置禁入标志、履行告知义务、落实“五必须”、实施网络安全技术措施、图像采集技术措施、建立巡查制度等防范未成年人进入电竞房的系列</w:t>
      </w:r>
      <w:r>
        <w:rPr>
          <w:rFonts w:hint="eastAsia" w:hAnsi="仿宋_GB2312" w:eastAsia="仿宋_GB2312" w:cs="仿宋_GB2312"/>
          <w:sz w:val="32"/>
          <w:szCs w:val="32"/>
          <w:lang w:eastAsia="zh-CN"/>
        </w:rPr>
        <w:t>监管</w:t>
      </w:r>
      <w:r>
        <w:rPr>
          <w:rFonts w:hint="eastAsia" w:hAnsi="仿宋_GB2312" w:eastAsia="仿宋_GB2312" w:cs="仿宋_GB2312"/>
          <w:sz w:val="32"/>
          <w:szCs w:val="32"/>
        </w:rPr>
        <w:t>制度。</w:t>
      </w:r>
    </w:p>
    <w:p>
      <w:pPr>
        <w:pStyle w:val="2"/>
        <w:keepNext w:val="0"/>
        <w:keepLines w:val="0"/>
        <w:pageBreakBefore w:val="0"/>
        <w:widowControl w:val="0"/>
        <w:kinsoku/>
        <w:wordWrap/>
        <w:topLinePunct w:val="0"/>
        <w:autoSpaceDE/>
        <w:autoSpaceDN/>
        <w:bidi w:val="0"/>
        <w:adjustRightInd/>
        <w:snapToGrid/>
        <w:spacing w:after="0" w:line="560" w:lineRule="exact"/>
        <w:ind w:firstLine="640"/>
        <w:textAlignment w:val="auto"/>
        <w:rPr>
          <w:rFonts w:hAnsi="仿宋_GB2312" w:eastAsia="仿宋_GB2312" w:cs="仿宋_GB2312"/>
          <w:sz w:val="32"/>
          <w:szCs w:val="32"/>
        </w:rPr>
      </w:pPr>
      <w:r>
        <w:rPr>
          <w:rFonts w:hint="eastAsia" w:ascii="楷体_GB2312" w:hAnsi="楷体_GB2312" w:eastAsia="楷体_GB2312" w:cs="楷体_GB2312"/>
          <w:sz w:val="32"/>
          <w:szCs w:val="32"/>
        </w:rPr>
        <w:t>（五）加强协同监管。</w:t>
      </w:r>
      <w:r>
        <w:rPr>
          <w:rFonts w:hint="eastAsia" w:hAnsi="仿宋_GB2312" w:eastAsia="仿宋_GB2312" w:cs="仿宋_GB2312"/>
          <w:sz w:val="32"/>
          <w:szCs w:val="32"/>
        </w:rPr>
        <w:t>《通知》要求建立协同监管机制，相互通报未落实实名登记、违规接待未成年人等线索，并按职责依据《中华人民共和国未成年人保护法》第一百二十二条、第一百二十三条等予以处罚。</w:t>
      </w:r>
    </w:p>
    <w:p>
      <w:pPr>
        <w:pStyle w:val="2"/>
        <w:keepNext w:val="0"/>
        <w:keepLines w:val="0"/>
        <w:pageBreakBefore w:val="0"/>
        <w:widowControl w:val="0"/>
        <w:kinsoku/>
        <w:wordWrap/>
        <w:topLinePunct w:val="0"/>
        <w:autoSpaceDE/>
        <w:autoSpaceDN/>
        <w:bidi w:val="0"/>
        <w:adjustRightInd/>
        <w:snapToGrid/>
        <w:spacing w:after="0" w:line="560" w:lineRule="exact"/>
        <w:ind w:firstLine="640"/>
        <w:textAlignment w:val="auto"/>
        <w:rPr>
          <w:rFonts w:hAnsi="仿宋_GB2312" w:eastAsia="仿宋_GB2312" w:cs="仿宋_GB2312"/>
          <w:sz w:val="32"/>
          <w:szCs w:val="32"/>
        </w:rPr>
      </w:pPr>
      <w:r>
        <w:rPr>
          <w:rFonts w:hint="eastAsia" w:ascii="楷体_GB2312" w:hAnsi="楷体_GB2312" w:eastAsia="楷体_GB2312" w:cs="楷体_GB2312"/>
          <w:sz w:val="32"/>
          <w:szCs w:val="32"/>
        </w:rPr>
        <w:t>（六）加强行业自律和社会监督。</w:t>
      </w:r>
      <w:r>
        <w:rPr>
          <w:rFonts w:hint="eastAsia" w:hAnsi="仿宋_GB2312" w:eastAsia="仿宋_GB2312" w:cs="仿宋_GB2312"/>
          <w:sz w:val="32"/>
          <w:szCs w:val="32"/>
        </w:rPr>
        <w:t>《通知》要求电竞酒店有关行业协会加强行业自律，制定行业规范；鼓励和支持电竞酒店入住人员向文化和旅游行政部门、公安机关举报电竞酒店违规接待未成年人的线索。</w:t>
      </w:r>
    </w:p>
    <w:p>
      <w:pPr>
        <w:pStyle w:val="2"/>
        <w:keepNext w:val="0"/>
        <w:keepLines w:val="0"/>
        <w:pageBreakBefore w:val="0"/>
        <w:kinsoku/>
        <w:wordWrap/>
        <w:topLinePunct w:val="0"/>
        <w:bidi w:val="0"/>
        <w:spacing w:after="0" w:line="560" w:lineRule="exact"/>
        <w:ind w:firstLine="640"/>
        <w:textAlignment w:val="auto"/>
        <w:rPr>
          <w:rFonts w:hint="eastAsia" w:eastAsia="仿宋_GB2312"/>
          <w:sz w:val="36"/>
          <w:szCs w:val="36"/>
          <w:lang w:val="en" w:eastAsia="zh-CN"/>
        </w:rPr>
      </w:pPr>
      <w:r>
        <w:rPr>
          <w:rFonts w:hint="eastAsia" w:hAnsi="仿宋_GB2312" w:eastAsia="仿宋_GB2312" w:cs="仿宋_GB2312"/>
          <w:sz w:val="32"/>
          <w:szCs w:val="32"/>
        </w:rPr>
        <w:t>特此说明。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6"/>
          <w:szCs w:val="36"/>
        </w:rPr>
        <w:t xml:space="preserve">                                                                                                                                                                                                                                                                                                                                                      </w:t>
      </w:r>
    </w:p>
    <w:p>
      <w:pPr>
        <w:pStyle w:val="2"/>
        <w:keepNext w:val="0"/>
        <w:keepLines w:val="0"/>
        <w:pageBreakBefore w:val="0"/>
        <w:kinsoku/>
        <w:wordWrap/>
        <w:topLinePunct w:val="0"/>
        <w:bidi w:val="0"/>
        <w:spacing w:after="0" w:line="560" w:lineRule="exact"/>
        <w:ind w:firstLine="0" w:firstLineChars="0"/>
        <w:textAlignment w:val="auto"/>
        <w:rPr>
          <w:rFonts w:hint="eastAsia" w:eastAsia="仿宋_GB2312"/>
          <w:sz w:val="36"/>
          <w:szCs w:val="36"/>
          <w:lang w:val="en" w:eastAsia="zh-CN"/>
        </w:rPr>
      </w:pPr>
      <w:r>
        <w:rPr>
          <w:rFonts w:hint="eastAsia" w:ascii="仿宋_GB2312" w:hAnsi="仿宋_GB2312" w:eastAsia="仿宋_GB2312" w:cs="仿宋_GB2312"/>
          <w:sz w:val="36"/>
          <w:szCs w:val="36"/>
        </w:rPr>
        <w:t xml:space="preserve">                                                                                                                                                                                                                                                                                                               </w:t>
      </w:r>
    </w:p>
    <w:p>
      <w:pPr>
        <w:pStyle w:val="5"/>
        <w:keepNext w:val="0"/>
        <w:keepLines w:val="0"/>
        <w:pageBreakBefore w:val="0"/>
        <w:kinsoku/>
        <w:wordWrap/>
        <w:topLinePunct w:val="0"/>
        <w:bidi w:val="0"/>
        <w:spacing w:after="0" w:line="560" w:lineRule="exact"/>
        <w:ind w:left="0" w:leftChars="0" w:firstLine="0" w:firstLineChars="0"/>
        <w:textAlignment w:val="auto"/>
        <w:rPr>
          <w:color w:val="auto"/>
          <w:sz w:val="32"/>
          <w:szCs w:val="32"/>
        </w:rPr>
      </w:pPr>
    </w:p>
    <w:p/>
    <w:sectPr>
      <w:headerReference r:id="rId3" w:type="default"/>
      <w:footerReference r:id="rId4" w:type="default"/>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83145434"/>
                          </w:sdtPr>
                          <w:sdtContent>
                            <w:p>
                              <w:pPr>
                                <w:pStyle w:val="6"/>
                                <w:jc w:val="right"/>
                              </w:pPr>
                              <w:r>
                                <w:fldChar w:fldCharType="begin"/>
                              </w:r>
                              <w:r>
                                <w:instrText xml:space="preserve"> PAGE   \* MERGEFORMAT </w:instrText>
                              </w:r>
                              <w:r>
                                <w:fldChar w:fldCharType="separate"/>
                              </w:r>
                              <w:r>
                                <w:t>8</w:t>
                              </w:r>
                              <w:r>
                                <w:rPr>
                                  <w:lang w:val="zh-CN"/>
                                </w:rP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sdt>
                    <w:sdtPr>
                      <w:id w:val="283145434"/>
                    </w:sdtPr>
                    <w:sdtContent>
                      <w:p>
                        <w:pPr>
                          <w:pStyle w:val="6"/>
                          <w:jc w:val="right"/>
                        </w:pPr>
                        <w:r>
                          <w:fldChar w:fldCharType="begin"/>
                        </w:r>
                        <w:r>
                          <w:instrText xml:space="preserve"> PAGE   \* MERGEFORMAT </w:instrText>
                        </w:r>
                        <w:r>
                          <w:fldChar w:fldCharType="separate"/>
                        </w:r>
                        <w:r>
                          <w:t>8</w:t>
                        </w:r>
                        <w:r>
                          <w:rPr>
                            <w:lang w:val="zh-CN"/>
                          </w:rPr>
                          <w:fldChar w:fldCharType="end"/>
                        </w:r>
                      </w:p>
                    </w:sdtContent>
                  </w:sdt>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69D55CF8"/>
    <w:rsid w:val="56F03EE7"/>
    <w:rsid w:val="69D55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0"/>
      <w:ind w:left="0" w:leftChars="0" w:firstLine="420" w:firstLineChars="200"/>
    </w:pPr>
    <w:rPr>
      <w:rFonts w:ascii="仿宋_GB2312" w:cs="宋体"/>
    </w:rPr>
  </w:style>
  <w:style w:type="paragraph" w:styleId="3">
    <w:name w:val="Body Text Indent"/>
    <w:basedOn w:val="1"/>
    <w:next w:val="1"/>
    <w:unhideWhenUsed/>
    <w:qFormat/>
    <w:uiPriority w:val="99"/>
    <w:pPr>
      <w:spacing w:after="120"/>
      <w:ind w:left="420" w:leftChars="200"/>
    </w:pPr>
  </w:style>
  <w:style w:type="paragraph" w:styleId="4">
    <w:name w:val="Body Text"/>
    <w:basedOn w:val="1"/>
    <w:next w:val="5"/>
    <w:unhideWhenUsed/>
    <w:qFormat/>
    <w:uiPriority w:val="0"/>
    <w:pPr>
      <w:spacing w:after="120"/>
    </w:pPr>
  </w:style>
  <w:style w:type="paragraph" w:customStyle="1" w:styleId="5">
    <w:name w:val="Body Text First Indent1"/>
    <w:basedOn w:val="4"/>
    <w:qFormat/>
    <w:uiPriority w:val="0"/>
    <w:pPr>
      <w:spacing w:line="360" w:lineRule="auto"/>
      <w:ind w:firstLine="100" w:firstLineChars="100"/>
    </w:pPr>
    <w:rPr>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1745</Words>
  <Characters>1758</Characters>
  <Lines>0</Lines>
  <Paragraphs>0</Paragraphs>
  <TotalTime>0</TotalTime>
  <ScaleCrop>false</ScaleCrop>
  <LinksUpToDate>false</LinksUpToDate>
  <CharactersWithSpaces>2434</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2023-03-17T05:16:00Z</dcterms:created>
  <dc:creator>赖。</dc:creator>
  <lastModifiedBy>慕叶殇</lastModifiedBy>
  <dcterms:modified xsi:type="dcterms:W3CDTF">2023-08-22T06:43:39Z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8333B86CA67241F2B465C7980AAED9CD_13</vt:lpwstr>
  </property>
</Properties>
</file>