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030" w:type="dxa"/>
        <w:jc w:val="center"/>
        <w:tblCellSpacing w:w="0" w:type="dxa"/>
        <w:tblBorders>
          <w:top w:val="none" w:color="auto" w:sz="0" w:space="0"/>
          <w:left w:val="none" w:color="auto" w:sz="0" w:space="0"/>
          <w:bottom w:val="single" w:color="2190C4" w:sz="12"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030"/>
      </w:tblGrid>
      <w:tr>
        <w:tblPrEx>
          <w:tblBorders>
            <w:top w:val="none" w:color="auto" w:sz="0" w:space="0"/>
            <w:left w:val="none" w:color="auto" w:sz="0" w:space="0"/>
            <w:bottom w:val="single" w:color="2190C4" w:sz="12"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top"/>
          </w:tcPr>
          <w:tbl>
            <w:tblPr>
              <w:tblW w:w="5000" w:type="pct"/>
              <w:jc w:val="center"/>
              <w:tblCellSpacing w:w="0" w:type="dxa"/>
              <w:tblBorders>
                <w:top w:val="none" w:color="DDDDDD" w:sz="0" w:space="0"/>
                <w:left w:val="none" w:color="DDDDDD" w:sz="0" w:space="0"/>
                <w:bottom w:val="none" w:color="DDDDDD" w:sz="0" w:space="0"/>
                <w:right w:val="none" w:color="DDDDDD" w:sz="0" w:space="0"/>
                <w:insideH w:val="none" w:color="DDDDDD" w:sz="0" w:space="0"/>
                <w:insideV w:val="none" w:color="DDDDDD" w:sz="0" w:space="0"/>
              </w:tblBorders>
              <w:shd w:val="clear"/>
              <w:tblLayout w:type="autofit"/>
              <w:tblCellMar>
                <w:top w:w="0" w:type="dxa"/>
                <w:left w:w="0" w:type="dxa"/>
                <w:bottom w:w="0" w:type="dxa"/>
                <w:right w:w="0" w:type="dxa"/>
              </w:tblCellMar>
            </w:tblPr>
            <w:tblGrid>
              <w:gridCol w:w="15030"/>
            </w:tblGrid>
            <w:tr>
              <w:tblPrEx>
                <w:tblBorders>
                  <w:top w:val="none" w:color="DDDDDD" w:sz="0" w:space="0"/>
                  <w:left w:val="none" w:color="DDDDDD" w:sz="0" w:space="0"/>
                  <w:bottom w:val="none" w:color="DDDDDD" w:sz="0" w:space="0"/>
                  <w:right w:val="none" w:color="DDDDDD" w:sz="0" w:space="0"/>
                  <w:insideH w:val="none" w:color="DDDDDD" w:sz="0" w:space="0"/>
                  <w:insideV w:val="none" w:color="DDDDDD" w:sz="0" w:space="0"/>
                </w:tblBorders>
                <w:shd w:val="clear"/>
                <w:tblCellMar>
                  <w:top w:w="0" w:type="dxa"/>
                  <w:left w:w="0" w:type="dxa"/>
                  <w:bottom w:w="0" w:type="dxa"/>
                  <w:right w:w="0" w:type="dxa"/>
                </w:tblCellMar>
              </w:tblPrEx>
              <w:trPr>
                <w:tblCellSpacing w:w="0" w:type="dxa"/>
                <w:jc w:val="center"/>
              </w:trPr>
              <w:tc>
                <w:tcPr>
                  <w:tcW w:w="0" w:type="auto"/>
                  <w:shd w:val="clear"/>
                  <w:vAlign w:val="center"/>
                </w:tcPr>
                <w:tbl>
                  <w:tblPr>
                    <w:tblW w:w="139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auto"/>
                        <w:shd w:val="clear"/>
                        <w:vAlign w:val="center"/>
                      </w:tcPr>
                      <w:tbl>
                        <w:tblPr>
                          <w:tblW w:w="5000"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0" w:hRule="atLeast"/>
                            <w:tblCellSpacing w:w="7" w:type="dxa"/>
                            <w:jc w:val="center"/>
                          </w:trPr>
                          <w:tc>
                            <w:tcPr>
                              <w:tcW w:w="0" w:type="auto"/>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b/>
                                  <w:bCs/>
                                  <w:kern w:val="0"/>
                                  <w:sz w:val="37"/>
                                  <w:szCs w:val="37"/>
                                  <w:bdr w:val="none" w:color="auto" w:sz="0" w:space="0"/>
                                  <w:lang w:val="en-US" w:eastAsia="zh-CN" w:bidi="ar"/>
                                </w:rPr>
                                <w:t>长兴县第三人民医院公共健康中心项目医用气体工程交易公告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7" w:type="dxa"/>
                            <w:jc w:val="center"/>
                          </w:trPr>
                          <w:tc>
                            <w:tcPr>
                              <w:tcW w:w="0" w:type="auto"/>
                              <w:shd w:val="clear" w:color="auto" w:fill="EEEEEE"/>
                              <w:vAlign w:val="center"/>
                            </w:tcPr>
                            <w:p>
                              <w:pPr>
                                <w:keepNext w:val="0"/>
                                <w:keepLines w:val="0"/>
                                <w:widowControl/>
                                <w:suppressLineNumbers w:val="0"/>
                                <w:shd w:val="clear" w:fill="EEEEEE"/>
                                <w:spacing w:before="0" w:beforeAutospacing="0" w:after="0" w:afterAutospacing="0"/>
                                <w:ind w:left="0" w:right="0"/>
                                <w:jc w:val="center"/>
                              </w:pPr>
                              <w:r>
                                <w:rPr>
                                  <w:rFonts w:ascii="宋体" w:hAnsi="宋体" w:eastAsia="宋体" w:cs="宋体"/>
                                  <w:color w:val="545454"/>
                                  <w:kern w:val="0"/>
                                  <w:sz w:val="18"/>
                                  <w:szCs w:val="18"/>
                                  <w:bdr w:val="none" w:color="auto" w:sz="0" w:space="0"/>
                                  <w:lang w:val="en-US" w:eastAsia="zh-CN" w:bidi="ar"/>
                                </w:rPr>
                                <w:t>【信息时间： 2022/2/10   阅读次数： 136 】</w:t>
                              </w:r>
                              <w:r>
                                <w:rPr>
                                  <w:rFonts w:ascii="宋体" w:hAnsi="宋体" w:eastAsia="宋体" w:cs="宋体"/>
                                  <w:color w:val="646464"/>
                                  <w:kern w:val="0"/>
                                  <w:sz w:val="18"/>
                                  <w:szCs w:val="18"/>
                                  <w:u w:val="none"/>
                                  <w:bdr w:val="none" w:color="auto" w:sz="0" w:space="0"/>
                                  <w:lang w:val="en-US" w:eastAsia="zh-CN" w:bidi="ar"/>
                                </w:rPr>
                                <w:fldChar w:fldCharType="begin"/>
                              </w:r>
                              <w:r>
                                <w:rPr>
                                  <w:rFonts w:ascii="宋体" w:hAnsi="宋体" w:eastAsia="宋体" w:cs="宋体"/>
                                  <w:color w:val="646464"/>
                                  <w:kern w:val="0"/>
                                  <w:sz w:val="18"/>
                                  <w:szCs w:val="18"/>
                                  <w:u w:val="none"/>
                                  <w:bdr w:val="none" w:color="auto" w:sz="0" w:space="0"/>
                                  <w:lang w:val="en-US" w:eastAsia="zh-CN" w:bidi="ar"/>
                                </w:rPr>
                                <w:instrText xml:space="preserve"> HYPERLINK "javascript:void(0)" </w:instrText>
                              </w:r>
                              <w:r>
                                <w:rPr>
                                  <w:rFonts w:ascii="宋体" w:hAnsi="宋体" w:eastAsia="宋体" w:cs="宋体"/>
                                  <w:color w:val="646464"/>
                                  <w:kern w:val="0"/>
                                  <w:sz w:val="18"/>
                                  <w:szCs w:val="18"/>
                                  <w:u w:val="none"/>
                                  <w:bdr w:val="none" w:color="auto" w:sz="0" w:space="0"/>
                                  <w:lang w:val="en-US" w:eastAsia="zh-CN" w:bidi="ar"/>
                                </w:rPr>
                                <w:fldChar w:fldCharType="separate"/>
                              </w:r>
                              <w:r>
                                <w:rPr>
                                  <w:rStyle w:val="6"/>
                                  <w:rFonts w:ascii="宋体" w:hAnsi="宋体" w:eastAsia="宋体" w:cs="宋体"/>
                                  <w:color w:val="545454"/>
                                  <w:sz w:val="18"/>
                                  <w:szCs w:val="18"/>
                                  <w:u w:val="none"/>
                                  <w:bdr w:val="none" w:color="auto" w:sz="0" w:space="0"/>
                                </w:rPr>
                                <w:t>【我要打印】</w:t>
                              </w:r>
                              <w:r>
                                <w:rPr>
                                  <w:rFonts w:ascii="宋体" w:hAnsi="宋体" w:eastAsia="宋体" w:cs="宋体"/>
                                  <w:color w:val="646464"/>
                                  <w:kern w:val="0"/>
                                  <w:sz w:val="18"/>
                                  <w:szCs w:val="18"/>
                                  <w:u w:val="none"/>
                                  <w:bdr w:val="none" w:color="auto" w:sz="0" w:space="0"/>
                                  <w:lang w:val="en-US" w:eastAsia="zh-CN" w:bidi="ar"/>
                                </w:rPr>
                                <w:fldChar w:fldCharType="end"/>
                              </w:r>
                              <w:r>
                                <w:rPr>
                                  <w:rFonts w:ascii="宋体" w:hAnsi="宋体" w:eastAsia="宋体" w:cs="宋体"/>
                                  <w:color w:val="646464"/>
                                  <w:kern w:val="0"/>
                                  <w:sz w:val="18"/>
                                  <w:szCs w:val="18"/>
                                  <w:u w:val="none"/>
                                  <w:bdr w:val="none" w:color="auto" w:sz="0" w:space="0"/>
                                  <w:lang w:val="en-US" w:eastAsia="zh-CN" w:bidi="ar"/>
                                </w:rPr>
                                <w:fldChar w:fldCharType="begin"/>
                              </w:r>
                              <w:r>
                                <w:rPr>
                                  <w:rFonts w:ascii="宋体" w:hAnsi="宋体" w:eastAsia="宋体" w:cs="宋体"/>
                                  <w:color w:val="646464"/>
                                  <w:kern w:val="0"/>
                                  <w:sz w:val="18"/>
                                  <w:szCs w:val="18"/>
                                  <w:u w:val="none"/>
                                  <w:bdr w:val="none" w:color="auto" w:sz="0" w:space="0"/>
                                  <w:lang w:val="en-US" w:eastAsia="zh-CN" w:bidi="ar"/>
                                </w:rPr>
                                <w:instrText xml:space="preserve"> HYPERLINK "javascript:window.close()" </w:instrText>
                              </w:r>
                              <w:r>
                                <w:rPr>
                                  <w:rFonts w:ascii="宋体" w:hAnsi="宋体" w:eastAsia="宋体" w:cs="宋体"/>
                                  <w:color w:val="646464"/>
                                  <w:kern w:val="0"/>
                                  <w:sz w:val="18"/>
                                  <w:szCs w:val="18"/>
                                  <w:u w:val="none"/>
                                  <w:bdr w:val="none" w:color="auto" w:sz="0" w:space="0"/>
                                  <w:lang w:val="en-US" w:eastAsia="zh-CN" w:bidi="ar"/>
                                </w:rPr>
                                <w:fldChar w:fldCharType="separate"/>
                              </w:r>
                              <w:r>
                                <w:rPr>
                                  <w:rStyle w:val="6"/>
                                  <w:rFonts w:ascii="宋体" w:hAnsi="宋体" w:eastAsia="宋体" w:cs="宋体"/>
                                  <w:color w:val="545454"/>
                                  <w:sz w:val="18"/>
                                  <w:szCs w:val="18"/>
                                  <w:u w:val="none"/>
                                  <w:bdr w:val="none" w:color="auto" w:sz="0" w:space="0"/>
                                </w:rPr>
                                <w:t>【关闭】</w:t>
                              </w:r>
                              <w:r>
                                <w:rPr>
                                  <w:rFonts w:ascii="宋体" w:hAnsi="宋体" w:eastAsia="宋体" w:cs="宋体"/>
                                  <w:color w:val="646464"/>
                                  <w:kern w:val="0"/>
                                  <w:sz w:val="18"/>
                                  <w:szCs w:val="18"/>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 w:hRule="atLeast"/>
                            <w:tblCellSpacing w:w="7" w:type="dxa"/>
                            <w:jc w:val="center"/>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1" w:hRule="atLeast"/>
                            <w:tblCellSpacing w:w="7" w:type="dxa"/>
                            <w:jc w:val="center"/>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ascii="黑体" w:hAnsi="宋体" w:eastAsia="黑体" w:cs="黑体"/>
                                  <w:b/>
                                  <w:bCs/>
                                  <w:kern w:val="0"/>
                                  <w:sz w:val="32"/>
                                  <w:szCs w:val="32"/>
                                  <w:bdr w:val="none" w:color="auto" w:sz="0" w:space="0"/>
                                  <w:lang w:val="en-US" w:eastAsia="zh-CN" w:bidi="ar"/>
                                </w:rPr>
                                <w:t>长兴县第三人民医院公共健康中心项目医用气体工程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55"/>
                                <w:jc w:val="left"/>
                              </w:pPr>
                              <w:r>
                                <w:rPr>
                                  <w:rFonts w:hint="eastAsia" w:ascii="黑体" w:hAnsi="宋体" w:eastAsia="黑体" w:cs="黑体"/>
                                  <w:b/>
                                  <w:bCs/>
                                  <w:kern w:val="0"/>
                                  <w:sz w:val="32"/>
                                  <w:szCs w:val="32"/>
                                  <w:bdr w:val="none" w:color="auto" w:sz="0" w:space="0"/>
                                  <w:lang w:val="en-US" w:eastAsia="zh-CN" w:bidi="ar"/>
                                </w:rPr>
                                <w:t>招标公告</w:t>
                              </w:r>
                            </w:p>
                            <w:p>
                              <w:pPr>
                                <w:pStyle w:val="2"/>
                                <w:keepNext w:val="0"/>
                                <w:keepLines w:val="0"/>
                                <w:widowControl/>
                                <w:suppressLineNumbers w:val="0"/>
                                <w:spacing w:before="0" w:beforeAutospacing="0" w:after="0" w:afterAutospacing="0" w:line="400" w:lineRule="atLeast"/>
                                <w:ind w:left="0" w:right="0" w:firstLine="422"/>
                                <w:jc w:val="left"/>
                              </w:pPr>
                              <w:r>
                                <w:rPr>
                                  <w:rFonts w:hint="eastAsia" w:ascii="宋体" w:hAnsi="宋体" w:eastAsia="宋体" w:cs="宋体"/>
                                  <w:b/>
                                  <w:bCs/>
                                  <w:color w:val="000000"/>
                                  <w:sz w:val="21"/>
                                  <w:szCs w:val="21"/>
                                  <w:bdr w:val="none" w:color="auto" w:sz="0" w:space="0"/>
                                </w:rPr>
                                <w:t>1.招标条件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pPr>
                              <w:r>
                                <w:rPr>
                                  <w:rFonts w:hint="eastAsia" w:ascii="宋体" w:hAnsi="宋体" w:eastAsia="宋体" w:cs="宋体"/>
                                  <w:kern w:val="0"/>
                                  <w:sz w:val="21"/>
                                  <w:szCs w:val="21"/>
                                  <w:bdr w:val="none" w:color="auto" w:sz="0" w:space="0"/>
                                  <w:lang w:val="en-US" w:eastAsia="zh-CN" w:bidi="ar"/>
                                </w:rPr>
                                <w:t>本招标项目为长兴县第三人民医院公共健康中心项目医用气体工程，经有关部门批准建设,建设资金为自筹，出资比例为100%。项目已具备招标条件，招标人为浙江长兴建恒建设有限公司，招标代理机构为杭州建设工程造价咨询有限公司，现对该项目进行公开招标。</w:t>
                              </w:r>
                            </w:p>
                            <w:p>
                              <w:pPr>
                                <w:pStyle w:val="2"/>
                                <w:keepNext w:val="0"/>
                                <w:keepLines w:val="0"/>
                                <w:widowControl/>
                                <w:suppressLineNumbers w:val="0"/>
                                <w:spacing w:before="0" w:beforeAutospacing="0" w:after="0" w:afterAutospacing="0" w:line="400" w:lineRule="atLeast"/>
                                <w:ind w:left="0" w:right="0" w:firstLine="422"/>
                                <w:jc w:val="left"/>
                              </w:pPr>
                              <w:r>
                                <w:rPr>
                                  <w:rFonts w:hint="eastAsia" w:ascii="宋体" w:hAnsi="宋体" w:eastAsia="宋体" w:cs="宋体"/>
                                  <w:b/>
                                  <w:bCs/>
                                  <w:color w:val="000000"/>
                                  <w:sz w:val="21"/>
                                  <w:szCs w:val="21"/>
                                  <w:bdr w:val="none" w:color="auto" w:sz="0" w:space="0"/>
                                </w:rPr>
                                <w:t>2.项目概况与招标范围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pPr>
                              <w:r>
                                <w:rPr>
                                  <w:rFonts w:hint="eastAsia" w:ascii="宋体" w:hAnsi="宋体" w:eastAsia="宋体" w:cs="宋体"/>
                                  <w:sz w:val="21"/>
                                  <w:szCs w:val="21"/>
                                  <w:bdr w:val="none" w:color="auto" w:sz="0" w:space="0"/>
                                </w:rPr>
                                <w:t>项目位于</w:t>
                              </w:r>
                              <w:r>
                                <w:rPr>
                                  <w:rFonts w:hint="eastAsia" w:ascii="宋体" w:hAnsi="宋体" w:eastAsia="宋体" w:cs="宋体"/>
                                  <w:sz w:val="21"/>
                                  <w:szCs w:val="21"/>
                                  <w:bdr w:val="none" w:color="auto" w:sz="0" w:space="0"/>
                                  <w:shd w:val="clear" w:fill="FFFFFF"/>
                                </w:rPr>
                                <w:t>长兴县和平镇长兴县第三人民医院</w:t>
                              </w:r>
                              <w:r>
                                <w:rPr>
                                  <w:rFonts w:hint="eastAsia" w:ascii="宋体" w:hAnsi="宋体" w:eastAsia="宋体" w:cs="宋体"/>
                                  <w:sz w:val="21"/>
                                  <w:szCs w:val="21"/>
                                  <w:bdr w:val="none" w:color="auto" w:sz="0" w:space="0"/>
                                </w:rPr>
                                <w:t>，招标范围主要包括中心供氧系统、医用负压吸引系统、医用压缩空气系统、数字化监控系统设备及材料的供应、安装、调试、检测直至整个系统验收合格及相关服务等，详见招标文件所附工程量清单及图纸。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pPr>
                              <w:r>
                                <w:rPr>
                                  <w:rFonts w:hint="eastAsia" w:ascii="宋体" w:hAnsi="宋体" w:eastAsia="宋体" w:cs="宋体"/>
                                  <w:sz w:val="21"/>
                                  <w:szCs w:val="21"/>
                                  <w:bdr w:val="none" w:color="auto" w:sz="0" w:space="0"/>
                                </w:rPr>
                                <w:t>本次招标项目的造价约176万元，采用资格后审方式招标。</w:t>
                              </w:r>
                            </w:p>
                            <w:p>
                              <w:pPr>
                                <w:pStyle w:val="2"/>
                                <w:keepNext w:val="0"/>
                                <w:keepLines w:val="0"/>
                                <w:widowControl/>
                                <w:suppressLineNumbers w:val="0"/>
                                <w:spacing w:before="0" w:beforeAutospacing="0" w:after="0" w:afterAutospacing="0" w:line="400" w:lineRule="atLeast"/>
                                <w:ind w:left="0" w:right="0" w:firstLine="422"/>
                                <w:jc w:val="left"/>
                              </w:pPr>
                              <w:r>
                                <w:rPr>
                                  <w:rFonts w:hint="eastAsia" w:ascii="宋体" w:hAnsi="宋体" w:eastAsia="宋体" w:cs="宋体"/>
                                  <w:b/>
                                  <w:bCs/>
                                  <w:sz w:val="21"/>
                                  <w:szCs w:val="21"/>
                                  <w:bdr w:val="none" w:color="auto" w:sz="0" w:space="0"/>
                                </w:rPr>
                                <w:t>3.投标人资格要求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kern w:val="0"/>
                                  <w:sz w:val="21"/>
                                  <w:szCs w:val="21"/>
                                  <w:bdr w:val="none" w:color="auto" w:sz="0" w:space="0"/>
                                  <w:lang w:val="en-US" w:eastAsia="zh-CN" w:bidi="ar"/>
                                </w:rPr>
                                <w:t>3.1投标人须具有机电工程施工总承包叁级及以上资质或建筑机电安装工程专业承包叁级及以上资质的独立法人企业，并在人员、设备、资金等方面具备相应的施工能力。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kern w:val="0"/>
                                  <w:sz w:val="21"/>
                                  <w:szCs w:val="21"/>
                                  <w:bdr w:val="none" w:color="auto" w:sz="0" w:space="0"/>
                                  <w:lang w:val="en-US" w:eastAsia="zh-CN" w:bidi="ar"/>
                                </w:rPr>
                                <w:t>3.2具有有效的企业安全生产许可证。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kern w:val="0"/>
                                  <w:sz w:val="21"/>
                                  <w:szCs w:val="21"/>
                                  <w:bdr w:val="none" w:color="auto" w:sz="0" w:space="0"/>
                                  <w:lang w:val="en-US" w:eastAsia="zh-CN" w:bidi="ar"/>
                                </w:rPr>
                                <w:t>3.3拟派项目负责人具有机电工程二级及以上注册建造师执业资格和有效的安全生产考核合格B类证书。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kern w:val="0"/>
                                  <w:sz w:val="21"/>
                                  <w:szCs w:val="21"/>
                                  <w:bdr w:val="none" w:color="auto" w:sz="0" w:space="0"/>
                                  <w:lang w:val="en-US" w:eastAsia="zh-CN" w:bidi="ar"/>
                                </w:rPr>
                                <w:t>3.4投标人具有《特种设备安装改造维修许可证（压力管道）》GC2级、《特种设备设计许可证（压力管道）》GC2级、《医疗器械生产企业许可证》（或《医疗器械经营企业许可证》）。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kern w:val="0"/>
                                  <w:sz w:val="21"/>
                                  <w:szCs w:val="21"/>
                                  <w:bdr w:val="none" w:color="auto" w:sz="0" w:space="0"/>
                                  <w:lang w:val="en-US" w:eastAsia="zh-CN" w:bidi="ar"/>
                                </w:rPr>
                                <w:t>3.5投标人具有中心供氧系统、中心吸引系统《医疗器械产品注册证》。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kern w:val="0"/>
                                  <w:sz w:val="21"/>
                                  <w:szCs w:val="21"/>
                                  <w:bdr w:val="none" w:color="auto" w:sz="0" w:space="0"/>
                                  <w:lang w:val="en-US" w:eastAsia="zh-CN" w:bidi="ar"/>
                                </w:rPr>
                                <w:t>3.6本次招标不接受联合体投标。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kern w:val="0"/>
                                  <w:sz w:val="21"/>
                                  <w:szCs w:val="21"/>
                                  <w:bdr w:val="none" w:color="auto" w:sz="0" w:space="0"/>
                                  <w:lang w:val="en-US" w:eastAsia="zh-CN" w:bidi="ar"/>
                                </w:rPr>
                                <w:t>3.7投标人及其法定代表人控股的其他公司，不得参加本项目的投标。否则，均按否决投标处理。</w:t>
                              </w:r>
                            </w:p>
                            <w:p>
                              <w:pPr>
                                <w:pStyle w:val="2"/>
                                <w:keepNext w:val="0"/>
                                <w:keepLines w:val="0"/>
                                <w:widowControl/>
                                <w:suppressLineNumbers w:val="0"/>
                                <w:spacing w:before="0" w:beforeAutospacing="0" w:after="0" w:afterAutospacing="0" w:line="400" w:lineRule="atLeast"/>
                                <w:ind w:left="0" w:right="0" w:firstLine="422"/>
                                <w:jc w:val="left"/>
                              </w:pPr>
                              <w:r>
                                <w:rPr>
                                  <w:rFonts w:hint="eastAsia" w:ascii="宋体" w:hAnsi="宋体" w:eastAsia="宋体" w:cs="宋体"/>
                                  <w:b/>
                                  <w:bCs/>
                                  <w:sz w:val="21"/>
                                  <w:szCs w:val="21"/>
                                  <w:bdr w:val="none" w:color="auto" w:sz="0" w:space="0"/>
                                </w:rPr>
                                <w:t>4.招标文件的获取</w:t>
                              </w:r>
                            </w:p>
                            <w:p>
                              <w:pPr>
                                <w:pStyle w:val="2"/>
                                <w:keepNext w:val="0"/>
                                <w:keepLines w:val="0"/>
                                <w:widowControl/>
                                <w:suppressLineNumbers w:val="0"/>
                                <w:spacing w:before="0" w:beforeAutospacing="0" w:after="0" w:afterAutospacing="0" w:line="400" w:lineRule="atLeast"/>
                                <w:ind w:left="0" w:right="0" w:firstLine="422"/>
                                <w:jc w:val="left"/>
                              </w:pPr>
                              <w:r>
                                <w:rPr>
                                  <w:rFonts w:hint="eastAsia" w:ascii="宋体" w:hAnsi="宋体" w:eastAsia="宋体" w:cs="宋体"/>
                                  <w:b/>
                                  <w:bCs/>
                                  <w:color w:val="000000"/>
                                  <w:sz w:val="21"/>
                                  <w:szCs w:val="21"/>
                                  <w:bdr w:val="none" w:color="auto" w:sz="0" w:space="0"/>
                                </w:rPr>
                                <w:t>凭单位介绍信（原件并注明企业联系电话）、营业执照、安全生产许可证、“</w:t>
                              </w:r>
                              <w:r>
                                <w:rPr>
                                  <w:rFonts w:hint="eastAsia" w:ascii="宋体" w:hAnsi="宋体" w:eastAsia="宋体" w:cs="宋体"/>
                                  <w:b/>
                                  <w:bCs/>
                                  <w:color w:val="0000FF"/>
                                  <w:sz w:val="21"/>
                                  <w:szCs w:val="21"/>
                                  <w:bdr w:val="none" w:color="auto" w:sz="0" w:space="0"/>
                                </w:rPr>
                                <w:t>3.投标人资格要求</w:t>
                              </w:r>
                              <w:r>
                                <w:rPr>
                                  <w:rFonts w:hint="eastAsia" w:ascii="宋体" w:hAnsi="宋体" w:eastAsia="宋体" w:cs="宋体"/>
                                  <w:b/>
                                  <w:bCs/>
                                  <w:color w:val="000000"/>
                                  <w:sz w:val="21"/>
                                  <w:szCs w:val="21"/>
                                  <w:bdr w:val="none" w:color="auto" w:sz="0" w:space="0"/>
                                </w:rPr>
                                <w:t>”的</w:t>
                              </w:r>
                              <w:r>
                                <w:rPr>
                                  <w:rFonts w:hint="eastAsia" w:ascii="宋体" w:hAnsi="宋体" w:eastAsia="宋体" w:cs="宋体"/>
                                  <w:b/>
                                  <w:bCs/>
                                  <w:color w:val="0000FF"/>
                                  <w:sz w:val="21"/>
                                  <w:szCs w:val="21"/>
                                  <w:bdr w:val="none" w:color="auto" w:sz="0" w:space="0"/>
                                </w:rPr>
                                <w:t>3.1、3.3、3.4、3.5</w:t>
                              </w:r>
                              <w:r>
                                <w:rPr>
                                  <w:rFonts w:hint="eastAsia" w:ascii="宋体" w:hAnsi="宋体" w:eastAsia="宋体" w:cs="宋体"/>
                                  <w:b/>
                                  <w:bCs/>
                                  <w:color w:val="000000"/>
                                  <w:sz w:val="21"/>
                                  <w:szCs w:val="21"/>
                                  <w:bdr w:val="none" w:color="auto" w:sz="0" w:space="0"/>
                                </w:rPr>
                                <w:t>中要求的资料、经办人身份证及上述资料复印件（加盖单位章）购买招标文件。报名的时间：2022年2月10日～2022年2月14日，工作日8:30～11:30，下午13:30～16:30（双休日及法定节假日除外）。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jc w:val="left"/>
                              </w:pPr>
                              <w:r>
                                <w:rPr>
                                  <w:rFonts w:hint="eastAsia" w:ascii="宋体" w:hAnsi="宋体" w:eastAsia="宋体" w:cs="宋体"/>
                                  <w:b/>
                                  <w:bCs/>
                                  <w:kern w:val="0"/>
                                  <w:sz w:val="21"/>
                                  <w:szCs w:val="21"/>
                                  <w:bdr w:val="none" w:color="auto" w:sz="0" w:space="0"/>
                                  <w:lang w:val="en-US" w:eastAsia="zh-CN" w:bidi="ar"/>
                                </w:rPr>
                                <w:t>5.报名地点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color w:val="0000FF"/>
                                  <w:kern w:val="0"/>
                                  <w:sz w:val="21"/>
                                  <w:szCs w:val="21"/>
                                  <w:bdr w:val="none" w:color="auto" w:sz="0" w:space="0"/>
                                  <w:lang w:val="en-US" w:eastAsia="zh-CN" w:bidi="ar"/>
                                </w:rPr>
                                <w:t>长兴县锦绣路6号兴国商务楼2号楼10楼招标代理室。</w:t>
                              </w:r>
                              <w:r>
                                <w:rPr>
                                  <w:rFonts w:hint="eastAsia" w:ascii="宋体" w:hAnsi="宋体" w:eastAsia="宋体" w:cs="宋体"/>
                                  <w:kern w:val="0"/>
                                  <w:sz w:val="21"/>
                                  <w:szCs w:val="21"/>
                                  <w:bdr w:val="none" w:color="auto" w:sz="0" w:space="0"/>
                                  <w:lang w:val="en-US" w:eastAsia="zh-CN" w:bidi="ar"/>
                                </w:rPr>
                                <w:t>凡有意参加投标者，请及时报名。</w:t>
                              </w:r>
                            </w:p>
                            <w:p>
                              <w:pPr>
                                <w:pStyle w:val="2"/>
                                <w:keepNext w:val="0"/>
                                <w:keepLines w:val="0"/>
                                <w:widowControl/>
                                <w:suppressLineNumbers w:val="0"/>
                                <w:spacing w:before="0" w:beforeAutospacing="0" w:after="0" w:afterAutospacing="0" w:line="400" w:lineRule="atLeast"/>
                                <w:ind w:left="0" w:right="0" w:firstLine="422"/>
                                <w:jc w:val="left"/>
                              </w:pPr>
                              <w:r>
                                <w:rPr>
                                  <w:rFonts w:hint="eastAsia" w:ascii="宋体" w:hAnsi="宋体" w:eastAsia="宋体" w:cs="宋体"/>
                                  <w:b/>
                                  <w:bCs/>
                                  <w:color w:val="000000"/>
                                  <w:sz w:val="21"/>
                                  <w:szCs w:val="21"/>
                                  <w:bdr w:val="none" w:color="auto" w:sz="0" w:space="0"/>
                                </w:rPr>
                                <w:t>6.发布公告的媒介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pPr>
                              <w:r>
                                <w:rPr>
                                  <w:rFonts w:hint="eastAsia" w:ascii="宋体" w:hAnsi="宋体" w:eastAsia="宋体" w:cs="宋体"/>
                                  <w:kern w:val="0"/>
                                  <w:sz w:val="21"/>
                                  <w:szCs w:val="21"/>
                                  <w:bdr w:val="none" w:color="auto" w:sz="0" w:space="0"/>
                                  <w:lang w:val="en-US" w:eastAsia="zh-CN" w:bidi="ar"/>
                                </w:rPr>
                                <w:t>本次招标公告同时在长兴县公共资源交易中心网、浙江省公共资源交易服务平台上发布。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pPr>
                              <w:r>
                                <w:rPr>
                                  <w:rFonts w:hint="eastAsia" w:ascii="宋体" w:hAnsi="宋体" w:eastAsia="宋体" w:cs="宋体"/>
                                  <w:b/>
                                  <w:bCs/>
                                  <w:kern w:val="0"/>
                                  <w:sz w:val="21"/>
                                  <w:szCs w:val="21"/>
                                  <w:bdr w:val="none" w:color="auto" w:sz="0" w:space="0"/>
                                  <w:lang w:val="en-US" w:eastAsia="zh-CN" w:bidi="ar"/>
                                </w:rPr>
                                <w:t>7.联系方式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1"/>
                                  <w:szCs w:val="21"/>
                                  <w:bdr w:val="none" w:color="auto" w:sz="0" w:space="0"/>
                                  <w:lang w:val="en-US" w:eastAsia="zh-CN" w:bidi="ar"/>
                                </w:rPr>
                                <w:t>招 标 人：</w:t>
                              </w:r>
                              <w:r>
                                <w:rPr>
                                  <w:rFonts w:hint="eastAsia" w:ascii="宋体" w:hAnsi="宋体" w:eastAsia="宋体" w:cs="宋体"/>
                                  <w:kern w:val="0"/>
                                  <w:sz w:val="21"/>
                                  <w:szCs w:val="21"/>
                                  <w:u w:val="single"/>
                                  <w:bdr w:val="none" w:color="auto" w:sz="0" w:space="0"/>
                                  <w:lang w:val="en-US" w:eastAsia="zh-CN" w:bidi="ar"/>
                                </w:rPr>
                                <w:t>浙江长兴建恒建设有限公司</w:t>
                              </w:r>
                              <w:r>
                                <w:rPr>
                                  <w:rFonts w:hint="eastAsia" w:ascii="宋体" w:hAnsi="宋体" w:eastAsia="宋体" w:cs="宋体"/>
                                  <w:kern w:val="0"/>
                                  <w:sz w:val="21"/>
                                  <w:szCs w:val="21"/>
                                  <w:bdr w:val="none" w:color="auto" w:sz="0" w:space="0"/>
                                  <w:lang w:val="en-US" w:eastAsia="zh-CN" w:bidi="ar"/>
                                </w:rPr>
                                <w:t>招标代理机构：</w:t>
                              </w:r>
                              <w:r>
                                <w:rPr>
                                  <w:rFonts w:hint="eastAsia" w:ascii="宋体" w:hAnsi="宋体" w:eastAsia="宋体" w:cs="宋体"/>
                                  <w:kern w:val="0"/>
                                  <w:sz w:val="21"/>
                                  <w:szCs w:val="21"/>
                                  <w:u w:val="single"/>
                                  <w:bdr w:val="none" w:color="auto" w:sz="0" w:space="0"/>
                                  <w:lang w:val="en-US" w:eastAsia="zh-CN" w:bidi="ar"/>
                                </w:rPr>
                                <w:t>杭州建设工程造价咨询有限公司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1"/>
                                  <w:szCs w:val="21"/>
                                  <w:bdr w:val="none" w:color="auto" w:sz="0" w:space="0"/>
                                  <w:lang w:val="en-US" w:eastAsia="zh-CN" w:bidi="ar"/>
                                </w:rPr>
                                <w:t>联 系 人：</w:t>
                              </w:r>
                              <w:r>
                                <w:rPr>
                                  <w:rFonts w:hint="eastAsia" w:ascii="宋体" w:hAnsi="宋体" w:eastAsia="宋体" w:cs="宋体"/>
                                  <w:kern w:val="0"/>
                                  <w:sz w:val="21"/>
                                  <w:szCs w:val="21"/>
                                  <w:u w:val="single"/>
                                  <w:bdr w:val="none" w:color="auto" w:sz="0" w:space="0"/>
                                  <w:lang w:val="en-US" w:eastAsia="zh-CN" w:bidi="ar"/>
                                </w:rPr>
                                <w:t>周工</w:t>
                              </w:r>
                              <w:r>
                                <w:rPr>
                                  <w:rFonts w:hint="eastAsia" w:ascii="宋体" w:hAnsi="宋体" w:eastAsia="宋体" w:cs="宋体"/>
                                  <w:kern w:val="0"/>
                                  <w:sz w:val="21"/>
                                  <w:szCs w:val="21"/>
                                  <w:bdr w:val="none" w:color="auto" w:sz="0" w:space="0"/>
                                  <w:lang w:val="en-US" w:eastAsia="zh-CN" w:bidi="ar"/>
                                </w:rPr>
                                <w:t>联 系 人：</w:t>
                              </w:r>
                              <w:r>
                                <w:rPr>
                                  <w:rFonts w:hint="eastAsia" w:ascii="宋体" w:hAnsi="宋体" w:eastAsia="宋体" w:cs="宋体"/>
                                  <w:kern w:val="0"/>
                                  <w:sz w:val="21"/>
                                  <w:szCs w:val="21"/>
                                  <w:u w:val="single"/>
                                  <w:bdr w:val="none" w:color="auto" w:sz="0" w:space="0"/>
                                  <w:lang w:val="en-US" w:eastAsia="zh-CN" w:bidi="ar"/>
                                </w:rPr>
                                <w:t>吴工 、严工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1"/>
                                  <w:szCs w:val="21"/>
                                  <w:bdr w:val="none" w:color="auto" w:sz="0" w:space="0"/>
                                  <w:lang w:val="en-US" w:eastAsia="zh-CN" w:bidi="ar"/>
                                </w:rPr>
                                <w:t>电 话：</w:t>
                              </w:r>
                              <w:r>
                                <w:rPr>
                                  <w:rFonts w:hint="eastAsia" w:ascii="宋体" w:hAnsi="宋体" w:eastAsia="宋体" w:cs="宋体"/>
                                  <w:kern w:val="0"/>
                                  <w:sz w:val="21"/>
                                  <w:szCs w:val="21"/>
                                  <w:u w:val="single"/>
                                  <w:bdr w:val="none" w:color="auto" w:sz="0" w:space="0"/>
                                  <w:lang w:val="en-US" w:eastAsia="zh-CN" w:bidi="ar"/>
                                </w:rPr>
                                <w:t>13511241988</w:t>
                              </w:r>
                              <w:r>
                                <w:rPr>
                                  <w:rFonts w:hint="eastAsia" w:ascii="宋体" w:hAnsi="宋体" w:eastAsia="宋体" w:cs="宋体"/>
                                  <w:kern w:val="0"/>
                                  <w:sz w:val="21"/>
                                  <w:szCs w:val="21"/>
                                  <w:bdr w:val="none" w:color="auto" w:sz="0" w:space="0"/>
                                  <w:lang w:val="en-US" w:eastAsia="zh-CN" w:bidi="ar"/>
                                </w:rPr>
                                <w:t>电 话：</w:t>
                              </w:r>
                              <w:r>
                                <w:rPr>
                                  <w:rFonts w:hint="eastAsia" w:ascii="宋体" w:hAnsi="宋体" w:eastAsia="宋体" w:cs="宋体"/>
                                  <w:kern w:val="0"/>
                                  <w:sz w:val="21"/>
                                  <w:szCs w:val="21"/>
                                  <w:u w:val="single"/>
                                  <w:bdr w:val="none" w:color="auto" w:sz="0" w:space="0"/>
                                  <w:lang w:val="en-US" w:eastAsia="zh-CN" w:bidi="ar"/>
                                </w:rPr>
                                <w:t>0572-6778801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宋体" w:hAnsi="宋体" w:eastAsia="宋体" w:cs="宋体"/>
                                  <w:kern w:val="0"/>
                                  <w:sz w:val="21"/>
                                  <w:szCs w:val="21"/>
                                  <w:bdr w:val="none" w:color="auto" w:sz="0" w:space="0"/>
                                  <w:lang w:val="en-US" w:eastAsia="zh-CN" w:bidi="ar"/>
                                </w:rPr>
                                <w:t>2022年2月10日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shd w:val="clear"/>
                              <w:vAlign w:val="center"/>
                            </w:tcPr>
                            <w:p>
                              <w:pPr>
                                <w:keepNext w:val="0"/>
                                <w:keepLines w:val="0"/>
                                <w:widowControl/>
                                <w:suppressLineNumbers w:val="0"/>
                                <w:spacing w:before="0" w:beforeAutospacing="0" w:after="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shd w:val="clear"/>
                              <w:vAlign w:val="center"/>
                            </w:tcPr>
                            <w:tbl>
                              <w:tblPr>
                                <w:tblW w:w="5000" w:type="pct"/>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7" w:type="dxa"/>
                                </w:trPr>
                                <w:tc>
                                  <w:tcPr>
                                    <w:tcW w:w="0" w:type="auto"/>
                                    <w:shd w:val="clear"/>
                                    <w:vAlign w:val="top"/>
                                  </w:tcPr>
                                  <w:p>
                                    <w:pPr>
                                      <w:rPr>
                                        <w:rFonts w:hint="eastAsia" w:ascii="宋体"/>
                                        <w:sz w:val="27"/>
                                        <w:szCs w:val="27"/>
                                      </w:rPr>
                                    </w:pPr>
                                  </w:p>
                                </w:tc>
                              </w:tr>
                            </w:tbl>
                            <w:p>
                              <w:pPr>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7" w:type="dxa"/>
                            <w:jc w:val="center"/>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shd w:val="clear"/>
                              <w:vAlign w:val="center"/>
                            </w:tcPr>
                            <w:p>
                              <w:pPr>
                                <w:rPr>
                                  <w:rFonts w:hint="eastAsia" w:ascii="宋体"/>
                                  <w:sz w:val="24"/>
                                  <w:szCs w:val="24"/>
                                </w:rPr>
                              </w:pPr>
                            </w:p>
                          </w:tc>
                        </w:tr>
                      </w:tbl>
                      <w:p>
                        <w:pPr>
                          <w:spacing w:before="0" w:beforeAutospacing="0" w:after="0" w:afterAutospacing="0"/>
                          <w:ind w:left="0" w:right="0"/>
                        </w:pPr>
                      </w:p>
                    </w:tc>
                  </w:tr>
                </w:tbl>
                <w:p>
                  <w:pPr>
                    <w:spacing w:before="0" w:beforeAutospacing="0" w:after="0" w:afterAutospacing="0"/>
                    <w:ind w:left="0" w:right="0"/>
                  </w:pPr>
                </w:p>
              </w:tc>
            </w:tr>
          </w:tbl>
          <w:p>
            <w:pPr>
              <w:spacing w:before="0" w:beforeAutospacing="0" w:after="0" w:afterAutospacing="0"/>
              <w:ind w:left="0" w:right="0"/>
              <w:rPr>
                <w:rFonts w:hint="eastAsia" w:ascii="宋体" w:hAnsi="宋体" w:eastAsia="宋体" w:cs="宋体"/>
                <w:i w:val="0"/>
                <w:iCs w:val="0"/>
                <w:caps w:val="0"/>
                <w:color w:val="000000"/>
                <w:spacing w:val="0"/>
                <w:sz w:val="27"/>
                <w:szCs w:val="27"/>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DE8F5"/>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DE8F5"/>
          <w:tblCellMar>
            <w:top w:w="0" w:type="dxa"/>
            <w:left w:w="0" w:type="dxa"/>
            <w:bottom w:w="0" w:type="dxa"/>
            <w:right w:w="0" w:type="dxa"/>
          </w:tblCellMar>
        </w:tblPrEx>
        <w:trPr>
          <w:tblCellSpacing w:w="0" w:type="dxa"/>
        </w:trPr>
        <w:tc>
          <w:tcPr>
            <w:tcW w:w="0" w:type="auto"/>
            <w:shd w:val="clear" w:color="auto" w:fill="CDE8F5"/>
            <w:vAlign w:val="center"/>
          </w:tcPr>
          <w:p>
            <w:pPr>
              <w:rPr>
                <w:rFonts w:hint="eastAsia" w:ascii="宋体" w:hAnsi="宋体" w:eastAsia="宋体" w:cs="宋体"/>
                <w:i w:val="0"/>
                <w:iCs w:val="0"/>
                <w:caps w:val="0"/>
                <w:color w:val="000000"/>
                <w:spacing w:val="0"/>
                <w:sz w:val="27"/>
                <w:szCs w:val="27"/>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Y2I4ZDZjNGEwZjI5MDEwZDRlMjYyODY2Y2FiYzcifQ=="/>
  </w:docVars>
  <w:rsids>
    <w:rsidRoot w:val="74B1115A"/>
    <w:rsid w:val="74B111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2022-04-29T08:34:00Z</dcterms:created>
  <dc:creator>Lenovo</dc:creator>
  <cp:lastModifiedBy>Lenovo</cp:lastModifiedBy>
  <dcterms:modified xsi:type="dcterms:W3CDTF">2022-04-29T08:35:18Z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2525A37E0AC4491384DE80FF5D88D062</vt:lpwstr>
  </property>
</Properties>
</file>