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560" w:lineRule="exact"/>
        <w:rPr>
          <w:rFonts w:ascii="仿宋_GB2312" w:eastAsia="仿宋_GB2312"/>
          <w:sz w:val="30"/>
          <w:szCs w:val="30"/>
          <w:highlight w:val="none"/>
          <w:u w:val="single"/>
        </w:rPr>
      </w:pPr>
    </w:p>
    <w:p>
      <w:pPr>
        <w:spacing w:line="560" w:lineRule="exact"/>
        <w:rPr>
          <w:rFonts w:ascii="黑体" w:hAnsi="黑体" w:eastAsia="黑体" w:cs="黑体"/>
          <w:spacing w:val="15"/>
          <w:sz w:val="32"/>
          <w:szCs w:val="32"/>
          <w:highlight w:val="none"/>
        </w:rPr>
      </w:pPr>
    </w:p>
    <w:p>
      <w:pPr>
        <w:spacing w:line="560" w:lineRule="exact"/>
        <w:jc w:val="center"/>
        <w:rPr>
          <w:rFonts w:ascii="方正小标宋简体" w:hAnsi="方正小标宋简体" w:eastAsia="方正小标宋简体" w:cs="方正小标宋简体"/>
          <w:spacing w:val="15"/>
          <w:sz w:val="44"/>
          <w:szCs w:val="44"/>
          <w:highlight w:val="none"/>
        </w:rPr>
      </w:pPr>
    </w:p>
    <w:p>
      <w:pPr>
        <w:spacing w:line="560" w:lineRule="exact"/>
        <w:jc w:val="center"/>
        <w:rPr>
          <w:rFonts w:ascii="方正小标宋简体" w:hAnsi="方正小标宋简体" w:eastAsia="方正小标宋简体" w:cs="方正小标宋简体"/>
          <w:bCs/>
          <w:spacing w:val="15"/>
          <w:sz w:val="44"/>
          <w:szCs w:val="44"/>
          <w:highlight w:val="none"/>
        </w:rPr>
      </w:pPr>
    </w:p>
    <w:p>
      <w:pPr>
        <w:spacing w:line="560" w:lineRule="exact"/>
        <w:jc w:val="center"/>
        <w:rPr>
          <w:rFonts w:ascii="方正小标宋简体" w:hAnsi="方正小标宋简体" w:eastAsia="方正小标宋简体" w:cs="方正小标宋简体"/>
          <w:bCs/>
          <w:spacing w:val="15"/>
          <w:sz w:val="44"/>
          <w:szCs w:val="44"/>
          <w:highlight w:val="none"/>
        </w:rPr>
      </w:pPr>
    </w:p>
    <w:p>
      <w:pPr>
        <w:spacing w:line="560" w:lineRule="exact"/>
        <w:jc w:val="center"/>
        <w:rPr>
          <w:rFonts w:ascii="方正小标宋简体" w:hAnsi="方正小标宋简体" w:eastAsia="方正小标宋简体" w:cs="方正小标宋简体"/>
          <w:bCs/>
          <w:spacing w:val="15"/>
          <w:sz w:val="44"/>
          <w:szCs w:val="44"/>
          <w:highlight w:val="none"/>
        </w:rPr>
      </w:pPr>
    </w:p>
    <w:p>
      <w:pPr>
        <w:spacing w:line="560" w:lineRule="exact"/>
        <w:jc w:val="center"/>
        <w:rPr>
          <w:rFonts w:ascii="方正小标宋简体" w:hAnsi="方正小标宋简体" w:eastAsia="方正小标宋简体" w:cs="方正小标宋简体"/>
          <w:bCs/>
          <w:spacing w:val="15"/>
          <w:sz w:val="44"/>
          <w:szCs w:val="44"/>
          <w:highlight w:val="none"/>
        </w:rPr>
      </w:pPr>
    </w:p>
    <w:p>
      <w:pPr>
        <w:spacing w:line="560" w:lineRule="exact"/>
        <w:jc w:val="center"/>
        <w:rPr>
          <w:rFonts w:ascii="方正小标宋简体" w:hAnsi="方正小标宋简体" w:eastAsia="方正小标宋简体" w:cs="方正小标宋简体"/>
          <w:bCs/>
          <w:spacing w:val="15"/>
          <w:sz w:val="44"/>
          <w:szCs w:val="44"/>
          <w:highlight w:val="none"/>
        </w:rPr>
      </w:pPr>
    </w:p>
    <w:p>
      <w:pPr>
        <w:spacing w:line="560" w:lineRule="exact"/>
        <w:jc w:val="center"/>
        <w:rPr>
          <w:rFonts w:ascii="方正小标宋简体" w:hAnsi="方正小标宋简体" w:eastAsia="方正小标宋简体" w:cs="方正小标宋简体"/>
          <w:bCs/>
          <w:spacing w:val="15"/>
          <w:sz w:val="44"/>
          <w:szCs w:val="44"/>
          <w:highlight w:val="none"/>
        </w:rPr>
      </w:pPr>
    </w:p>
    <w:p>
      <w:pPr>
        <w:spacing w:line="560" w:lineRule="exact"/>
        <w:jc w:val="center"/>
        <w:rPr>
          <w:rFonts w:ascii="方正小标宋简体" w:hAnsi="方正小标宋简体" w:eastAsia="方正小标宋简体" w:cs="方正小标宋简体"/>
          <w:bCs/>
          <w:spacing w:val="15"/>
          <w:sz w:val="44"/>
          <w:szCs w:val="44"/>
          <w:highlight w:val="none"/>
        </w:rPr>
      </w:pPr>
    </w:p>
    <w:p>
      <w:pPr>
        <w:spacing w:line="560" w:lineRule="exact"/>
        <w:jc w:val="center"/>
        <w:rPr>
          <w:rFonts w:hint="eastAsia" w:ascii="方正小标宋简体" w:hAnsi="方正小标宋简体" w:eastAsia="方正小标宋简体" w:cs="方正小标宋简体"/>
          <w:bCs/>
          <w:spacing w:val="15"/>
          <w:sz w:val="44"/>
          <w:szCs w:val="44"/>
          <w:highlight w:val="none"/>
          <w:lang w:eastAsia="zh-CN"/>
        </w:rPr>
      </w:pPr>
      <w:r>
        <w:rPr>
          <w:rFonts w:hint="eastAsia" w:ascii="方正小标宋简体" w:hAnsi="方正小标宋简体" w:eastAsia="方正小标宋简体" w:cs="方正小标宋简体"/>
          <w:bCs/>
          <w:spacing w:val="15"/>
          <w:sz w:val="44"/>
          <w:szCs w:val="44"/>
          <w:highlight w:val="none"/>
          <w:lang w:eastAsia="zh-CN"/>
        </w:rPr>
        <w:t>湖州市第四中学教育集团</w:t>
      </w:r>
    </w:p>
    <w:p>
      <w:pPr>
        <w:spacing w:line="560" w:lineRule="exact"/>
        <w:jc w:val="center"/>
        <w:rPr>
          <w:rFonts w:ascii="方正小标宋简体" w:hAnsi="方正小标宋简体" w:eastAsia="方正小标宋简体" w:cs="方正小标宋简体"/>
          <w:bCs/>
          <w:spacing w:val="15"/>
          <w:sz w:val="44"/>
          <w:szCs w:val="44"/>
          <w:highlight w:val="none"/>
        </w:rPr>
      </w:pPr>
      <w:r>
        <w:rPr>
          <w:rFonts w:hint="eastAsia" w:ascii="方正小标宋简体" w:hAnsi="方正小标宋简体" w:eastAsia="方正小标宋简体" w:cs="方正小标宋简体"/>
          <w:bCs/>
          <w:spacing w:val="15"/>
          <w:sz w:val="44"/>
          <w:szCs w:val="44"/>
          <w:highlight w:val="none"/>
        </w:rPr>
        <w:t>2022年</w:t>
      </w:r>
      <w:r>
        <w:rPr>
          <w:rFonts w:hint="eastAsia" w:ascii="方正小标宋简体" w:hAnsi="方正小标宋简体" w:eastAsia="方正小标宋简体" w:cs="方正小标宋简体"/>
          <w:bCs/>
          <w:spacing w:val="15"/>
          <w:sz w:val="44"/>
          <w:szCs w:val="44"/>
          <w:highlight w:val="none"/>
          <w:lang w:eastAsia="zh-CN"/>
        </w:rPr>
        <w:t>单位</w:t>
      </w:r>
      <w:r>
        <w:rPr>
          <w:rFonts w:hint="eastAsia" w:ascii="方正小标宋简体" w:hAnsi="方正小标宋简体" w:eastAsia="方正小标宋简体" w:cs="方正小标宋简体"/>
          <w:bCs/>
          <w:spacing w:val="15"/>
          <w:sz w:val="44"/>
          <w:szCs w:val="44"/>
          <w:highlight w:val="none"/>
        </w:rPr>
        <w:t>预算</w:t>
      </w:r>
    </w:p>
    <w:p>
      <w:pPr>
        <w:spacing w:line="560" w:lineRule="exact"/>
        <w:ind w:firstLine="590" w:firstLineChars="196"/>
        <w:rPr>
          <w:rStyle w:val="7"/>
          <w:sz w:val="30"/>
          <w:szCs w:val="30"/>
          <w:highlight w:val="none"/>
        </w:rPr>
      </w:pPr>
    </w:p>
    <w:p>
      <w:pPr>
        <w:spacing w:line="520" w:lineRule="exact"/>
        <w:ind w:firstLine="627" w:firstLineChars="196"/>
        <w:jc w:val="center"/>
        <w:rPr>
          <w:rStyle w:val="7"/>
          <w:rFonts w:ascii="黑体" w:eastAsia="黑体"/>
          <w:b w:val="0"/>
          <w:sz w:val="32"/>
          <w:szCs w:val="32"/>
          <w:highlight w:val="none"/>
        </w:rPr>
      </w:pPr>
    </w:p>
    <w:p>
      <w:pPr>
        <w:spacing w:line="520" w:lineRule="exact"/>
        <w:ind w:firstLine="627" w:firstLineChars="196"/>
        <w:jc w:val="center"/>
        <w:rPr>
          <w:rStyle w:val="7"/>
          <w:rFonts w:ascii="黑体" w:eastAsia="黑体"/>
          <w:b w:val="0"/>
          <w:sz w:val="32"/>
          <w:szCs w:val="32"/>
          <w:highlight w:val="none"/>
        </w:rPr>
      </w:pPr>
    </w:p>
    <w:p>
      <w:pPr>
        <w:spacing w:line="520" w:lineRule="exact"/>
        <w:ind w:firstLine="627" w:firstLineChars="196"/>
        <w:jc w:val="center"/>
        <w:rPr>
          <w:rStyle w:val="7"/>
          <w:rFonts w:ascii="黑体" w:eastAsia="黑体"/>
          <w:b w:val="0"/>
          <w:sz w:val="32"/>
          <w:szCs w:val="32"/>
          <w:highlight w:val="none"/>
        </w:rPr>
      </w:pPr>
    </w:p>
    <w:p>
      <w:pPr>
        <w:spacing w:line="520" w:lineRule="exact"/>
        <w:ind w:firstLine="627" w:firstLineChars="196"/>
        <w:jc w:val="center"/>
        <w:rPr>
          <w:rStyle w:val="7"/>
          <w:rFonts w:ascii="黑体" w:eastAsia="黑体"/>
          <w:b w:val="0"/>
          <w:sz w:val="32"/>
          <w:szCs w:val="32"/>
          <w:highlight w:val="none"/>
        </w:rPr>
      </w:pPr>
    </w:p>
    <w:p>
      <w:pPr>
        <w:spacing w:line="520" w:lineRule="exact"/>
        <w:ind w:firstLine="627" w:firstLineChars="196"/>
        <w:jc w:val="center"/>
        <w:rPr>
          <w:rStyle w:val="7"/>
          <w:rFonts w:ascii="黑体" w:eastAsia="黑体"/>
          <w:b w:val="0"/>
          <w:sz w:val="32"/>
          <w:szCs w:val="32"/>
          <w:highlight w:val="none"/>
        </w:rPr>
      </w:pPr>
    </w:p>
    <w:p>
      <w:pPr>
        <w:spacing w:line="520" w:lineRule="exact"/>
        <w:ind w:firstLine="627" w:firstLineChars="196"/>
        <w:jc w:val="center"/>
        <w:rPr>
          <w:rStyle w:val="7"/>
          <w:rFonts w:ascii="黑体" w:eastAsia="黑体"/>
          <w:b w:val="0"/>
          <w:sz w:val="32"/>
          <w:szCs w:val="32"/>
          <w:highlight w:val="none"/>
        </w:rPr>
      </w:pPr>
    </w:p>
    <w:p>
      <w:pPr>
        <w:pStyle w:val="2"/>
        <w:rPr>
          <w:rStyle w:val="7"/>
          <w:rFonts w:ascii="黑体" w:eastAsia="黑体"/>
          <w:b w:val="0"/>
          <w:sz w:val="32"/>
          <w:szCs w:val="32"/>
          <w:highlight w:val="none"/>
        </w:rPr>
      </w:pPr>
    </w:p>
    <w:p>
      <w:pPr>
        <w:pStyle w:val="2"/>
        <w:rPr>
          <w:rStyle w:val="7"/>
          <w:rFonts w:ascii="黑体" w:eastAsia="黑体"/>
          <w:b w:val="0"/>
          <w:sz w:val="32"/>
          <w:szCs w:val="32"/>
          <w:highlight w:val="none"/>
        </w:rPr>
      </w:pPr>
    </w:p>
    <w:p>
      <w:pPr>
        <w:spacing w:line="520" w:lineRule="exact"/>
        <w:ind w:firstLine="627" w:firstLineChars="196"/>
        <w:jc w:val="center"/>
        <w:rPr>
          <w:rStyle w:val="7"/>
          <w:rFonts w:ascii="黑体" w:eastAsia="黑体"/>
          <w:b w:val="0"/>
          <w:sz w:val="32"/>
          <w:szCs w:val="32"/>
          <w:highlight w:val="none"/>
        </w:rPr>
      </w:pPr>
    </w:p>
    <w:p>
      <w:pPr>
        <w:spacing w:line="520" w:lineRule="exact"/>
        <w:ind w:firstLine="627" w:firstLineChars="196"/>
        <w:jc w:val="center"/>
        <w:rPr>
          <w:rStyle w:val="7"/>
          <w:rFonts w:ascii="黑体" w:eastAsia="黑体"/>
          <w:b w:val="0"/>
          <w:sz w:val="32"/>
          <w:szCs w:val="32"/>
          <w:highlight w:val="none"/>
        </w:rPr>
      </w:pPr>
    </w:p>
    <w:p>
      <w:pPr>
        <w:pStyle w:val="17"/>
        <w:spacing w:line="560" w:lineRule="exact"/>
        <w:rPr>
          <w:rFonts w:ascii="仿宋_GB2312" w:eastAsia="仿宋_GB2312"/>
          <w:sz w:val="30"/>
          <w:szCs w:val="30"/>
          <w:highlight w:val="none"/>
          <w:u w:val="single"/>
        </w:rPr>
      </w:pPr>
    </w:p>
    <w:p>
      <w:pPr>
        <w:pStyle w:val="17"/>
        <w:spacing w:line="560" w:lineRule="exact"/>
        <w:ind w:firstLine="611"/>
        <w:jc w:val="left"/>
        <w:rPr>
          <w:rFonts w:ascii="仿宋_GB2312" w:eastAsia="仿宋_GB2312"/>
          <w:b/>
          <w:sz w:val="30"/>
          <w:szCs w:val="30"/>
          <w:highlight w:val="none"/>
        </w:rPr>
      </w:pPr>
    </w:p>
    <w:p>
      <w:pPr>
        <w:pStyle w:val="17"/>
        <w:spacing w:line="560" w:lineRule="exact"/>
        <w:jc w:val="center"/>
        <w:rPr>
          <w:rFonts w:ascii="仿宋_GB2312" w:eastAsia="仿宋_GB2312"/>
          <w:b/>
          <w:bCs/>
          <w:sz w:val="30"/>
          <w:szCs w:val="30"/>
          <w:highlight w:val="none"/>
        </w:rPr>
      </w:pPr>
      <w:r>
        <w:rPr>
          <w:rFonts w:hint="eastAsia" w:ascii="仿宋_GB2312" w:eastAsia="仿宋_GB2312"/>
          <w:b/>
          <w:bCs/>
          <w:sz w:val="30"/>
          <w:szCs w:val="30"/>
          <w:highlight w:val="none"/>
        </w:rPr>
        <w:t>目录</w:t>
      </w:r>
    </w:p>
    <w:p>
      <w:pPr>
        <w:spacing w:line="520" w:lineRule="exact"/>
        <w:rPr>
          <w:rFonts w:eastAsia="黑体"/>
          <w:sz w:val="32"/>
          <w:highlight w:val="none"/>
        </w:rPr>
      </w:pPr>
      <w:r>
        <w:rPr>
          <w:rFonts w:hint="eastAsia" w:ascii="黑体" w:eastAsia="黑体"/>
          <w:sz w:val="32"/>
          <w:highlight w:val="none"/>
        </w:rPr>
        <w:t>一、</w:t>
      </w:r>
      <w:r>
        <w:rPr>
          <w:rStyle w:val="7"/>
          <w:rFonts w:hint="eastAsia" w:ascii="黑体" w:eastAsia="黑体"/>
          <w:b w:val="0"/>
          <w:sz w:val="32"/>
          <w:szCs w:val="32"/>
          <w:highlight w:val="none"/>
          <w:lang w:eastAsia="zh-CN"/>
        </w:rPr>
        <w:t>单位</w:t>
      </w:r>
      <w:r>
        <w:rPr>
          <w:rStyle w:val="7"/>
          <w:rFonts w:hint="eastAsia" w:ascii="黑体" w:eastAsia="黑体"/>
          <w:b w:val="0"/>
          <w:sz w:val="32"/>
          <w:szCs w:val="32"/>
          <w:highlight w:val="none"/>
        </w:rPr>
        <w:t>概况</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（一）主要职能</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机构设置情况</w:t>
      </w:r>
    </w:p>
    <w:p>
      <w:pPr>
        <w:spacing w:line="520" w:lineRule="exact"/>
        <w:rPr>
          <w:rStyle w:val="7"/>
          <w:rFonts w:ascii="黑体" w:eastAsia="黑体"/>
          <w:b w:val="0"/>
          <w:sz w:val="32"/>
          <w:szCs w:val="32"/>
          <w:highlight w:val="none"/>
        </w:rPr>
      </w:pPr>
      <w:r>
        <w:rPr>
          <w:rStyle w:val="7"/>
          <w:rFonts w:hint="eastAsia" w:ascii="黑体" w:eastAsia="黑体"/>
          <w:b w:val="0"/>
          <w:sz w:val="32"/>
          <w:szCs w:val="32"/>
          <w:highlight w:val="none"/>
        </w:rPr>
        <w:t>二、2022年</w:t>
      </w:r>
      <w:r>
        <w:rPr>
          <w:rStyle w:val="7"/>
          <w:rFonts w:hint="eastAsia" w:ascii="黑体" w:eastAsia="黑体"/>
          <w:b w:val="0"/>
          <w:sz w:val="32"/>
          <w:szCs w:val="32"/>
          <w:highlight w:val="none"/>
          <w:lang w:eastAsia="zh-CN"/>
        </w:rPr>
        <w:t>湖州市第四中学教育集团单位</w:t>
      </w:r>
      <w:r>
        <w:rPr>
          <w:rStyle w:val="7"/>
          <w:rFonts w:hint="eastAsia" w:ascii="黑体" w:eastAsia="黑体"/>
          <w:b w:val="0"/>
          <w:sz w:val="32"/>
          <w:szCs w:val="32"/>
          <w:highlight w:val="none"/>
        </w:rPr>
        <w:t>预算安排情况说明</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2022年收支预算情况的总体说明</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2022年收入预算情况说明</w:t>
      </w:r>
    </w:p>
    <w:p>
      <w:pPr>
        <w:autoSpaceDE w:val="0"/>
        <w:autoSpaceDN w:val="0"/>
        <w:adjustRightInd w:val="0"/>
        <w:ind w:left="420" w:leftChars="200"/>
        <w:jc w:val="left"/>
        <w:rPr>
          <w:rFonts w:hint="eastAsia" w:ascii="楷体_GB2312" w:hAnsi="楷体_GB2312" w:eastAsia="楷体_GB2312" w:cs="楷体_GB2312"/>
          <w:bCs/>
          <w:sz w:val="32"/>
          <w:szCs w:val="32"/>
          <w:highlight w:val="none"/>
          <w:lang w:eastAsia="zh-CN"/>
        </w:rPr>
      </w:pPr>
      <w:r>
        <w:rPr>
          <w:rFonts w:hint="eastAsia" w:ascii="楷体_GB2312" w:hAnsi="楷体_GB2312" w:eastAsia="楷体_GB2312" w:cs="楷体_GB2312"/>
          <w:bCs/>
          <w:sz w:val="32"/>
          <w:szCs w:val="32"/>
          <w:highlight w:val="none"/>
        </w:rPr>
        <w:t>（三）关于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2022年支出预算情况说明</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（四）关于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（五）关于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（六）关于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（七）关于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（八）关于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（九）关于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2022年一般公共预算“三公”经费预算情况说明</w:t>
      </w:r>
    </w:p>
    <w:p>
      <w:pPr>
        <w:autoSpaceDE w:val="0"/>
        <w:autoSpaceDN w:val="0"/>
        <w:adjustRightInd w:val="0"/>
        <w:ind w:left="420" w:leftChars="200"/>
        <w:jc w:val="left"/>
        <w:rPr>
          <w:highlight w:val="none"/>
        </w:rPr>
      </w:pPr>
      <w:r>
        <w:rPr>
          <w:rFonts w:hint="eastAsia" w:ascii="楷体_GB2312" w:hAnsi="楷体_GB2312" w:eastAsia="楷体_GB2312" w:cs="楷体_GB2312"/>
          <w:bCs/>
          <w:sz w:val="32"/>
          <w:szCs w:val="32"/>
          <w:highlight w:val="none"/>
        </w:rPr>
        <w:t>（十）其他重要事项的情况说明</w:t>
      </w:r>
    </w:p>
    <w:p>
      <w:pPr>
        <w:pStyle w:val="17"/>
        <w:spacing w:line="520" w:lineRule="exact"/>
        <w:rPr>
          <w:rStyle w:val="7"/>
          <w:rFonts w:ascii="黑体" w:hAnsi="Calibri" w:eastAsia="黑体"/>
          <w:b w:val="0"/>
          <w:kern w:val="2"/>
          <w:sz w:val="32"/>
          <w:szCs w:val="32"/>
          <w:highlight w:val="none"/>
        </w:rPr>
      </w:pPr>
      <w:r>
        <w:rPr>
          <w:rStyle w:val="7"/>
          <w:rFonts w:hint="eastAsia" w:ascii="黑体" w:hAnsi="Calibri" w:eastAsia="黑体"/>
          <w:b w:val="0"/>
          <w:kern w:val="2"/>
          <w:sz w:val="32"/>
          <w:szCs w:val="32"/>
          <w:highlight w:val="none"/>
        </w:rPr>
        <w:t>三、名词解释</w:t>
      </w:r>
    </w:p>
    <w:p>
      <w:pPr>
        <w:spacing w:line="520" w:lineRule="exact"/>
        <w:rPr>
          <w:rStyle w:val="7"/>
          <w:rFonts w:ascii="黑体" w:eastAsia="黑体"/>
          <w:b w:val="0"/>
          <w:sz w:val="32"/>
          <w:szCs w:val="32"/>
          <w:highlight w:val="none"/>
        </w:rPr>
      </w:pPr>
      <w:r>
        <w:rPr>
          <w:rStyle w:val="7"/>
          <w:rFonts w:hint="eastAsia" w:ascii="黑体" w:eastAsia="黑体"/>
          <w:b w:val="0"/>
          <w:sz w:val="32"/>
          <w:szCs w:val="32"/>
          <w:highlight w:val="none"/>
        </w:rPr>
        <w:t>四、2022年</w:t>
      </w:r>
      <w:r>
        <w:rPr>
          <w:rStyle w:val="7"/>
          <w:rFonts w:hint="eastAsia" w:ascii="黑体" w:eastAsia="黑体"/>
          <w:b w:val="0"/>
          <w:sz w:val="32"/>
          <w:szCs w:val="32"/>
          <w:highlight w:val="none"/>
          <w:lang w:eastAsia="zh-CN"/>
        </w:rPr>
        <w:t>湖州市第四中学教育集团单位</w:t>
      </w:r>
      <w:r>
        <w:rPr>
          <w:rStyle w:val="7"/>
          <w:rFonts w:hint="eastAsia" w:ascii="黑体" w:eastAsia="黑体"/>
          <w:b w:val="0"/>
          <w:sz w:val="32"/>
          <w:szCs w:val="32"/>
          <w:highlight w:val="none"/>
        </w:rPr>
        <w:t>部门预算表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收支预算总表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收入预算总表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（三）2022年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支出预算总表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（四）2022年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财政拨款收支预算总表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（五）2022年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一般公共预算支出表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（六）2022年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（七）2022年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（八）2022年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政府性基金预算支出表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（九）2022年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国有资本经营预算支出表</w:t>
      </w:r>
    </w:p>
    <w:p>
      <w:pPr>
        <w:autoSpaceDE w:val="0"/>
        <w:autoSpaceDN w:val="0"/>
        <w:adjustRightInd w:val="0"/>
        <w:ind w:left="420" w:leftChars="200"/>
        <w:jc w:val="lef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（十）2022年</w:t>
      </w:r>
      <w:r>
        <w:rPr>
          <w:rFonts w:hint="eastAsia" w:ascii="楷体_GB2312" w:hAnsi="楷体_GB2312" w:eastAsia="楷体_GB2312" w:cs="楷体_GB2312"/>
          <w:bCs/>
          <w:sz w:val="32"/>
          <w:szCs w:val="32"/>
          <w:highlight w:val="none"/>
          <w:lang w:eastAsia="zh-CN"/>
        </w:rPr>
        <w:t>单位</w:t>
      </w:r>
      <w:r>
        <w:rPr>
          <w:rFonts w:hint="eastAsia" w:ascii="楷体_GB2312" w:hAnsi="楷体_GB2312" w:eastAsia="楷体_GB2312" w:cs="楷体_GB2312"/>
          <w:bCs/>
          <w:sz w:val="32"/>
          <w:szCs w:val="32"/>
          <w:highlight w:val="none"/>
        </w:rPr>
        <w:t>项目支出预算表</w:t>
      </w:r>
    </w:p>
    <w:p>
      <w:pPr>
        <w:spacing w:line="520" w:lineRule="exact"/>
        <w:ind w:firstLine="627" w:firstLineChars="196"/>
        <w:rPr>
          <w:rStyle w:val="7"/>
          <w:rFonts w:ascii="黑体" w:eastAsia="黑体"/>
          <w:b w:val="0"/>
          <w:sz w:val="32"/>
          <w:szCs w:val="32"/>
          <w:highlight w:val="none"/>
        </w:rPr>
      </w:pPr>
    </w:p>
    <w:p>
      <w:pPr>
        <w:pStyle w:val="2"/>
        <w:rPr>
          <w:rStyle w:val="7"/>
          <w:rFonts w:hint="default" w:ascii="黑体" w:eastAsia="黑体"/>
          <w:b w:val="0"/>
          <w:color w:val="auto"/>
          <w:sz w:val="32"/>
          <w:szCs w:val="32"/>
          <w:highlight w:val="none"/>
        </w:rPr>
      </w:pPr>
    </w:p>
    <w:p>
      <w:pPr>
        <w:pStyle w:val="2"/>
        <w:rPr>
          <w:rStyle w:val="7"/>
          <w:rFonts w:hint="default" w:ascii="黑体" w:eastAsia="黑体"/>
          <w:b w:val="0"/>
          <w:color w:val="auto"/>
          <w:sz w:val="32"/>
          <w:szCs w:val="32"/>
          <w:highlight w:val="none"/>
        </w:rPr>
      </w:pPr>
    </w:p>
    <w:p>
      <w:pPr>
        <w:pStyle w:val="2"/>
        <w:rPr>
          <w:rStyle w:val="7"/>
          <w:rFonts w:hint="default" w:ascii="黑体" w:eastAsia="黑体"/>
          <w:b w:val="0"/>
          <w:color w:val="auto"/>
          <w:sz w:val="32"/>
          <w:szCs w:val="32"/>
          <w:highlight w:val="none"/>
        </w:rPr>
      </w:pPr>
    </w:p>
    <w:p>
      <w:pPr>
        <w:pStyle w:val="2"/>
        <w:rPr>
          <w:rStyle w:val="7"/>
          <w:rFonts w:hint="default" w:ascii="黑体" w:eastAsia="黑体"/>
          <w:b w:val="0"/>
          <w:color w:val="auto"/>
          <w:sz w:val="32"/>
          <w:szCs w:val="32"/>
          <w:highlight w:val="none"/>
        </w:rPr>
      </w:pPr>
    </w:p>
    <w:p>
      <w:pPr>
        <w:pStyle w:val="2"/>
        <w:rPr>
          <w:rStyle w:val="7"/>
          <w:rFonts w:hint="default" w:ascii="黑体" w:eastAsia="黑体"/>
          <w:b w:val="0"/>
          <w:color w:val="auto"/>
          <w:sz w:val="32"/>
          <w:szCs w:val="32"/>
          <w:highlight w:val="none"/>
        </w:rPr>
      </w:pPr>
    </w:p>
    <w:p>
      <w:pPr>
        <w:pStyle w:val="2"/>
        <w:rPr>
          <w:rStyle w:val="7"/>
          <w:rFonts w:hint="default" w:ascii="黑体" w:eastAsia="黑体"/>
          <w:b w:val="0"/>
          <w:color w:val="auto"/>
          <w:sz w:val="32"/>
          <w:szCs w:val="32"/>
          <w:highlight w:val="none"/>
        </w:rPr>
      </w:pPr>
    </w:p>
    <w:p>
      <w:pPr>
        <w:pStyle w:val="2"/>
        <w:rPr>
          <w:rStyle w:val="7"/>
          <w:rFonts w:hint="default" w:ascii="黑体" w:eastAsia="黑体"/>
          <w:b w:val="0"/>
          <w:color w:val="auto"/>
          <w:sz w:val="32"/>
          <w:szCs w:val="32"/>
          <w:highlight w:val="none"/>
        </w:rPr>
      </w:pPr>
    </w:p>
    <w:p>
      <w:pPr>
        <w:pStyle w:val="2"/>
        <w:rPr>
          <w:rStyle w:val="7"/>
          <w:rFonts w:hint="default" w:ascii="黑体" w:eastAsia="黑体"/>
          <w:b w:val="0"/>
          <w:color w:val="auto"/>
          <w:sz w:val="32"/>
          <w:szCs w:val="32"/>
          <w:highlight w:val="none"/>
        </w:rPr>
      </w:pPr>
    </w:p>
    <w:p>
      <w:pPr>
        <w:spacing w:line="520" w:lineRule="exact"/>
        <w:ind w:firstLine="627" w:firstLineChars="196"/>
        <w:rPr>
          <w:rStyle w:val="7"/>
          <w:rFonts w:ascii="黑体" w:eastAsia="黑体"/>
          <w:b w:val="0"/>
          <w:sz w:val="32"/>
          <w:szCs w:val="32"/>
          <w:highlight w:val="none"/>
        </w:rPr>
      </w:pPr>
      <w:r>
        <w:rPr>
          <w:rStyle w:val="7"/>
          <w:rFonts w:hint="eastAsia" w:ascii="黑体" w:eastAsia="黑体"/>
          <w:b w:val="0"/>
          <w:sz w:val="32"/>
          <w:szCs w:val="32"/>
          <w:highlight w:val="none"/>
        </w:rPr>
        <w:t>一、</w:t>
      </w:r>
      <w:r>
        <w:rPr>
          <w:rStyle w:val="7"/>
          <w:rFonts w:hint="eastAsia" w:ascii="黑体" w:eastAsia="黑体"/>
          <w:b w:val="0"/>
          <w:sz w:val="32"/>
          <w:szCs w:val="32"/>
          <w:highlight w:val="none"/>
          <w:lang w:eastAsia="zh-CN"/>
        </w:rPr>
        <w:t>单位</w:t>
      </w:r>
      <w:r>
        <w:rPr>
          <w:rStyle w:val="7"/>
          <w:rFonts w:hint="eastAsia" w:ascii="黑体" w:eastAsia="黑体"/>
          <w:b w:val="0"/>
          <w:sz w:val="32"/>
          <w:szCs w:val="32"/>
          <w:highlight w:val="none"/>
        </w:rPr>
        <w:t>概况</w:t>
      </w:r>
    </w:p>
    <w:p>
      <w:pPr>
        <w:spacing w:line="520" w:lineRule="exact"/>
        <w:ind w:firstLine="627" w:firstLineChars="196"/>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（一）主要职能</w:t>
      </w:r>
    </w:p>
    <w:p>
      <w:pPr>
        <w:pStyle w:val="2"/>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rPr>
        <w:t>1.宣传贯彻执行党和国家的教育方针、政策、法律法规等。坚持依法治教、依法治学，贯彻执行具教体局的行政规章制度。</w:t>
      </w:r>
    </w:p>
    <w:p>
      <w:pPr>
        <w:pStyle w:val="2"/>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rPr>
        <w:t>2.配合市、区人民政府制定符合党的教育方针和国家教育法律法规以及本校实际的教育发展规划和学校布局调整规划，并抓好组织实施和落实工作。</w:t>
      </w:r>
    </w:p>
    <w:p>
      <w:pPr>
        <w:pStyle w:val="2"/>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rPr>
        <w:t>3.组织开展本校的教育教学科研和教育教学改革，科研兴教，科研兴校。负责对本校教育教学业务的具体管理，负责教育教学管理及教研教改工作，个力推进素质教育实施。</w:t>
      </w:r>
    </w:p>
    <w:p>
      <w:pPr>
        <w:pStyle w:val="2"/>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rPr>
        <w:t>4.按照干部和教师的职数、编制和管理权限，负责本校教师人事管理、继续教育、考核考评等工作。</w:t>
      </w:r>
    </w:p>
    <w:p>
      <w:pPr>
        <w:pStyle w:val="2"/>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rPr>
        <w:t>5.负责本校财务和基建管理，筹措资金，改善办学条件等工作。</w:t>
      </w:r>
    </w:p>
    <w:p>
      <w:pPr>
        <w:pStyle w:val="2"/>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rPr>
        <w:t>（二）单位机构设置情况</w:t>
      </w:r>
    </w:p>
    <w:p>
      <w:pPr>
        <w:pStyle w:val="2"/>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default"/>
          <w:color w:val="auto"/>
          <w:highlight w:val="none"/>
        </w:rPr>
      </w:pPr>
      <w:r>
        <w:rPr>
          <w:rFonts w:hint="eastAsia" w:ascii="仿宋_GB2312" w:eastAsia="仿宋_GB2312"/>
          <w:bCs/>
          <w:sz w:val="32"/>
          <w:szCs w:val="32"/>
          <w:highlight w:val="none"/>
        </w:rPr>
        <w:t>从预算单位构成看，湖州市第四中学教育集团部门只预算包括湖州市第四中学教育集团毗山中学部门预算。</w:t>
      </w:r>
    </w:p>
    <w:p>
      <w:pPr>
        <w:spacing w:line="520" w:lineRule="exact"/>
        <w:rPr>
          <w:rStyle w:val="7"/>
          <w:rFonts w:hint="eastAsia" w:ascii="黑体" w:eastAsia="黑体"/>
          <w:b w:val="0"/>
          <w:sz w:val="32"/>
          <w:szCs w:val="32"/>
          <w:highlight w:val="none"/>
          <w:lang w:eastAsia="zh-CN"/>
        </w:rPr>
      </w:pPr>
      <w:r>
        <w:rPr>
          <w:rStyle w:val="7"/>
          <w:rFonts w:hint="eastAsia" w:ascii="黑体" w:eastAsia="黑体"/>
          <w:b w:val="0"/>
          <w:sz w:val="32"/>
          <w:szCs w:val="32"/>
          <w:highlight w:val="none"/>
        </w:rPr>
        <w:t>二、2022年</w:t>
      </w:r>
      <w:r>
        <w:rPr>
          <w:rStyle w:val="7"/>
          <w:rFonts w:hint="eastAsia" w:ascii="黑体" w:eastAsia="黑体"/>
          <w:b w:val="0"/>
          <w:sz w:val="32"/>
          <w:szCs w:val="32"/>
          <w:highlight w:val="none"/>
          <w:lang w:eastAsia="zh-CN"/>
        </w:rPr>
        <w:t>湖州市第四中学教育集团单位</w:t>
      </w:r>
      <w:r>
        <w:rPr>
          <w:rStyle w:val="7"/>
          <w:rFonts w:hint="eastAsia" w:ascii="黑体" w:eastAsia="黑体"/>
          <w:b w:val="0"/>
          <w:sz w:val="32"/>
          <w:szCs w:val="32"/>
          <w:highlight w:val="none"/>
        </w:rPr>
        <w:t>预算安排情况说明</w:t>
      </w:r>
    </w:p>
    <w:p>
      <w:pPr>
        <w:spacing w:line="520" w:lineRule="exact"/>
        <w:rPr>
          <w:rFonts w:ascii="楷体_GB2312" w:hAnsi="楷体_GB2312" w:eastAsia="楷体_GB2312" w:cs="楷体_GB2312"/>
          <w:sz w:val="32"/>
          <w:szCs w:val="32"/>
          <w:highlight w:val="none"/>
        </w:rPr>
      </w:pPr>
      <w:r>
        <w:rPr>
          <w:rFonts w:hint="eastAsia" w:ascii="仿宋_GB2312" w:eastAsia="仿宋_GB2312"/>
          <w:b/>
          <w:bCs/>
          <w:sz w:val="32"/>
          <w:szCs w:val="32"/>
          <w:highlight w:val="none"/>
        </w:rPr>
        <w:t>　　</w:t>
      </w:r>
      <w:r>
        <w:rPr>
          <w:rFonts w:hint="eastAsia" w:ascii="楷体_GB2312" w:hAnsi="楷体_GB2312" w:eastAsia="楷体_GB2312" w:cs="楷体_GB2312"/>
          <w:sz w:val="32"/>
          <w:szCs w:val="32"/>
          <w:highlight w:val="none"/>
        </w:rPr>
        <w:t>（一）关于</w:t>
      </w:r>
      <w:r>
        <w:rPr>
          <w:rStyle w:val="7"/>
          <w:rFonts w:hint="eastAsia" w:ascii="楷体_GB2312" w:hAnsi="楷体_GB2312" w:eastAsia="楷体_GB2312" w:cs="楷体_GB2312"/>
          <w:b w:val="0"/>
          <w:bCs w:val="0"/>
          <w:sz w:val="32"/>
          <w:szCs w:val="32"/>
          <w:highlight w:val="none"/>
          <w:lang w:eastAsia="zh-CN"/>
        </w:rPr>
        <w:t>湖州市第四中学教育集团</w:t>
      </w:r>
      <w:r>
        <w:rPr>
          <w:rStyle w:val="7"/>
          <w:rFonts w:hint="eastAsia" w:ascii="楷体_GB2312" w:hAnsi="楷体_GB2312" w:eastAsia="楷体_GB2312" w:cs="楷体_GB2312"/>
          <w:b w:val="0"/>
          <w:bCs w:val="0"/>
          <w:sz w:val="32"/>
          <w:szCs w:val="32"/>
          <w:highlight w:val="none"/>
        </w:rPr>
        <w:t>2022年收支预算情况的总体说明</w:t>
      </w:r>
    </w:p>
    <w:p>
      <w:pPr>
        <w:spacing w:line="520" w:lineRule="exact"/>
        <w:ind w:firstLine="641"/>
        <w:rPr>
          <w:rFonts w:ascii="仿宋_GB2312" w:eastAsia="仿宋_GB2312"/>
          <w:sz w:val="32"/>
          <w:szCs w:val="32"/>
          <w:highlight w:val="none"/>
          <w:u w:val="none"/>
        </w:rPr>
      </w:pPr>
      <w:r>
        <w:rPr>
          <w:rFonts w:hint="eastAsia" w:ascii="仿宋_GB2312" w:eastAsia="仿宋_GB2312"/>
          <w:bCs/>
          <w:sz w:val="32"/>
          <w:szCs w:val="32"/>
          <w:highlight w:val="none"/>
        </w:rPr>
        <w:t>按照综合预算的原则，</w:t>
      </w:r>
      <w:r>
        <w:rPr>
          <w:rFonts w:hint="eastAsia" w:ascii="仿宋_GB2312" w:eastAsia="仿宋_GB2312"/>
          <w:sz w:val="32"/>
          <w:szCs w:val="32"/>
          <w:highlight w:val="none"/>
          <w:lang w:eastAsia="zh-CN"/>
        </w:rPr>
        <w:t>湖州市第四中学教育集团</w:t>
      </w:r>
      <w:r>
        <w:rPr>
          <w:rFonts w:hint="eastAsia" w:ascii="仿宋_GB2312" w:eastAsia="仿宋_GB2312"/>
          <w:sz w:val="32"/>
          <w:szCs w:val="32"/>
          <w:highlight w:val="none"/>
        </w:rPr>
        <w:t>所有收入和支出均纳入</w:t>
      </w:r>
      <w:r>
        <w:rPr>
          <w:rFonts w:hint="eastAsia" w:ascii="仿宋_GB2312" w:eastAsia="仿宋_GB2312"/>
          <w:sz w:val="32"/>
          <w:szCs w:val="32"/>
          <w:highlight w:val="none"/>
          <w:lang w:eastAsia="zh-CN"/>
        </w:rPr>
        <w:t>单位</w:t>
      </w:r>
      <w:r>
        <w:rPr>
          <w:rFonts w:hint="eastAsia" w:ascii="仿宋_GB2312" w:eastAsia="仿宋_GB2312"/>
          <w:sz w:val="32"/>
          <w:szCs w:val="32"/>
          <w:highlight w:val="none"/>
        </w:rPr>
        <w:t>预算管理。收入包括：一般公共预算拨款收入、其他收入；支出包括：教育支出、社会保障和就业支出、卫生健康支出。湖州市第四中学教育集团2022年收支总预算</w:t>
      </w:r>
      <w:r>
        <w:rPr>
          <w:rFonts w:hint="eastAsia" w:ascii="仿宋_GB2312" w:eastAsia="仿宋_GB2312"/>
          <w:sz w:val="32"/>
          <w:szCs w:val="32"/>
          <w:highlight w:val="none"/>
          <w:lang w:val="en-US" w:eastAsia="zh-CN"/>
        </w:rPr>
        <w:t>7913.97</w:t>
      </w:r>
      <w:r>
        <w:rPr>
          <w:rFonts w:hint="eastAsia" w:ascii="仿宋_GB2312" w:eastAsia="仿宋_GB2312"/>
          <w:sz w:val="32"/>
          <w:szCs w:val="32"/>
          <w:highlight w:val="none"/>
        </w:rPr>
        <w:t>万元。</w:t>
      </w:r>
      <w:r>
        <w:rPr>
          <w:rFonts w:hint="eastAsia" w:ascii="仿宋_GB2312" w:eastAsia="仿宋_GB2312"/>
          <w:sz w:val="32"/>
          <w:szCs w:val="32"/>
          <w:highlight w:val="none"/>
          <w:u w:val="none"/>
        </w:rPr>
        <w:t>与上年执行数相比，收、支总计各</w:t>
      </w:r>
      <w:r>
        <w:rPr>
          <w:rFonts w:hint="eastAsia" w:ascii="仿宋_GB2312" w:hAnsi="仿宋_GB2312" w:eastAsia="仿宋_GB2312" w:cs="仿宋_GB2312"/>
          <w:sz w:val="32"/>
          <w:szCs w:val="32"/>
          <w:highlight w:val="none"/>
          <w:u w:val="none"/>
        </w:rPr>
        <w:t>减少</w:t>
      </w:r>
      <w:r>
        <w:rPr>
          <w:rFonts w:hint="eastAsia" w:ascii="仿宋_GB2312" w:eastAsia="仿宋_GB2312"/>
          <w:sz w:val="32"/>
          <w:szCs w:val="32"/>
          <w:highlight w:val="none"/>
          <w:u w:val="none"/>
          <w:lang w:val="en-US" w:eastAsia="zh-CN"/>
        </w:rPr>
        <w:t>781.67</w:t>
      </w:r>
      <w:r>
        <w:rPr>
          <w:rFonts w:hint="eastAsia" w:ascii="仿宋_GB2312" w:eastAsia="仿宋_GB2312"/>
          <w:sz w:val="32"/>
          <w:szCs w:val="32"/>
          <w:highlight w:val="none"/>
          <w:u w:val="none"/>
        </w:rPr>
        <w:t>万元，</w:t>
      </w:r>
      <w:r>
        <w:rPr>
          <w:rFonts w:hint="eastAsia" w:ascii="仿宋_GB2312" w:hAnsi="仿宋_GB2312" w:eastAsia="仿宋_GB2312" w:cs="仿宋_GB2312"/>
          <w:sz w:val="32"/>
          <w:szCs w:val="32"/>
          <w:highlight w:val="none"/>
          <w:u w:val="none"/>
        </w:rPr>
        <w:t>下</w:t>
      </w:r>
      <w:r>
        <w:rPr>
          <w:rFonts w:hint="eastAsia" w:ascii="仿宋_GB2312" w:hAnsi="仿宋_GB2312" w:eastAsia="仿宋_GB2312" w:cs="仿宋_GB2312"/>
          <w:sz w:val="32"/>
          <w:highlight w:val="none"/>
          <w:u w:val="none"/>
        </w:rPr>
        <w:t>降</w:t>
      </w:r>
      <w:r>
        <w:rPr>
          <w:rFonts w:hint="eastAsia" w:ascii="仿宋_GB2312" w:eastAsia="仿宋_GB2312"/>
          <w:sz w:val="32"/>
          <w:szCs w:val="32"/>
          <w:highlight w:val="none"/>
          <w:u w:val="none"/>
          <w:lang w:val="en-US" w:eastAsia="zh-CN"/>
        </w:rPr>
        <w:t>8.99</w:t>
      </w:r>
      <w:r>
        <w:rPr>
          <w:rFonts w:hint="eastAsia" w:ascii="仿宋_GB2312" w:eastAsia="仿宋_GB2312"/>
          <w:sz w:val="32"/>
          <w:szCs w:val="32"/>
          <w:highlight w:val="none"/>
          <w:u w:val="none"/>
        </w:rPr>
        <w:t>%。主要原因是: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eastAsia="仿宋_GB2312"/>
          <w:sz w:val="32"/>
          <w:szCs w:val="32"/>
          <w:highlight w:val="none"/>
          <w:u w:val="none"/>
        </w:rPr>
        <w:t>。</w:t>
      </w:r>
    </w:p>
    <w:p>
      <w:pPr>
        <w:spacing w:line="520" w:lineRule="exact"/>
        <w:ind w:firstLine="642"/>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2022年收入预算情况说明</w:t>
      </w:r>
    </w:p>
    <w:p>
      <w:pPr>
        <w:spacing w:line="520" w:lineRule="exact"/>
        <w:ind w:firstLine="641"/>
        <w:rPr>
          <w:rFonts w:ascii="仿宋_GB2312" w:eastAsia="仿宋_GB2312"/>
          <w:sz w:val="32"/>
          <w:szCs w:val="32"/>
          <w:highlight w:val="none"/>
          <w:u w:val="none"/>
        </w:rPr>
      </w:pPr>
      <w:r>
        <w:rPr>
          <w:rFonts w:hint="eastAsia" w:ascii="仿宋_GB2312" w:hAnsi="仿宋_GB2312" w:eastAsia="仿宋_GB2312" w:cs="仿宋_GB2312"/>
          <w:sz w:val="32"/>
          <w:szCs w:val="32"/>
          <w:highlight w:val="none"/>
          <w:lang w:eastAsia="zh-CN"/>
        </w:rPr>
        <w:t>湖州市第四中学教育集团</w:t>
      </w:r>
      <w:r>
        <w:rPr>
          <w:rFonts w:hint="eastAsia" w:ascii="仿宋_GB2312" w:hAnsi="仿宋_GB2312" w:eastAsia="仿宋_GB2312" w:cs="仿宋_GB2312"/>
          <w:sz w:val="32"/>
          <w:szCs w:val="32"/>
          <w:highlight w:val="none"/>
        </w:rPr>
        <w:t>2022年收入预算</w:t>
      </w:r>
      <w:r>
        <w:rPr>
          <w:rFonts w:hint="eastAsia" w:ascii="仿宋_GB2312" w:eastAsia="仿宋_GB2312"/>
          <w:sz w:val="32"/>
          <w:szCs w:val="32"/>
          <w:highlight w:val="none"/>
          <w:lang w:val="en-US" w:eastAsia="zh-CN"/>
        </w:rPr>
        <w:t>7913.97</w:t>
      </w:r>
      <w:r>
        <w:rPr>
          <w:rFonts w:hint="eastAsia" w:ascii="仿宋_GB2312" w:hAnsi="仿宋_GB2312" w:eastAsia="仿宋_GB2312" w:cs="仿宋_GB2312"/>
          <w:sz w:val="32"/>
          <w:szCs w:val="32"/>
          <w:highlight w:val="none"/>
        </w:rPr>
        <w:t>万元，比上年执行数</w:t>
      </w:r>
      <w:r>
        <w:rPr>
          <w:rFonts w:hint="eastAsia" w:ascii="仿宋_GB2312" w:hAnsi="仿宋_GB2312" w:eastAsia="仿宋_GB2312" w:cs="仿宋_GB2312"/>
          <w:sz w:val="32"/>
          <w:szCs w:val="32"/>
          <w:highlight w:val="none"/>
          <w:u w:val="none"/>
        </w:rPr>
        <w:t>减少</w:t>
      </w:r>
      <w:r>
        <w:rPr>
          <w:rFonts w:hint="eastAsia" w:ascii="仿宋_GB2312" w:eastAsia="仿宋_GB2312"/>
          <w:sz w:val="32"/>
          <w:szCs w:val="32"/>
          <w:highlight w:val="none"/>
          <w:u w:val="none"/>
          <w:lang w:val="en-US" w:eastAsia="zh-CN"/>
        </w:rPr>
        <w:t>781.67</w:t>
      </w:r>
      <w:r>
        <w:rPr>
          <w:rFonts w:hint="eastAsia" w:ascii="仿宋_GB2312" w:eastAsia="仿宋_GB2312"/>
          <w:sz w:val="32"/>
          <w:szCs w:val="32"/>
          <w:highlight w:val="none"/>
          <w:u w:val="none"/>
        </w:rPr>
        <w:t>万元，</w:t>
      </w:r>
      <w:r>
        <w:rPr>
          <w:rFonts w:hint="eastAsia" w:ascii="仿宋_GB2312" w:hAnsi="仿宋_GB2312" w:eastAsia="仿宋_GB2312" w:cs="仿宋_GB2312"/>
          <w:sz w:val="32"/>
          <w:szCs w:val="32"/>
          <w:highlight w:val="none"/>
          <w:u w:val="none"/>
        </w:rPr>
        <w:t>下</w:t>
      </w:r>
      <w:r>
        <w:rPr>
          <w:rFonts w:hint="eastAsia" w:ascii="仿宋_GB2312" w:hAnsi="仿宋_GB2312" w:eastAsia="仿宋_GB2312" w:cs="仿宋_GB2312"/>
          <w:sz w:val="32"/>
          <w:highlight w:val="none"/>
          <w:u w:val="none"/>
        </w:rPr>
        <w:t>降</w:t>
      </w:r>
      <w:r>
        <w:rPr>
          <w:rFonts w:hint="eastAsia" w:ascii="仿宋_GB2312" w:eastAsia="仿宋_GB2312"/>
          <w:sz w:val="32"/>
          <w:szCs w:val="32"/>
          <w:highlight w:val="none"/>
          <w:u w:val="none"/>
          <w:lang w:val="en-US" w:eastAsia="zh-CN"/>
        </w:rPr>
        <w:t>8.99</w:t>
      </w:r>
      <w:r>
        <w:rPr>
          <w:rFonts w:hint="eastAsia" w:ascii="仿宋_GB2312" w:eastAsia="仿宋_GB2312"/>
          <w:sz w:val="32"/>
          <w:szCs w:val="32"/>
          <w:highlight w:val="none"/>
          <w:u w:val="none"/>
        </w:rPr>
        <w:t>%。主要原因是: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eastAsia="仿宋_GB2312"/>
          <w:sz w:val="32"/>
          <w:szCs w:val="32"/>
          <w:highlight w:val="none"/>
          <w:u w:val="none"/>
        </w:rPr>
        <w:t>。</w:t>
      </w:r>
    </w:p>
    <w:p>
      <w:pPr>
        <w:spacing w:line="520" w:lineRule="exact"/>
        <w:ind w:firstLine="642"/>
        <w:rPr>
          <w:rFonts w:hint="eastAsia" w:ascii="仿宋_GB2312" w:eastAsia="仿宋_GB2312"/>
          <w:sz w:val="32"/>
          <w:szCs w:val="32"/>
          <w:highlight w:val="none"/>
          <w:lang w:eastAsia="zh-CN"/>
        </w:rPr>
      </w:pPr>
      <w:r>
        <w:rPr>
          <w:rFonts w:hint="eastAsia" w:ascii="仿宋_GB2312" w:eastAsia="仿宋_GB2312"/>
          <w:sz w:val="32"/>
          <w:szCs w:val="32"/>
          <w:highlight w:val="none"/>
        </w:rPr>
        <w:t>其中：一般公共预算拨款收入</w:t>
      </w:r>
      <w:r>
        <w:rPr>
          <w:rFonts w:hint="eastAsia" w:ascii="仿宋_GB2312" w:eastAsia="仿宋_GB2312"/>
          <w:sz w:val="32"/>
          <w:szCs w:val="32"/>
          <w:highlight w:val="none"/>
          <w:lang w:val="en-US" w:eastAsia="zh-CN"/>
        </w:rPr>
        <w:t>7433.97</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93.93</w:t>
      </w:r>
      <w:r>
        <w:rPr>
          <w:rFonts w:hint="eastAsia" w:ascii="仿宋_GB2312" w:eastAsia="仿宋_GB2312"/>
          <w:sz w:val="32"/>
          <w:szCs w:val="32"/>
          <w:highlight w:val="none"/>
        </w:rPr>
        <w:t>%；其他收入</w:t>
      </w:r>
      <w:r>
        <w:rPr>
          <w:rFonts w:hint="eastAsia" w:ascii="仿宋_GB2312" w:eastAsia="仿宋_GB2312"/>
          <w:sz w:val="32"/>
          <w:szCs w:val="32"/>
          <w:highlight w:val="none"/>
          <w:lang w:val="en-US" w:eastAsia="zh-CN"/>
        </w:rPr>
        <w:t>480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6.07</w:t>
      </w:r>
      <w:r>
        <w:rPr>
          <w:rFonts w:hint="eastAsia" w:ascii="仿宋_GB2312" w:eastAsia="仿宋_GB2312"/>
          <w:sz w:val="32"/>
          <w:szCs w:val="32"/>
          <w:highlight w:val="none"/>
        </w:rPr>
        <w:t>%。</w:t>
      </w:r>
    </w:p>
    <w:p>
      <w:pPr>
        <w:spacing w:line="520" w:lineRule="exact"/>
        <w:ind w:firstLine="642"/>
        <w:rPr>
          <w:rFonts w:hint="eastAsia" w:ascii="楷体_GB2312" w:hAnsi="楷体_GB2312" w:eastAsia="楷体_GB2312" w:cs="楷体_GB2312"/>
          <w:bCs/>
          <w:sz w:val="32"/>
          <w:szCs w:val="32"/>
          <w:highlight w:val="none"/>
          <w:lang w:eastAsia="zh-CN"/>
        </w:rPr>
      </w:pPr>
      <w:r>
        <w:rPr>
          <w:rFonts w:hint="eastAsia" w:ascii="楷体_GB2312" w:hAnsi="楷体_GB2312" w:eastAsia="楷体_GB2312" w:cs="楷体_GB2312"/>
          <w:bCs/>
          <w:sz w:val="32"/>
          <w:szCs w:val="32"/>
          <w:highlight w:val="none"/>
        </w:rPr>
        <w:t>　　（三）关于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2022年支出预算情况说明</w:t>
      </w:r>
    </w:p>
    <w:p>
      <w:pPr>
        <w:spacing w:line="520" w:lineRule="exact"/>
        <w:ind w:firstLine="641"/>
        <w:rPr>
          <w:rFonts w:ascii="仿宋_GB2312" w:eastAsia="仿宋_GB2312"/>
          <w:sz w:val="32"/>
          <w:szCs w:val="32"/>
          <w:highlight w:val="none"/>
          <w:u w:val="none"/>
        </w:rPr>
      </w:pPr>
      <w:r>
        <w:rPr>
          <w:rFonts w:hint="eastAsia" w:ascii="仿宋_GB2312" w:hAnsi="仿宋_GB2312" w:eastAsia="仿宋_GB2312" w:cs="仿宋_GB2312"/>
          <w:sz w:val="32"/>
          <w:szCs w:val="32"/>
          <w:highlight w:val="none"/>
          <w:lang w:eastAsia="zh-CN"/>
        </w:rPr>
        <w:t>湖州市第四中学教育集团</w:t>
      </w:r>
      <w:r>
        <w:rPr>
          <w:rFonts w:hint="eastAsia" w:ascii="仿宋_GB2312" w:hAnsi="仿宋_GB2312" w:eastAsia="仿宋_GB2312" w:cs="仿宋_GB2312"/>
          <w:sz w:val="32"/>
          <w:szCs w:val="32"/>
          <w:highlight w:val="none"/>
        </w:rPr>
        <w:t>2022年支出预算</w:t>
      </w:r>
      <w:r>
        <w:rPr>
          <w:rFonts w:hint="eastAsia" w:ascii="仿宋_GB2312" w:eastAsia="仿宋_GB2312"/>
          <w:sz w:val="32"/>
          <w:szCs w:val="32"/>
          <w:highlight w:val="none"/>
          <w:lang w:val="en-US" w:eastAsia="zh-CN"/>
        </w:rPr>
        <w:t>7913.97</w:t>
      </w:r>
      <w:r>
        <w:rPr>
          <w:rFonts w:hint="eastAsia" w:ascii="仿宋_GB2312" w:hAnsi="仿宋_GB2312" w:eastAsia="仿宋_GB2312" w:cs="仿宋_GB2312"/>
          <w:sz w:val="32"/>
          <w:szCs w:val="32"/>
          <w:highlight w:val="none"/>
        </w:rPr>
        <w:t>万元，比上年执行数</w:t>
      </w:r>
      <w:r>
        <w:rPr>
          <w:rFonts w:hint="eastAsia" w:ascii="仿宋_GB2312" w:hAnsi="仿宋_GB2312" w:eastAsia="仿宋_GB2312" w:cs="仿宋_GB2312"/>
          <w:sz w:val="32"/>
          <w:szCs w:val="32"/>
          <w:highlight w:val="none"/>
          <w:u w:val="none"/>
        </w:rPr>
        <w:t>减少</w:t>
      </w:r>
      <w:r>
        <w:rPr>
          <w:rFonts w:hint="eastAsia" w:ascii="仿宋_GB2312" w:eastAsia="仿宋_GB2312"/>
          <w:sz w:val="32"/>
          <w:szCs w:val="32"/>
          <w:highlight w:val="none"/>
          <w:u w:val="none"/>
          <w:lang w:val="en-US" w:eastAsia="zh-CN"/>
        </w:rPr>
        <w:t>781.67</w:t>
      </w:r>
      <w:r>
        <w:rPr>
          <w:rFonts w:hint="eastAsia" w:ascii="仿宋_GB2312" w:eastAsia="仿宋_GB2312"/>
          <w:sz w:val="32"/>
          <w:szCs w:val="32"/>
          <w:highlight w:val="none"/>
          <w:u w:val="none"/>
        </w:rPr>
        <w:t>万元，</w:t>
      </w:r>
      <w:r>
        <w:rPr>
          <w:rFonts w:hint="eastAsia" w:ascii="仿宋_GB2312" w:hAnsi="仿宋_GB2312" w:eastAsia="仿宋_GB2312" w:cs="仿宋_GB2312"/>
          <w:sz w:val="32"/>
          <w:szCs w:val="32"/>
          <w:highlight w:val="none"/>
          <w:u w:val="none"/>
        </w:rPr>
        <w:t>下</w:t>
      </w:r>
      <w:r>
        <w:rPr>
          <w:rFonts w:hint="eastAsia" w:ascii="仿宋_GB2312" w:hAnsi="仿宋_GB2312" w:eastAsia="仿宋_GB2312" w:cs="仿宋_GB2312"/>
          <w:sz w:val="32"/>
          <w:highlight w:val="none"/>
          <w:u w:val="none"/>
        </w:rPr>
        <w:t>降</w:t>
      </w:r>
      <w:r>
        <w:rPr>
          <w:rFonts w:hint="eastAsia" w:ascii="仿宋_GB2312" w:eastAsia="仿宋_GB2312"/>
          <w:sz w:val="32"/>
          <w:szCs w:val="32"/>
          <w:highlight w:val="none"/>
          <w:u w:val="none"/>
          <w:lang w:val="en-US" w:eastAsia="zh-CN"/>
        </w:rPr>
        <w:t>8.99</w:t>
      </w:r>
      <w:r>
        <w:rPr>
          <w:rFonts w:hint="eastAsia" w:ascii="仿宋_GB2312" w:eastAsia="仿宋_GB2312"/>
          <w:sz w:val="32"/>
          <w:szCs w:val="32"/>
          <w:highlight w:val="none"/>
          <w:u w:val="none"/>
        </w:rPr>
        <w:t>%。主要原因是: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eastAsia="仿宋_GB2312"/>
          <w:sz w:val="32"/>
          <w:szCs w:val="32"/>
          <w:highlight w:val="none"/>
          <w:u w:val="none"/>
        </w:rPr>
        <w:t>。</w:t>
      </w:r>
    </w:p>
    <w:p>
      <w:pPr>
        <w:spacing w:line="520" w:lineRule="exact"/>
        <w:ind w:firstLine="630"/>
        <w:rPr>
          <w:rFonts w:ascii="仿宋_GB2312" w:eastAsia="仿宋_GB2312"/>
          <w:sz w:val="32"/>
          <w:szCs w:val="32"/>
          <w:highlight w:val="none"/>
        </w:rPr>
      </w:pPr>
      <w:r>
        <w:rPr>
          <w:rFonts w:hint="eastAsia" w:ascii="仿宋_GB2312" w:eastAsia="仿宋_GB2312"/>
          <w:sz w:val="32"/>
          <w:szCs w:val="32"/>
          <w:highlight w:val="none"/>
        </w:rPr>
        <w:t>1.按支出功能分类，教育支出</w:t>
      </w:r>
      <w:r>
        <w:rPr>
          <w:rFonts w:hint="eastAsia" w:ascii="仿宋_GB2312" w:eastAsia="仿宋_GB2312"/>
          <w:sz w:val="32"/>
          <w:szCs w:val="32"/>
          <w:highlight w:val="none"/>
          <w:lang w:val="en-US" w:eastAsia="zh-CN"/>
        </w:rPr>
        <w:t>6753.17</w:t>
      </w:r>
      <w:r>
        <w:rPr>
          <w:rFonts w:hint="eastAsia" w:ascii="仿宋_GB2312" w:eastAsia="仿宋_GB2312"/>
          <w:sz w:val="32"/>
          <w:szCs w:val="32"/>
          <w:highlight w:val="none"/>
        </w:rPr>
        <w:t>万元、社会保障和就业支出</w:t>
      </w:r>
      <w:r>
        <w:rPr>
          <w:rFonts w:hint="eastAsia" w:ascii="仿宋_GB2312" w:eastAsia="仿宋_GB2312"/>
          <w:sz w:val="32"/>
          <w:szCs w:val="32"/>
          <w:highlight w:val="none"/>
          <w:lang w:val="en-US" w:eastAsia="zh-CN"/>
        </w:rPr>
        <w:t>713.20</w:t>
      </w:r>
      <w:r>
        <w:rPr>
          <w:rFonts w:hint="eastAsia" w:ascii="仿宋_GB2312" w:eastAsia="仿宋_GB2312"/>
          <w:sz w:val="32"/>
          <w:szCs w:val="32"/>
          <w:highlight w:val="none"/>
        </w:rPr>
        <w:t>万元、卫生健康支出</w:t>
      </w:r>
      <w:r>
        <w:rPr>
          <w:rFonts w:hint="eastAsia" w:ascii="仿宋_GB2312" w:eastAsia="仿宋_GB2312"/>
          <w:sz w:val="32"/>
          <w:szCs w:val="32"/>
          <w:highlight w:val="none"/>
          <w:lang w:val="en-US" w:eastAsia="zh-CN"/>
        </w:rPr>
        <w:t>447.59</w:t>
      </w:r>
      <w:r>
        <w:rPr>
          <w:rFonts w:hint="eastAsia" w:ascii="仿宋_GB2312" w:eastAsia="仿宋_GB2312"/>
          <w:sz w:val="32"/>
          <w:szCs w:val="32"/>
          <w:highlight w:val="none"/>
        </w:rPr>
        <w:t>万元。</w:t>
      </w:r>
    </w:p>
    <w:p>
      <w:pPr>
        <w:spacing w:line="520" w:lineRule="exact"/>
        <w:ind w:firstLine="642"/>
        <w:rPr>
          <w:rFonts w:ascii="仿宋_GB2312" w:eastAsia="仿宋_GB2312"/>
          <w:sz w:val="32"/>
          <w:szCs w:val="32"/>
          <w:highlight w:val="none"/>
        </w:rPr>
      </w:pPr>
      <w:r>
        <w:rPr>
          <w:rFonts w:hint="eastAsia" w:ascii="仿宋_GB2312" w:eastAsia="仿宋_GB2312"/>
          <w:sz w:val="32"/>
          <w:szCs w:val="32"/>
          <w:highlight w:val="none"/>
        </w:rPr>
        <w:t>2.按支出用途分类，包括人员支出</w:t>
      </w:r>
      <w:r>
        <w:rPr>
          <w:rFonts w:hint="eastAsia" w:ascii="仿宋_GB2312" w:eastAsia="仿宋_GB2312"/>
          <w:sz w:val="32"/>
          <w:szCs w:val="32"/>
          <w:highlight w:val="none"/>
          <w:lang w:val="en-US" w:eastAsia="zh-CN"/>
        </w:rPr>
        <w:t>6543.19</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82.67</w:t>
      </w:r>
      <w:r>
        <w:rPr>
          <w:rFonts w:hint="eastAsia" w:ascii="仿宋_GB2312" w:eastAsia="仿宋_GB2312"/>
          <w:sz w:val="32"/>
          <w:szCs w:val="32"/>
          <w:highlight w:val="none"/>
        </w:rPr>
        <w:t>%；日常公用支出</w:t>
      </w:r>
      <w:r>
        <w:rPr>
          <w:rFonts w:hint="eastAsia" w:ascii="仿宋_GB2312" w:eastAsia="仿宋_GB2312"/>
          <w:sz w:val="32"/>
          <w:szCs w:val="32"/>
          <w:highlight w:val="none"/>
          <w:lang w:val="en-US" w:eastAsia="zh-CN"/>
        </w:rPr>
        <w:t>853.92</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10.80</w:t>
      </w:r>
      <w:r>
        <w:rPr>
          <w:rFonts w:hint="eastAsia" w:ascii="仿宋_GB2312" w:eastAsia="仿宋_GB2312"/>
          <w:sz w:val="32"/>
          <w:szCs w:val="32"/>
          <w:highlight w:val="none"/>
        </w:rPr>
        <w:t>%；项目支出</w:t>
      </w:r>
      <w:r>
        <w:rPr>
          <w:rFonts w:hint="eastAsia" w:ascii="仿宋_GB2312" w:eastAsia="仿宋_GB2312"/>
          <w:sz w:val="32"/>
          <w:szCs w:val="32"/>
          <w:highlight w:val="none"/>
          <w:lang w:val="en-US" w:eastAsia="zh-CN"/>
        </w:rPr>
        <w:t>516.87</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6.53</w:t>
      </w:r>
      <w:r>
        <w:rPr>
          <w:rFonts w:hint="eastAsia" w:ascii="仿宋_GB2312" w:eastAsia="仿宋_GB2312"/>
          <w:sz w:val="32"/>
          <w:szCs w:val="32"/>
          <w:highlight w:val="none"/>
        </w:rPr>
        <w:t>%。</w:t>
      </w:r>
    </w:p>
    <w:p>
      <w:pPr>
        <w:spacing w:line="520" w:lineRule="exact"/>
        <w:ind w:firstLine="627" w:firstLineChars="196"/>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（四）关于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2022年财政拨款收支预算情况的总体说明</w:t>
      </w:r>
    </w:p>
    <w:p>
      <w:pPr>
        <w:spacing w:line="520" w:lineRule="exact"/>
        <w:ind w:firstLine="641"/>
        <w:rPr>
          <w:rFonts w:ascii="仿宋_GB2312" w:eastAsia="仿宋_GB2312"/>
          <w:sz w:val="32"/>
          <w:szCs w:val="32"/>
          <w:highlight w:val="none"/>
          <w:u w:val="none"/>
        </w:rPr>
      </w:pPr>
      <w:r>
        <w:rPr>
          <w:rFonts w:hint="eastAsia" w:ascii="仿宋_GB2312" w:eastAsia="仿宋_GB2312"/>
          <w:sz w:val="32"/>
          <w:szCs w:val="32"/>
          <w:highlight w:val="none"/>
          <w:lang w:eastAsia="zh-CN"/>
        </w:rPr>
        <w:t>湖州市第四中学教育集团</w:t>
      </w:r>
      <w:r>
        <w:rPr>
          <w:rFonts w:hint="eastAsia" w:ascii="仿宋_GB2312" w:eastAsia="仿宋_GB2312"/>
          <w:sz w:val="32"/>
          <w:szCs w:val="32"/>
          <w:highlight w:val="none"/>
        </w:rPr>
        <w:t>2022年财政拨款收支总预算</w:t>
      </w:r>
      <w:r>
        <w:rPr>
          <w:rFonts w:hint="eastAsia" w:ascii="仿宋_GB2312" w:eastAsia="仿宋_GB2312"/>
          <w:sz w:val="32"/>
          <w:szCs w:val="32"/>
          <w:highlight w:val="none"/>
          <w:lang w:val="en-US" w:eastAsia="zh-CN"/>
        </w:rPr>
        <w:t>7913.97</w:t>
      </w:r>
      <w:r>
        <w:rPr>
          <w:rFonts w:hint="eastAsia" w:ascii="仿宋_GB2312" w:eastAsia="仿宋_GB2312"/>
          <w:sz w:val="32"/>
          <w:szCs w:val="32"/>
          <w:highlight w:val="none"/>
        </w:rPr>
        <w:t>万元。</w:t>
      </w:r>
      <w:r>
        <w:rPr>
          <w:rFonts w:hint="eastAsia" w:ascii="仿宋_GB2312" w:hAnsi="仿宋_GB2312" w:eastAsia="仿宋_GB2312" w:cs="仿宋_GB2312"/>
          <w:sz w:val="32"/>
          <w:szCs w:val="32"/>
          <w:highlight w:val="none"/>
        </w:rPr>
        <w:t>比上年执行数</w:t>
      </w:r>
      <w:r>
        <w:rPr>
          <w:rFonts w:hint="eastAsia" w:ascii="仿宋_GB2312" w:hAnsi="仿宋_GB2312" w:eastAsia="仿宋_GB2312" w:cs="仿宋_GB2312"/>
          <w:sz w:val="32"/>
          <w:szCs w:val="32"/>
          <w:highlight w:val="none"/>
          <w:u w:val="none"/>
        </w:rPr>
        <w:t>减少</w:t>
      </w:r>
      <w:r>
        <w:rPr>
          <w:rFonts w:hint="eastAsia" w:ascii="仿宋_GB2312" w:eastAsia="仿宋_GB2312"/>
          <w:sz w:val="32"/>
          <w:szCs w:val="32"/>
          <w:highlight w:val="none"/>
          <w:u w:val="none"/>
          <w:lang w:val="en-US" w:eastAsia="zh-CN"/>
        </w:rPr>
        <w:t>781.67</w:t>
      </w:r>
      <w:r>
        <w:rPr>
          <w:rFonts w:hint="eastAsia" w:ascii="仿宋_GB2312" w:eastAsia="仿宋_GB2312"/>
          <w:sz w:val="32"/>
          <w:szCs w:val="32"/>
          <w:highlight w:val="none"/>
          <w:u w:val="none"/>
        </w:rPr>
        <w:t>万元，</w:t>
      </w:r>
      <w:r>
        <w:rPr>
          <w:rFonts w:hint="eastAsia" w:ascii="仿宋_GB2312" w:hAnsi="仿宋_GB2312" w:eastAsia="仿宋_GB2312" w:cs="仿宋_GB2312"/>
          <w:sz w:val="32"/>
          <w:szCs w:val="32"/>
          <w:highlight w:val="none"/>
          <w:u w:val="none"/>
        </w:rPr>
        <w:t>下</w:t>
      </w:r>
      <w:r>
        <w:rPr>
          <w:rFonts w:hint="eastAsia" w:ascii="仿宋_GB2312" w:hAnsi="仿宋_GB2312" w:eastAsia="仿宋_GB2312" w:cs="仿宋_GB2312"/>
          <w:sz w:val="32"/>
          <w:highlight w:val="none"/>
          <w:u w:val="none"/>
        </w:rPr>
        <w:t>降</w:t>
      </w:r>
      <w:r>
        <w:rPr>
          <w:rFonts w:hint="eastAsia" w:ascii="仿宋_GB2312" w:eastAsia="仿宋_GB2312"/>
          <w:sz w:val="32"/>
          <w:szCs w:val="32"/>
          <w:highlight w:val="none"/>
          <w:u w:val="none"/>
          <w:lang w:val="en-US" w:eastAsia="zh-CN"/>
        </w:rPr>
        <w:t>8.99</w:t>
      </w:r>
      <w:r>
        <w:rPr>
          <w:rFonts w:hint="eastAsia" w:ascii="仿宋_GB2312" w:eastAsia="仿宋_GB2312"/>
          <w:sz w:val="32"/>
          <w:szCs w:val="32"/>
          <w:highlight w:val="none"/>
          <w:u w:val="none"/>
        </w:rPr>
        <w:t>%。主要原因是: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eastAsia="仿宋_GB2312"/>
          <w:sz w:val="32"/>
          <w:szCs w:val="32"/>
          <w:highlight w:val="none"/>
          <w:u w:val="none"/>
        </w:rPr>
        <w:t>。</w:t>
      </w:r>
    </w:p>
    <w:p>
      <w:pPr>
        <w:spacing w:line="520" w:lineRule="exact"/>
        <w:ind w:firstLine="640"/>
        <w:rPr>
          <w:rFonts w:ascii="仿宋_GB2312" w:eastAsia="仿宋_GB2312"/>
          <w:sz w:val="32"/>
          <w:szCs w:val="32"/>
          <w:highlight w:val="none"/>
          <w:u w:val="single"/>
        </w:rPr>
      </w:pPr>
      <w:r>
        <w:rPr>
          <w:rFonts w:hint="eastAsia" w:ascii="仿宋_GB2312" w:eastAsia="仿宋_GB2312"/>
          <w:sz w:val="32"/>
          <w:szCs w:val="32"/>
          <w:highlight w:val="none"/>
        </w:rPr>
        <w:t>收入包括：一般公共预算</w:t>
      </w:r>
      <w:r>
        <w:rPr>
          <w:rFonts w:hint="eastAsia" w:ascii="仿宋_GB2312" w:eastAsia="仿宋_GB2312"/>
          <w:sz w:val="32"/>
          <w:szCs w:val="32"/>
          <w:highlight w:val="none"/>
          <w:lang w:val="en-US" w:eastAsia="zh-CN"/>
        </w:rPr>
        <w:t>7433.97</w:t>
      </w:r>
      <w:r>
        <w:rPr>
          <w:rFonts w:hint="eastAsia" w:ascii="仿宋_GB2312" w:eastAsia="仿宋_GB2312"/>
          <w:sz w:val="32"/>
          <w:szCs w:val="32"/>
          <w:highlight w:val="none"/>
        </w:rPr>
        <w:t>万元；支出包括：教育支出</w:t>
      </w:r>
      <w:r>
        <w:rPr>
          <w:rFonts w:hint="eastAsia" w:ascii="仿宋_GB2312" w:eastAsia="仿宋_GB2312"/>
          <w:sz w:val="32"/>
          <w:szCs w:val="32"/>
          <w:highlight w:val="none"/>
          <w:lang w:val="en-US" w:eastAsia="zh-CN"/>
        </w:rPr>
        <w:t>6753.17</w:t>
      </w:r>
      <w:r>
        <w:rPr>
          <w:rFonts w:hint="eastAsia" w:ascii="仿宋_GB2312" w:eastAsia="仿宋_GB2312"/>
          <w:sz w:val="32"/>
          <w:szCs w:val="32"/>
          <w:highlight w:val="none"/>
        </w:rPr>
        <w:t>万元、社会保障和就业支出</w:t>
      </w:r>
      <w:r>
        <w:rPr>
          <w:rFonts w:hint="eastAsia" w:ascii="仿宋_GB2312" w:eastAsia="仿宋_GB2312"/>
          <w:sz w:val="32"/>
          <w:szCs w:val="32"/>
          <w:highlight w:val="none"/>
          <w:lang w:val="en-US" w:eastAsia="zh-CN"/>
        </w:rPr>
        <w:t>713.20</w:t>
      </w:r>
      <w:r>
        <w:rPr>
          <w:rFonts w:hint="eastAsia" w:ascii="仿宋_GB2312" w:eastAsia="仿宋_GB2312"/>
          <w:sz w:val="32"/>
          <w:szCs w:val="32"/>
          <w:highlight w:val="none"/>
        </w:rPr>
        <w:t>万元、卫生健康支出</w:t>
      </w:r>
      <w:r>
        <w:rPr>
          <w:rFonts w:hint="eastAsia" w:ascii="仿宋_GB2312" w:eastAsia="仿宋_GB2312"/>
          <w:sz w:val="32"/>
          <w:szCs w:val="32"/>
          <w:highlight w:val="none"/>
          <w:lang w:val="en-US" w:eastAsia="zh-CN"/>
        </w:rPr>
        <w:t>447.59</w:t>
      </w:r>
      <w:r>
        <w:rPr>
          <w:rFonts w:hint="eastAsia" w:ascii="仿宋_GB2312" w:eastAsia="仿宋_GB2312"/>
          <w:sz w:val="32"/>
          <w:szCs w:val="32"/>
          <w:highlight w:val="none"/>
        </w:rPr>
        <w:t>万元。</w:t>
      </w:r>
    </w:p>
    <w:p>
      <w:pPr>
        <w:numPr>
          <w:ilvl w:val="0"/>
          <w:numId w:val="1"/>
        </w:numPr>
        <w:spacing w:line="520" w:lineRule="exact"/>
        <w:ind w:firstLine="640"/>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2022年一般公共预算当年拨款情况说明</w:t>
      </w:r>
    </w:p>
    <w:p>
      <w:pPr>
        <w:spacing w:line="520" w:lineRule="exact"/>
        <w:ind w:firstLine="642"/>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1.一般公共预算当年拨款规模变化情况。</w:t>
      </w:r>
    </w:p>
    <w:p>
      <w:pPr>
        <w:spacing w:line="520" w:lineRule="exact"/>
        <w:ind w:firstLine="641"/>
        <w:rPr>
          <w:rFonts w:ascii="仿宋_GB2312" w:eastAsia="仿宋_GB2312"/>
          <w:sz w:val="32"/>
          <w:szCs w:val="32"/>
          <w:highlight w:val="none"/>
          <w:u w:val="none"/>
        </w:rPr>
      </w:pPr>
      <w:r>
        <w:rPr>
          <w:rFonts w:hint="eastAsia" w:ascii="仿宋_GB2312" w:hAnsi="仿宋_GB2312" w:eastAsia="仿宋_GB2312" w:cs="仿宋_GB2312"/>
          <w:sz w:val="32"/>
          <w:szCs w:val="32"/>
          <w:highlight w:val="none"/>
          <w:lang w:eastAsia="zh-CN"/>
        </w:rPr>
        <w:t>湖州市第四中学教育集团</w:t>
      </w:r>
      <w:r>
        <w:rPr>
          <w:rFonts w:hint="eastAsia" w:ascii="仿宋_GB2312" w:hAnsi="仿宋_GB2312" w:eastAsia="仿宋_GB2312" w:cs="仿宋_GB2312"/>
          <w:sz w:val="32"/>
          <w:szCs w:val="32"/>
          <w:highlight w:val="none"/>
        </w:rPr>
        <w:t>2022年一般公共预算当年拨款</w:t>
      </w:r>
      <w:r>
        <w:rPr>
          <w:rFonts w:hint="eastAsia" w:ascii="仿宋_GB2312" w:eastAsia="仿宋_GB2312"/>
          <w:sz w:val="32"/>
          <w:szCs w:val="32"/>
          <w:highlight w:val="none"/>
          <w:lang w:val="en-US" w:eastAsia="zh-CN"/>
        </w:rPr>
        <w:t>7433.97</w:t>
      </w:r>
      <w:r>
        <w:rPr>
          <w:rFonts w:hint="eastAsia" w:ascii="仿宋_GB2312" w:hAnsi="仿宋_GB2312" w:eastAsia="仿宋_GB2312" w:cs="仿宋_GB2312"/>
          <w:sz w:val="32"/>
          <w:szCs w:val="32"/>
          <w:highlight w:val="none"/>
        </w:rPr>
        <w:t>万元，比上年执行数减少</w:t>
      </w:r>
      <w:r>
        <w:rPr>
          <w:rFonts w:hint="eastAsia" w:ascii="仿宋_GB2312" w:hAnsi="仿宋_GB2312" w:eastAsia="仿宋_GB2312" w:cs="仿宋_GB2312"/>
          <w:sz w:val="32"/>
          <w:szCs w:val="32"/>
          <w:highlight w:val="none"/>
          <w:lang w:val="en-US" w:eastAsia="zh-CN"/>
        </w:rPr>
        <w:t>1171.72</w:t>
      </w:r>
      <w:r>
        <w:rPr>
          <w:rFonts w:hint="eastAsia" w:ascii="仿宋_GB2312" w:hAnsi="仿宋_GB2312" w:eastAsia="仿宋_GB2312" w:cs="仿宋_GB2312"/>
          <w:sz w:val="32"/>
          <w:szCs w:val="32"/>
          <w:highlight w:val="none"/>
        </w:rPr>
        <w:t>万元，下</w:t>
      </w:r>
      <w:r>
        <w:rPr>
          <w:rFonts w:hint="eastAsia" w:ascii="仿宋_GB2312" w:hAnsi="仿宋_GB2312" w:eastAsia="仿宋_GB2312" w:cs="仿宋_GB2312"/>
          <w:sz w:val="32"/>
          <w:highlight w:val="none"/>
        </w:rPr>
        <w:t>降</w:t>
      </w:r>
      <w:r>
        <w:rPr>
          <w:rFonts w:hint="eastAsia" w:ascii="仿宋_GB2312" w:hAnsi="仿宋_GB2312" w:eastAsia="仿宋_GB2312" w:cs="仿宋_GB2312"/>
          <w:sz w:val="32"/>
          <w:highlight w:val="none"/>
          <w:lang w:val="en-US" w:eastAsia="zh-CN"/>
        </w:rPr>
        <w:t>13.62</w:t>
      </w:r>
      <w:r>
        <w:rPr>
          <w:rFonts w:hint="eastAsia" w:ascii="仿宋_GB2312" w:hAnsi="仿宋_GB2312" w:eastAsia="仿宋_GB2312" w:cs="仿宋_GB2312"/>
          <w:sz w:val="32"/>
          <w:highlight w:val="none"/>
        </w:rPr>
        <w:t>%，</w:t>
      </w:r>
      <w:r>
        <w:rPr>
          <w:rFonts w:hint="eastAsia" w:ascii="仿宋_GB2312" w:hAnsi="仿宋_GB2312" w:eastAsia="仿宋_GB2312" w:cs="仿宋_GB2312"/>
          <w:sz w:val="32"/>
          <w:szCs w:val="32"/>
          <w:highlight w:val="none"/>
        </w:rPr>
        <w:t>主要是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eastAsia="仿宋_GB2312"/>
          <w:sz w:val="32"/>
          <w:szCs w:val="32"/>
          <w:highlight w:val="none"/>
          <w:u w:val="none"/>
        </w:rPr>
        <w:t>。</w:t>
      </w:r>
    </w:p>
    <w:p>
      <w:pPr>
        <w:spacing w:line="520" w:lineRule="exact"/>
        <w:ind w:firstLine="642"/>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2.一般公共预算当年拨款结构情况。</w:t>
      </w:r>
    </w:p>
    <w:p>
      <w:pPr>
        <w:spacing w:line="520" w:lineRule="exact"/>
        <w:ind w:firstLine="640"/>
        <w:rPr>
          <w:rFonts w:ascii="仿宋_GB2312" w:eastAsia="仿宋_GB2312"/>
          <w:sz w:val="32"/>
          <w:szCs w:val="32"/>
          <w:highlight w:val="none"/>
          <w:u w:val="single"/>
        </w:rPr>
      </w:pPr>
      <w:r>
        <w:rPr>
          <w:rFonts w:hint="eastAsia" w:ascii="仿宋_GB2312" w:eastAsia="仿宋_GB2312"/>
          <w:sz w:val="32"/>
          <w:szCs w:val="32"/>
          <w:highlight w:val="none"/>
        </w:rPr>
        <w:t>教育支出</w:t>
      </w:r>
      <w:r>
        <w:rPr>
          <w:rFonts w:hint="eastAsia" w:ascii="仿宋_GB2312" w:eastAsia="仿宋_GB2312"/>
          <w:sz w:val="32"/>
          <w:szCs w:val="32"/>
          <w:highlight w:val="none"/>
          <w:lang w:val="en-US" w:eastAsia="zh-CN"/>
        </w:rPr>
        <w:t>6753.17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，占</w:t>
      </w:r>
      <w:r>
        <w:rPr>
          <w:rFonts w:hint="eastAsia" w:ascii="仿宋_GB2312" w:eastAsia="仿宋_GB2312"/>
          <w:sz w:val="32"/>
          <w:szCs w:val="32"/>
          <w:highlight w:val="none"/>
          <w:lang w:val="en-US" w:eastAsia="zh-CN"/>
        </w:rPr>
        <w:t>84.38%；</w:t>
      </w:r>
      <w:r>
        <w:rPr>
          <w:rFonts w:hint="eastAsia" w:ascii="仿宋_GB2312" w:eastAsia="仿宋_GB2312"/>
          <w:sz w:val="32"/>
          <w:szCs w:val="32"/>
          <w:highlight w:val="none"/>
        </w:rPr>
        <w:t>社会保障和就业支出</w:t>
      </w:r>
      <w:r>
        <w:rPr>
          <w:rFonts w:hint="eastAsia" w:ascii="仿宋_GB2312" w:eastAsia="仿宋_GB2312"/>
          <w:sz w:val="32"/>
          <w:szCs w:val="32"/>
          <w:highlight w:val="none"/>
          <w:lang w:val="en-US" w:eastAsia="zh-CN"/>
        </w:rPr>
        <w:t>713.20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，占</w:t>
      </w:r>
      <w:r>
        <w:rPr>
          <w:rFonts w:hint="eastAsia" w:ascii="仿宋_GB2312" w:eastAsia="仿宋_GB2312"/>
          <w:sz w:val="32"/>
          <w:szCs w:val="32"/>
          <w:highlight w:val="none"/>
          <w:lang w:val="en-US" w:eastAsia="zh-CN"/>
        </w:rPr>
        <w:t>9.60%；</w:t>
      </w:r>
      <w:r>
        <w:rPr>
          <w:rFonts w:hint="eastAsia" w:ascii="仿宋_GB2312" w:eastAsia="仿宋_GB2312"/>
          <w:sz w:val="32"/>
          <w:szCs w:val="32"/>
          <w:highlight w:val="none"/>
        </w:rPr>
        <w:t>卫生健康支出</w:t>
      </w:r>
      <w:r>
        <w:rPr>
          <w:rFonts w:hint="eastAsia" w:ascii="仿宋_GB2312" w:eastAsia="仿宋_GB2312"/>
          <w:sz w:val="32"/>
          <w:szCs w:val="32"/>
          <w:highlight w:val="none"/>
          <w:lang w:val="en-US" w:eastAsia="zh-CN"/>
        </w:rPr>
        <w:t>447.59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，占</w:t>
      </w:r>
      <w:r>
        <w:rPr>
          <w:rFonts w:hint="eastAsia" w:ascii="仿宋_GB2312" w:eastAsia="仿宋_GB2312"/>
          <w:sz w:val="32"/>
          <w:szCs w:val="32"/>
          <w:highlight w:val="none"/>
          <w:lang w:val="en-US" w:eastAsia="zh-CN"/>
        </w:rPr>
        <w:t>6.02%。</w:t>
      </w:r>
      <w:r>
        <w:rPr>
          <w:rFonts w:hint="eastAsia" w:ascii="仿宋_GB2312" w:eastAsia="仿宋_GB2312"/>
          <w:sz w:val="32"/>
          <w:szCs w:val="32"/>
          <w:highlight w:val="none"/>
        </w:rPr>
        <w:t>。</w:t>
      </w:r>
    </w:p>
    <w:p>
      <w:pPr>
        <w:spacing w:line="520" w:lineRule="exact"/>
        <w:ind w:firstLine="642"/>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 xml:space="preserve">  3.一般公共预算当年拨款具体使用情况。</w:t>
      </w:r>
    </w:p>
    <w:p>
      <w:pPr>
        <w:spacing w:line="520" w:lineRule="exact"/>
        <w:ind w:firstLine="642"/>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教育支出</w:t>
      </w:r>
      <w:r>
        <w:rPr>
          <w:rFonts w:hint="eastAsia" w:ascii="仿宋_GB2312" w:hAnsi="仿宋_GB2312" w:eastAsia="仿宋_GB2312" w:cs="仿宋_GB2312"/>
          <w:sz w:val="32"/>
          <w:szCs w:val="32"/>
          <w:highlight w:val="none"/>
        </w:rPr>
        <w:t>（类）</w:t>
      </w:r>
      <w:r>
        <w:rPr>
          <w:rFonts w:hint="eastAsia" w:ascii="仿宋_GB2312" w:hAnsi="仿宋_GB2312" w:eastAsia="仿宋_GB2312" w:cs="仿宋_GB2312"/>
          <w:sz w:val="32"/>
          <w:szCs w:val="32"/>
          <w:highlight w:val="none"/>
          <w:lang w:eastAsia="zh-CN"/>
        </w:rPr>
        <w:t>普通教育</w:t>
      </w:r>
      <w:r>
        <w:rPr>
          <w:rFonts w:hint="eastAsia" w:ascii="仿宋_GB2312" w:hAnsi="仿宋_GB2312" w:eastAsia="仿宋_GB2312" w:cs="仿宋_GB2312"/>
          <w:sz w:val="32"/>
          <w:szCs w:val="32"/>
          <w:highlight w:val="none"/>
        </w:rPr>
        <w:t>（款）</w:t>
      </w:r>
      <w:r>
        <w:rPr>
          <w:rFonts w:hint="eastAsia" w:ascii="仿宋_GB2312" w:hAnsi="仿宋_GB2312" w:eastAsia="仿宋_GB2312" w:cs="仿宋_GB2312"/>
          <w:sz w:val="32"/>
          <w:szCs w:val="32"/>
          <w:highlight w:val="none"/>
          <w:lang w:eastAsia="zh-CN"/>
        </w:rPr>
        <w:t>初中教育</w:t>
      </w:r>
      <w:r>
        <w:rPr>
          <w:rFonts w:hint="eastAsia" w:ascii="仿宋_GB2312" w:hAnsi="仿宋_GB2312" w:eastAsia="仿宋_GB2312" w:cs="仿宋_GB2312"/>
          <w:sz w:val="32"/>
          <w:szCs w:val="32"/>
          <w:highlight w:val="none"/>
        </w:rPr>
        <w:t>（项）</w:t>
      </w:r>
      <w:r>
        <w:rPr>
          <w:rFonts w:hint="eastAsia" w:ascii="仿宋_GB2312" w:hAnsi="仿宋_GB2312" w:eastAsia="仿宋_GB2312" w:cs="仿宋_GB2312"/>
          <w:sz w:val="32"/>
          <w:szCs w:val="32"/>
          <w:highlight w:val="none"/>
          <w:lang w:val="en-US" w:eastAsia="zh-CN"/>
        </w:rPr>
        <w:t>6273.17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比上年执行数</w:t>
      </w:r>
      <w:r>
        <w:rPr>
          <w:rFonts w:hint="eastAsia" w:ascii="仿宋_GB2312" w:hAnsi="仿宋_GB2312" w:eastAsia="仿宋_GB2312" w:cs="仿宋_GB2312"/>
          <w:sz w:val="32"/>
          <w:szCs w:val="32"/>
          <w:highlight w:val="yellow"/>
          <w:u w:val="single"/>
        </w:rPr>
        <w:t>减少</w:t>
      </w:r>
      <w:r>
        <w:rPr>
          <w:rFonts w:hint="eastAsia" w:ascii="仿宋_GB2312" w:hAnsi="仿宋_GB2312" w:eastAsia="仿宋_GB2312" w:cs="仿宋_GB2312"/>
          <w:sz w:val="32"/>
          <w:szCs w:val="32"/>
          <w:highlight w:val="none"/>
          <w:lang w:val="en-US" w:eastAsia="zh-CN"/>
        </w:rPr>
        <w:t>1200.40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yellow"/>
          <w:u w:val="single"/>
        </w:rPr>
        <w:t>下</w:t>
      </w:r>
      <w:r>
        <w:rPr>
          <w:rFonts w:hint="eastAsia" w:ascii="仿宋_GB2312" w:hAnsi="仿宋_GB2312" w:eastAsia="仿宋_GB2312" w:cs="仿宋_GB2312"/>
          <w:sz w:val="32"/>
          <w:highlight w:val="yellow"/>
          <w:u w:val="single"/>
        </w:rPr>
        <w:t>降</w:t>
      </w:r>
      <w:r>
        <w:rPr>
          <w:rFonts w:hint="eastAsia" w:ascii="仿宋_GB2312" w:hAnsi="仿宋_GB2312" w:eastAsia="仿宋_GB2312" w:cs="仿宋_GB2312"/>
          <w:sz w:val="32"/>
          <w:szCs w:val="32"/>
          <w:highlight w:val="none"/>
          <w:lang w:val="en-US" w:eastAsia="zh-CN"/>
        </w:rPr>
        <w:t>16.06</w:t>
      </w:r>
      <w:r>
        <w:rPr>
          <w:rFonts w:hint="eastAsia" w:ascii="仿宋_GB2312" w:hAnsi="仿宋_GB2312" w:eastAsia="仿宋_GB2312" w:cs="仿宋_GB2312"/>
          <w:sz w:val="32"/>
          <w:szCs w:val="32"/>
          <w:highlight w:val="none"/>
        </w:rPr>
        <w:t>%，主要原因是: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主要用于教育基本支出。</w:t>
      </w:r>
    </w:p>
    <w:p>
      <w:pPr>
        <w:spacing w:line="520" w:lineRule="exact"/>
        <w:ind w:firstLine="640"/>
        <w:rPr>
          <w:rFonts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lang w:val="en-US" w:eastAsia="zh-CN"/>
        </w:rPr>
        <w:t>2</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社会保障和就业支出(类)行政事业单位养老支出(款)行政单位离退休(项)</w:t>
      </w:r>
      <w:r>
        <w:rPr>
          <w:rFonts w:hint="eastAsia" w:ascii="仿宋_GB2312" w:hAnsi="仿宋_GB2312" w:eastAsia="仿宋_GB2312" w:cs="仿宋_GB2312"/>
          <w:sz w:val="32"/>
          <w:szCs w:val="32"/>
          <w:highlight w:val="none"/>
          <w:u w:val="none"/>
          <w:lang w:val="en-US" w:eastAsia="zh-CN"/>
        </w:rPr>
        <w:t>188.03</w:t>
      </w:r>
      <w:r>
        <w:rPr>
          <w:rFonts w:hint="eastAsia" w:ascii="仿宋_GB2312" w:hAnsi="仿宋_GB2312" w:eastAsia="仿宋_GB2312" w:cs="仿宋_GB2312"/>
          <w:sz w:val="32"/>
          <w:szCs w:val="32"/>
          <w:highlight w:val="none"/>
          <w:u w:val="none"/>
        </w:rPr>
        <w:t>万元，比上年执行数增加</w:t>
      </w:r>
      <w:r>
        <w:rPr>
          <w:rFonts w:hint="eastAsia" w:ascii="仿宋_GB2312" w:hAnsi="仿宋_GB2312" w:eastAsia="仿宋_GB2312" w:cs="仿宋_GB2312"/>
          <w:sz w:val="32"/>
          <w:szCs w:val="32"/>
          <w:highlight w:val="none"/>
          <w:u w:val="none"/>
          <w:lang w:val="en-US" w:eastAsia="zh-CN"/>
        </w:rPr>
        <w:t>10.20</w:t>
      </w:r>
      <w:r>
        <w:rPr>
          <w:rFonts w:hint="eastAsia" w:ascii="仿宋_GB2312" w:hAnsi="仿宋_GB2312" w:eastAsia="仿宋_GB2312" w:cs="仿宋_GB2312"/>
          <w:sz w:val="32"/>
          <w:szCs w:val="32"/>
          <w:highlight w:val="none"/>
          <w:u w:val="none"/>
        </w:rPr>
        <w:t>万元，</w:t>
      </w:r>
      <w:r>
        <w:rPr>
          <w:rFonts w:hint="eastAsia" w:ascii="仿宋_GB2312" w:hAnsi="仿宋_GB2312" w:eastAsia="仿宋_GB2312" w:cs="仿宋_GB2312"/>
          <w:sz w:val="32"/>
          <w:highlight w:val="none"/>
          <w:u w:val="none"/>
        </w:rPr>
        <w:t>增长</w:t>
      </w:r>
      <w:r>
        <w:rPr>
          <w:rFonts w:hint="eastAsia" w:ascii="仿宋_GB2312" w:hAnsi="仿宋_GB2312" w:eastAsia="仿宋_GB2312" w:cs="仿宋_GB2312"/>
          <w:sz w:val="32"/>
          <w:szCs w:val="32"/>
          <w:highlight w:val="none"/>
          <w:u w:val="none"/>
          <w:lang w:val="en-US" w:eastAsia="zh-CN"/>
        </w:rPr>
        <w:t>5.74</w:t>
      </w:r>
      <w:r>
        <w:rPr>
          <w:rFonts w:hint="eastAsia" w:ascii="仿宋_GB2312" w:hAnsi="仿宋_GB2312" w:eastAsia="仿宋_GB2312" w:cs="仿宋_GB2312"/>
          <w:sz w:val="32"/>
          <w:szCs w:val="32"/>
          <w:highlight w:val="none"/>
          <w:u w:val="none"/>
        </w:rPr>
        <w:t>%，主要原因是</w:t>
      </w:r>
      <w:r>
        <w:rPr>
          <w:rFonts w:hint="eastAsia" w:ascii="仿宋_GB2312" w:hAnsi="仿宋_GB2312" w:eastAsia="仿宋_GB2312" w:cs="仿宋_GB2312"/>
          <w:sz w:val="32"/>
          <w:szCs w:val="32"/>
          <w:highlight w:val="none"/>
          <w:u w:val="none"/>
          <w:lang w:eastAsia="zh-CN"/>
        </w:rPr>
        <w:t>退休人员数增加</w:t>
      </w:r>
      <w:r>
        <w:rPr>
          <w:rFonts w:hint="eastAsia" w:ascii="仿宋_GB2312" w:hAnsi="仿宋_GB2312" w:eastAsia="仿宋_GB2312" w:cs="仿宋_GB2312"/>
          <w:sz w:val="32"/>
          <w:szCs w:val="32"/>
          <w:highlight w:val="none"/>
          <w:u w:val="none"/>
        </w:rPr>
        <w:t>。主要用于离退休干部职工工资支出。</w:t>
      </w:r>
    </w:p>
    <w:p>
      <w:pPr>
        <w:spacing w:line="520" w:lineRule="exact"/>
        <w:ind w:firstLine="640"/>
        <w:rPr>
          <w:rFonts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lang w:val="en-US" w:eastAsia="zh-CN"/>
        </w:rPr>
        <w:t>3</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社会保障和就业支出(类) 行政事业单位养老支出(款)机关事业单位基本养老保险缴费支出(项)</w:t>
      </w:r>
      <w:r>
        <w:rPr>
          <w:rFonts w:hint="eastAsia" w:ascii="仿宋_GB2312" w:hAnsi="仿宋_GB2312" w:eastAsia="仿宋_GB2312" w:cs="仿宋_GB2312"/>
          <w:sz w:val="32"/>
          <w:szCs w:val="32"/>
          <w:highlight w:val="none"/>
          <w:u w:val="none"/>
          <w:lang w:val="en-US" w:eastAsia="zh-CN"/>
        </w:rPr>
        <w:t>350.12</w:t>
      </w:r>
      <w:r>
        <w:rPr>
          <w:rFonts w:hint="eastAsia" w:ascii="仿宋_GB2312" w:hAnsi="仿宋_GB2312" w:eastAsia="仿宋_GB2312" w:cs="仿宋_GB2312"/>
          <w:sz w:val="32"/>
          <w:szCs w:val="32"/>
          <w:highlight w:val="none"/>
          <w:u w:val="none"/>
        </w:rPr>
        <w:t>万元，比上年执行数减少</w:t>
      </w:r>
      <w:r>
        <w:rPr>
          <w:rFonts w:hint="eastAsia" w:ascii="仿宋_GB2312" w:hAnsi="仿宋_GB2312" w:eastAsia="仿宋_GB2312" w:cs="仿宋_GB2312"/>
          <w:sz w:val="32"/>
          <w:szCs w:val="32"/>
          <w:highlight w:val="none"/>
          <w:u w:val="none"/>
          <w:lang w:val="en-US" w:eastAsia="zh-CN"/>
        </w:rPr>
        <w:t>13.70</w:t>
      </w:r>
      <w:r>
        <w:rPr>
          <w:rFonts w:hint="eastAsia" w:ascii="仿宋_GB2312" w:hAnsi="仿宋_GB2312" w:eastAsia="仿宋_GB2312" w:cs="仿宋_GB2312"/>
          <w:sz w:val="32"/>
          <w:szCs w:val="32"/>
          <w:highlight w:val="none"/>
          <w:u w:val="none"/>
        </w:rPr>
        <w:t>万元，下</w:t>
      </w:r>
      <w:r>
        <w:rPr>
          <w:rFonts w:hint="eastAsia" w:ascii="仿宋_GB2312" w:hAnsi="仿宋_GB2312" w:eastAsia="仿宋_GB2312" w:cs="仿宋_GB2312"/>
          <w:sz w:val="32"/>
          <w:highlight w:val="none"/>
          <w:u w:val="none"/>
        </w:rPr>
        <w:t>降</w:t>
      </w:r>
      <w:r>
        <w:rPr>
          <w:rFonts w:hint="eastAsia" w:ascii="仿宋_GB2312" w:hAnsi="仿宋_GB2312" w:eastAsia="仿宋_GB2312" w:cs="仿宋_GB2312"/>
          <w:sz w:val="32"/>
          <w:szCs w:val="32"/>
          <w:highlight w:val="none"/>
          <w:u w:val="none"/>
          <w:lang w:val="en-US" w:eastAsia="zh-CN"/>
        </w:rPr>
        <w:t>3.77</w:t>
      </w:r>
      <w:r>
        <w:rPr>
          <w:rFonts w:hint="eastAsia" w:ascii="仿宋_GB2312" w:hAnsi="仿宋_GB2312" w:eastAsia="仿宋_GB2312" w:cs="仿宋_GB2312"/>
          <w:sz w:val="32"/>
          <w:szCs w:val="32"/>
          <w:highlight w:val="none"/>
          <w:u w:val="none"/>
        </w:rPr>
        <w:t>%，主要原因是:</w:t>
      </w:r>
      <w:r>
        <w:rPr>
          <w:rFonts w:hint="eastAsia" w:ascii="仿宋_GB2312" w:hAnsi="仿宋_GB2312" w:eastAsia="仿宋_GB2312" w:cs="仿宋_GB2312"/>
          <w:sz w:val="32"/>
          <w:szCs w:val="32"/>
          <w:highlight w:val="none"/>
        </w:rPr>
        <w:t>主要是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eastAsia="仿宋_GB2312"/>
          <w:sz w:val="32"/>
          <w:szCs w:val="32"/>
          <w:highlight w:val="none"/>
          <w:u w:val="none"/>
        </w:rPr>
        <w:t>。</w:t>
      </w:r>
      <w:r>
        <w:rPr>
          <w:rFonts w:hint="eastAsia" w:ascii="仿宋_GB2312" w:hAnsi="仿宋_GB2312" w:eastAsia="仿宋_GB2312" w:cs="仿宋_GB2312"/>
          <w:sz w:val="32"/>
          <w:szCs w:val="32"/>
          <w:highlight w:val="none"/>
          <w:u w:val="none"/>
        </w:rPr>
        <w:t>主要用于在机关事业单位实施养老保险制度由单位缴纳的基本养老保险费支出。</w:t>
      </w:r>
    </w:p>
    <w:p>
      <w:pPr>
        <w:spacing w:line="520" w:lineRule="exact"/>
        <w:ind w:firstLine="640"/>
        <w:rPr>
          <w:rFonts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lang w:val="en-US" w:eastAsia="zh-CN"/>
        </w:rPr>
        <w:t>4</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社会保障和就业支出(类) 行政事业单位养老支出(款)机关事业单位职业年金缴费支出(项)</w:t>
      </w:r>
      <w:r>
        <w:rPr>
          <w:rFonts w:hint="eastAsia" w:ascii="仿宋_GB2312" w:hAnsi="仿宋_GB2312" w:eastAsia="仿宋_GB2312" w:cs="仿宋_GB2312"/>
          <w:sz w:val="32"/>
          <w:szCs w:val="32"/>
          <w:highlight w:val="none"/>
          <w:u w:val="none"/>
          <w:lang w:val="en-US" w:eastAsia="zh-CN"/>
        </w:rPr>
        <w:t>175.06</w:t>
      </w:r>
      <w:r>
        <w:rPr>
          <w:rFonts w:hint="eastAsia" w:ascii="仿宋_GB2312" w:hAnsi="仿宋_GB2312" w:eastAsia="仿宋_GB2312" w:cs="仿宋_GB2312"/>
          <w:sz w:val="32"/>
          <w:szCs w:val="32"/>
          <w:highlight w:val="none"/>
          <w:u w:val="none"/>
        </w:rPr>
        <w:t>万元，比上年执行数减少</w:t>
      </w:r>
      <w:r>
        <w:rPr>
          <w:rFonts w:hint="eastAsia" w:ascii="仿宋_GB2312" w:hAnsi="仿宋_GB2312" w:eastAsia="仿宋_GB2312" w:cs="仿宋_GB2312"/>
          <w:sz w:val="32"/>
          <w:szCs w:val="32"/>
          <w:highlight w:val="none"/>
          <w:u w:val="none"/>
          <w:lang w:val="en-US" w:eastAsia="zh-CN"/>
        </w:rPr>
        <w:t>6.85</w:t>
      </w:r>
      <w:r>
        <w:rPr>
          <w:rFonts w:hint="eastAsia" w:ascii="仿宋_GB2312" w:hAnsi="仿宋_GB2312" w:eastAsia="仿宋_GB2312" w:cs="仿宋_GB2312"/>
          <w:sz w:val="32"/>
          <w:szCs w:val="32"/>
          <w:highlight w:val="none"/>
          <w:u w:val="none"/>
        </w:rPr>
        <w:t>万元，下</w:t>
      </w:r>
      <w:r>
        <w:rPr>
          <w:rFonts w:hint="eastAsia" w:ascii="仿宋_GB2312" w:hAnsi="仿宋_GB2312" w:eastAsia="仿宋_GB2312" w:cs="仿宋_GB2312"/>
          <w:sz w:val="32"/>
          <w:highlight w:val="none"/>
          <w:u w:val="none"/>
        </w:rPr>
        <w:t>降</w:t>
      </w:r>
      <w:r>
        <w:rPr>
          <w:rFonts w:hint="eastAsia" w:ascii="仿宋_GB2312" w:hAnsi="仿宋_GB2312" w:eastAsia="仿宋_GB2312" w:cs="仿宋_GB2312"/>
          <w:sz w:val="32"/>
          <w:szCs w:val="32"/>
          <w:highlight w:val="none"/>
          <w:u w:val="none"/>
          <w:lang w:val="en-US" w:eastAsia="zh-CN"/>
        </w:rPr>
        <w:t>3.77</w:t>
      </w:r>
      <w:r>
        <w:rPr>
          <w:rFonts w:hint="eastAsia" w:ascii="仿宋_GB2312" w:hAnsi="仿宋_GB2312" w:eastAsia="仿宋_GB2312" w:cs="仿宋_GB2312"/>
          <w:sz w:val="32"/>
          <w:szCs w:val="32"/>
          <w:highlight w:val="none"/>
          <w:u w:val="none"/>
        </w:rPr>
        <w:t>%，主要原因是:</w:t>
      </w:r>
      <w:r>
        <w:rPr>
          <w:rFonts w:hint="eastAsia" w:ascii="仿宋_GB2312" w:hAnsi="仿宋_GB2312" w:eastAsia="仿宋_GB2312" w:cs="仿宋_GB2312"/>
          <w:sz w:val="32"/>
          <w:szCs w:val="32"/>
          <w:highlight w:val="none"/>
        </w:rPr>
        <w:t>主要是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eastAsia="仿宋_GB2312"/>
          <w:sz w:val="32"/>
          <w:szCs w:val="32"/>
          <w:highlight w:val="none"/>
          <w:u w:val="none"/>
        </w:rPr>
        <w:t>。</w:t>
      </w:r>
      <w:r>
        <w:rPr>
          <w:rFonts w:hint="eastAsia" w:ascii="仿宋_GB2312" w:hAnsi="仿宋_GB2312" w:eastAsia="仿宋_GB2312" w:cs="仿宋_GB2312"/>
          <w:sz w:val="32"/>
          <w:szCs w:val="32"/>
          <w:highlight w:val="none"/>
          <w:u w:val="none"/>
        </w:rPr>
        <w:t>主要用于在机关事业单位实施养老保险制度由单位缴纳的职业年金支出。</w:t>
      </w:r>
    </w:p>
    <w:p>
      <w:pPr>
        <w:spacing w:line="520" w:lineRule="exact"/>
        <w:ind w:firstLine="641"/>
        <w:rPr>
          <w:rFonts w:ascii="仿宋_GB2312" w:eastAsia="仿宋_GB2312"/>
          <w:sz w:val="32"/>
          <w:szCs w:val="32"/>
          <w:highlight w:val="none"/>
          <w:u w:val="none"/>
        </w:rPr>
      </w:pP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lang w:val="en-US" w:eastAsia="zh-CN"/>
        </w:rPr>
        <w:t>5</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卫生健康支出(类)行政事业单位医疗(款)行政单位医疗(项)</w:t>
      </w:r>
      <w:r>
        <w:rPr>
          <w:rFonts w:hint="eastAsia" w:ascii="仿宋_GB2312" w:hAnsi="仿宋_GB2312" w:eastAsia="仿宋_GB2312" w:cs="仿宋_GB2312"/>
          <w:sz w:val="32"/>
          <w:szCs w:val="32"/>
          <w:highlight w:val="none"/>
          <w:u w:val="none"/>
          <w:lang w:val="en-US" w:eastAsia="zh-CN"/>
        </w:rPr>
        <w:t>447.59</w:t>
      </w:r>
      <w:r>
        <w:rPr>
          <w:rFonts w:hint="eastAsia" w:ascii="仿宋_GB2312" w:hAnsi="仿宋_GB2312" w:eastAsia="仿宋_GB2312" w:cs="仿宋_GB2312"/>
          <w:sz w:val="32"/>
          <w:szCs w:val="32"/>
          <w:highlight w:val="none"/>
          <w:u w:val="none"/>
        </w:rPr>
        <w:t xml:space="preserve"> 万元，比上年执行数减少</w:t>
      </w:r>
      <w:r>
        <w:rPr>
          <w:rFonts w:hint="eastAsia" w:ascii="仿宋_GB2312" w:hAnsi="仿宋_GB2312" w:eastAsia="仿宋_GB2312" w:cs="仿宋_GB2312"/>
          <w:sz w:val="32"/>
          <w:szCs w:val="32"/>
          <w:highlight w:val="none"/>
          <w:u w:val="none"/>
          <w:lang w:val="en-US" w:eastAsia="zh-CN"/>
        </w:rPr>
        <w:t>36.68</w:t>
      </w:r>
      <w:r>
        <w:rPr>
          <w:rFonts w:hint="eastAsia" w:ascii="仿宋_GB2312" w:hAnsi="仿宋_GB2312" w:eastAsia="仿宋_GB2312" w:cs="仿宋_GB2312"/>
          <w:sz w:val="32"/>
          <w:szCs w:val="32"/>
          <w:highlight w:val="none"/>
          <w:u w:val="none"/>
        </w:rPr>
        <w:t>万元，下</w:t>
      </w:r>
      <w:r>
        <w:rPr>
          <w:rFonts w:hint="eastAsia" w:ascii="仿宋_GB2312" w:hAnsi="仿宋_GB2312" w:eastAsia="仿宋_GB2312" w:cs="仿宋_GB2312"/>
          <w:sz w:val="32"/>
          <w:highlight w:val="none"/>
          <w:u w:val="none"/>
        </w:rPr>
        <w:t>降</w:t>
      </w:r>
      <w:r>
        <w:rPr>
          <w:rFonts w:hint="eastAsia" w:ascii="仿宋_GB2312" w:hAnsi="仿宋_GB2312" w:eastAsia="仿宋_GB2312" w:cs="仿宋_GB2312"/>
          <w:sz w:val="32"/>
          <w:szCs w:val="32"/>
          <w:highlight w:val="none"/>
          <w:u w:val="none"/>
          <w:lang w:val="en-US" w:eastAsia="zh-CN"/>
        </w:rPr>
        <w:t>8.93</w:t>
      </w:r>
      <w:r>
        <w:rPr>
          <w:rFonts w:hint="eastAsia" w:ascii="仿宋_GB2312" w:hAnsi="仿宋_GB2312" w:eastAsia="仿宋_GB2312" w:cs="仿宋_GB2312"/>
          <w:sz w:val="32"/>
          <w:szCs w:val="32"/>
          <w:highlight w:val="none"/>
          <w:u w:val="none"/>
        </w:rPr>
        <w:t>%，主要原因是: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eastAsia="仿宋_GB2312"/>
          <w:sz w:val="32"/>
          <w:szCs w:val="32"/>
          <w:highlight w:val="none"/>
          <w:u w:val="none"/>
        </w:rPr>
        <w:t>。</w:t>
      </w:r>
    </w:p>
    <w:p>
      <w:pPr>
        <w:spacing w:line="520" w:lineRule="exact"/>
        <w:ind w:firstLine="640"/>
        <w:rPr>
          <w:rFonts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u w:val="none"/>
        </w:rPr>
        <w:t>主要用于局本级和实行公务员管理的事业单位按照国家政策为干部职工缴纳的基本医疗保险费用方面的支出。</w:t>
      </w:r>
    </w:p>
    <w:p>
      <w:pPr>
        <w:spacing w:line="520" w:lineRule="exact"/>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 xml:space="preserve">    （六）关于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2022年一般公共预算基本支出情况说明</w:t>
      </w:r>
    </w:p>
    <w:p>
      <w:pPr>
        <w:spacing w:line="520" w:lineRule="exact"/>
        <w:ind w:firstLine="642"/>
        <w:rPr>
          <w:rFonts w:ascii="仿宋_GB2312" w:eastAsia="仿宋_GB2312"/>
          <w:sz w:val="32"/>
          <w:szCs w:val="32"/>
          <w:highlight w:val="none"/>
        </w:rPr>
      </w:pPr>
      <w:r>
        <w:rPr>
          <w:rFonts w:hint="eastAsia" w:ascii="仿宋_GB2312" w:eastAsia="仿宋_GB2312"/>
          <w:sz w:val="32"/>
          <w:szCs w:val="32"/>
          <w:highlight w:val="none"/>
          <w:lang w:eastAsia="zh-CN"/>
        </w:rPr>
        <w:t>湖州市第四中学教育集团</w:t>
      </w:r>
      <w:r>
        <w:rPr>
          <w:rFonts w:hint="eastAsia" w:ascii="仿宋_GB2312" w:eastAsia="仿宋_GB2312"/>
          <w:sz w:val="32"/>
          <w:szCs w:val="32"/>
          <w:highlight w:val="none"/>
        </w:rPr>
        <w:t>2022年一般公共预算基本支出</w:t>
      </w:r>
      <w:r>
        <w:rPr>
          <w:rFonts w:hint="eastAsia" w:ascii="仿宋_GB2312" w:eastAsia="仿宋_GB2312"/>
          <w:sz w:val="32"/>
          <w:szCs w:val="32"/>
          <w:highlight w:val="none"/>
          <w:lang w:val="en-US" w:eastAsia="zh-CN"/>
        </w:rPr>
        <w:t>7397.10</w:t>
      </w:r>
      <w:r>
        <w:rPr>
          <w:rFonts w:hint="eastAsia" w:ascii="仿宋_GB2312" w:eastAsia="仿宋_GB2312"/>
          <w:sz w:val="32"/>
          <w:szCs w:val="32"/>
          <w:highlight w:val="none"/>
        </w:rPr>
        <w:t>万元，比</w:t>
      </w:r>
      <w:r>
        <w:rPr>
          <w:rFonts w:hint="eastAsia" w:ascii="仿宋_GB2312" w:hAnsi="仿宋_GB2312" w:eastAsia="仿宋_GB2312" w:cs="仿宋_GB2312"/>
          <w:sz w:val="32"/>
          <w:szCs w:val="32"/>
          <w:highlight w:val="none"/>
        </w:rPr>
        <w:t>上年执行数</w:t>
      </w:r>
      <w:r>
        <w:rPr>
          <w:rFonts w:hint="eastAsia" w:ascii="仿宋_GB2312" w:hAnsi="仿宋_GB2312" w:eastAsia="仿宋_GB2312" w:cs="仿宋_GB2312"/>
          <w:sz w:val="32"/>
          <w:szCs w:val="32"/>
          <w:highlight w:val="yellow"/>
          <w:u w:val="single"/>
        </w:rPr>
        <w:t>减少</w:t>
      </w:r>
      <w:r>
        <w:rPr>
          <w:rFonts w:hint="eastAsia" w:ascii="仿宋_GB2312" w:eastAsia="仿宋_GB2312"/>
          <w:sz w:val="32"/>
          <w:szCs w:val="32"/>
          <w:highlight w:val="none"/>
          <w:lang w:val="en-US" w:eastAsia="zh-CN"/>
        </w:rPr>
        <w:t>1208.59</w:t>
      </w:r>
      <w:r>
        <w:rPr>
          <w:rFonts w:hint="eastAsia" w:ascii="仿宋_GB2312" w:eastAsia="仿宋_GB2312"/>
          <w:sz w:val="32"/>
          <w:szCs w:val="32"/>
          <w:highlight w:val="none"/>
        </w:rPr>
        <w:t>万元，</w:t>
      </w:r>
      <w:r>
        <w:rPr>
          <w:rFonts w:hint="eastAsia" w:ascii="仿宋_GB2312" w:hAnsi="仿宋_GB2312" w:eastAsia="仿宋_GB2312" w:cs="仿宋_GB2312"/>
          <w:sz w:val="32"/>
          <w:szCs w:val="32"/>
          <w:highlight w:val="yellow"/>
          <w:u w:val="single"/>
        </w:rPr>
        <w:t>下</w:t>
      </w:r>
      <w:r>
        <w:rPr>
          <w:rFonts w:hint="eastAsia" w:ascii="仿宋_GB2312" w:hAnsi="仿宋_GB2312" w:eastAsia="仿宋_GB2312" w:cs="仿宋_GB2312"/>
          <w:sz w:val="32"/>
          <w:highlight w:val="yellow"/>
          <w:u w:val="single"/>
        </w:rPr>
        <w:t>降</w:t>
      </w:r>
      <w:r>
        <w:rPr>
          <w:rFonts w:hint="eastAsia" w:ascii="仿宋_GB2312" w:eastAsia="仿宋_GB2312"/>
          <w:sz w:val="32"/>
          <w:szCs w:val="32"/>
          <w:highlight w:val="none"/>
          <w:lang w:val="en-US" w:eastAsia="zh-CN"/>
        </w:rPr>
        <w:t>14.04</w:t>
      </w:r>
      <w:r>
        <w:rPr>
          <w:rFonts w:hint="eastAsia" w:ascii="仿宋_GB2312" w:eastAsia="仿宋_GB2312"/>
          <w:sz w:val="32"/>
          <w:szCs w:val="32"/>
          <w:highlight w:val="none"/>
        </w:rPr>
        <w:t>%。主要原因是:</w:t>
      </w:r>
      <w:r>
        <w:rPr>
          <w:rFonts w:hint="eastAsia" w:ascii="仿宋_GB2312" w:eastAsia="仿宋_GB2312"/>
          <w:sz w:val="32"/>
          <w:szCs w:val="32"/>
          <w:highlight w:val="none"/>
          <w:u w:val="none"/>
          <w:lang w:eastAsia="zh-CN"/>
        </w:rPr>
        <w:t>毗山中学独立后，属于四中的人员经费、生均定额等减少</w:t>
      </w:r>
      <w:r>
        <w:rPr>
          <w:rFonts w:hint="eastAsia" w:ascii="仿宋_GB2312" w:eastAsia="仿宋_GB2312"/>
          <w:sz w:val="32"/>
          <w:szCs w:val="32"/>
          <w:highlight w:val="none"/>
        </w:rPr>
        <w:t>。其中：</w:t>
      </w:r>
    </w:p>
    <w:p>
      <w:pPr>
        <w:spacing w:line="520" w:lineRule="exact"/>
        <w:ind w:firstLine="642"/>
        <w:rPr>
          <w:rFonts w:ascii="仿宋_GB2312" w:eastAsia="仿宋_GB2312"/>
          <w:sz w:val="32"/>
          <w:szCs w:val="32"/>
          <w:highlight w:val="none"/>
        </w:rPr>
      </w:pPr>
      <w:r>
        <w:rPr>
          <w:rFonts w:hint="eastAsia" w:ascii="仿宋_GB2312" w:eastAsia="仿宋_GB2312"/>
          <w:sz w:val="32"/>
          <w:szCs w:val="32"/>
          <w:highlight w:val="none"/>
        </w:rPr>
        <w:t>人员经费</w:t>
      </w:r>
      <w:r>
        <w:rPr>
          <w:rFonts w:hint="eastAsia" w:ascii="仿宋_GB2312" w:eastAsia="仿宋_GB2312"/>
          <w:sz w:val="32"/>
          <w:szCs w:val="32"/>
          <w:highlight w:val="none"/>
          <w:lang w:val="en-US" w:eastAsia="zh-CN"/>
        </w:rPr>
        <w:t>6543.19</w:t>
      </w:r>
      <w:r>
        <w:rPr>
          <w:rFonts w:hint="eastAsia" w:ascii="仿宋_GB2312" w:eastAsia="仿宋_GB2312"/>
          <w:sz w:val="32"/>
          <w:szCs w:val="32"/>
          <w:highlight w:val="none"/>
        </w:rPr>
        <w:t>万元，主要包括：基本工资、津贴补贴、奖金、绩效工资、机关事业单位基本养老保险缴费、职业年金缴费、职工基本医疗保险缴费、公务员医疗补助缴费、其他社会保障缴费、住房公积金、医疗费、其他工资福利支出、退休费、</w:t>
      </w:r>
      <w:r>
        <w:rPr>
          <w:rFonts w:hint="eastAsia" w:ascii="仿宋_GB2312" w:eastAsia="仿宋_GB2312"/>
          <w:sz w:val="32"/>
          <w:szCs w:val="32"/>
          <w:highlight w:val="none"/>
          <w:lang w:eastAsia="zh-CN"/>
        </w:rPr>
        <w:t>生活补助、医疗费补助、</w:t>
      </w:r>
      <w:r>
        <w:rPr>
          <w:rFonts w:hint="eastAsia" w:ascii="仿宋_GB2312" w:eastAsia="仿宋_GB2312"/>
          <w:sz w:val="32"/>
          <w:szCs w:val="32"/>
          <w:highlight w:val="none"/>
        </w:rPr>
        <w:t>助学金</w:t>
      </w:r>
      <w:r>
        <w:rPr>
          <w:rFonts w:hint="eastAsia" w:ascii="仿宋_GB2312" w:eastAsia="仿宋_GB2312"/>
          <w:sz w:val="32"/>
          <w:szCs w:val="32"/>
          <w:highlight w:val="none"/>
          <w:lang w:eastAsia="zh-CN"/>
        </w:rPr>
        <w:t>、奖励金</w:t>
      </w:r>
      <w:r>
        <w:rPr>
          <w:rFonts w:hint="eastAsia" w:ascii="仿宋_GB2312" w:eastAsia="仿宋_GB2312"/>
          <w:sz w:val="32"/>
          <w:szCs w:val="32"/>
          <w:highlight w:val="none"/>
        </w:rPr>
        <w:t>；</w:t>
      </w:r>
    </w:p>
    <w:p>
      <w:pPr>
        <w:spacing w:line="520" w:lineRule="exact"/>
        <w:ind w:firstLine="642"/>
        <w:rPr>
          <w:rFonts w:ascii="仿宋_GB2312" w:eastAsia="仿宋_GB2312"/>
          <w:sz w:val="32"/>
          <w:szCs w:val="32"/>
          <w:highlight w:val="none"/>
        </w:rPr>
      </w:pPr>
      <w:r>
        <w:rPr>
          <w:rFonts w:hint="eastAsia" w:ascii="仿宋_GB2312" w:eastAsia="仿宋_GB2312"/>
          <w:sz w:val="32"/>
          <w:szCs w:val="32"/>
          <w:highlight w:val="none"/>
        </w:rPr>
        <w:t>公用经费</w:t>
      </w:r>
      <w:r>
        <w:rPr>
          <w:rFonts w:hint="eastAsia" w:ascii="仿宋_GB2312" w:eastAsia="仿宋_GB2312"/>
          <w:sz w:val="32"/>
          <w:szCs w:val="32"/>
          <w:highlight w:val="none"/>
          <w:lang w:val="en-US" w:eastAsia="zh-CN"/>
        </w:rPr>
        <w:t>853.92</w:t>
      </w:r>
      <w:r>
        <w:rPr>
          <w:rFonts w:hint="eastAsia" w:ascii="仿宋_GB2312" w:eastAsia="仿宋_GB2312"/>
          <w:sz w:val="32"/>
          <w:szCs w:val="32"/>
          <w:highlight w:val="none"/>
        </w:rPr>
        <w:t>万元，主要包括：办公费、印刷费、水费、电费、邮电费、物业管理费、差旅费、维修（护）费、租赁费、会议费、培训费、公务接待费、专用材料费、劳务费、工会经费、福利费、其他商品和服务支出、</w:t>
      </w:r>
      <w:r>
        <w:rPr>
          <w:rFonts w:hint="eastAsia" w:ascii="仿宋_GB2312" w:eastAsia="仿宋_GB2312"/>
          <w:sz w:val="32"/>
          <w:szCs w:val="32"/>
          <w:highlight w:val="none"/>
          <w:lang w:eastAsia="zh-CN"/>
        </w:rPr>
        <w:t>其他资本性支出。</w:t>
      </w:r>
    </w:p>
    <w:p>
      <w:pPr>
        <w:spacing w:line="520" w:lineRule="exact"/>
        <w:ind w:firstLine="642"/>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（七）关于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2022年政府性基金预算支出情况说明</w:t>
      </w:r>
    </w:p>
    <w:p>
      <w:pPr>
        <w:spacing w:line="520" w:lineRule="exact"/>
        <w:ind w:firstLine="642"/>
        <w:rPr>
          <w:rFonts w:hint="eastAsia" w:ascii="仿宋_GB2312" w:eastAsia="仿宋_GB2312"/>
          <w:sz w:val="32"/>
          <w:szCs w:val="32"/>
          <w:highlight w:val="none"/>
        </w:rPr>
      </w:pPr>
      <w:r>
        <w:rPr>
          <w:rFonts w:hint="eastAsia" w:ascii="仿宋_GB2312" w:eastAsia="仿宋_GB2312"/>
          <w:sz w:val="32"/>
          <w:szCs w:val="32"/>
          <w:highlight w:val="none"/>
          <w:lang w:eastAsia="zh-CN"/>
        </w:rPr>
        <w:t>湖州市第四中学教育集团</w:t>
      </w:r>
      <w:r>
        <w:rPr>
          <w:rFonts w:hint="eastAsia" w:ascii="仿宋_GB2312" w:eastAsia="仿宋_GB2312"/>
          <w:sz w:val="32"/>
          <w:szCs w:val="32"/>
          <w:highlight w:val="none"/>
        </w:rPr>
        <w:t>2022年没有使用政府性基金预算拨款安排的支出。</w:t>
      </w:r>
    </w:p>
    <w:p>
      <w:pPr>
        <w:spacing w:line="520" w:lineRule="exact"/>
        <w:ind w:firstLine="627" w:firstLineChars="196"/>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（八）国有资本经营预算</w:t>
      </w:r>
    </w:p>
    <w:p>
      <w:pPr>
        <w:spacing w:line="520" w:lineRule="exact"/>
        <w:ind w:firstLine="642"/>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湖州市第四中学教育集团2022年没有使用国有资本经营预算拨款安排的支出。</w:t>
      </w:r>
    </w:p>
    <w:p>
      <w:pPr>
        <w:spacing w:line="520" w:lineRule="exact"/>
        <w:ind w:firstLine="627" w:firstLineChars="196"/>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（九）关于</w:t>
      </w:r>
      <w:r>
        <w:rPr>
          <w:rFonts w:hint="eastAsia" w:ascii="楷体_GB2312" w:hAnsi="楷体_GB2312" w:eastAsia="楷体_GB2312" w:cs="楷体_GB2312"/>
          <w:bCs/>
          <w:sz w:val="32"/>
          <w:szCs w:val="32"/>
          <w:highlight w:val="none"/>
          <w:lang w:eastAsia="zh-CN"/>
        </w:rPr>
        <w:t>湖州市第四中学教育集团</w:t>
      </w:r>
      <w:r>
        <w:rPr>
          <w:rFonts w:hint="eastAsia" w:ascii="楷体_GB2312" w:hAnsi="楷体_GB2312" w:eastAsia="楷体_GB2312" w:cs="楷体_GB2312"/>
          <w:bCs/>
          <w:sz w:val="32"/>
          <w:szCs w:val="32"/>
          <w:highlight w:val="none"/>
        </w:rPr>
        <w:t>2022年一般公共预算“三公”经费预算情况说明</w:t>
      </w:r>
    </w:p>
    <w:p>
      <w:pPr>
        <w:spacing w:line="520" w:lineRule="exact"/>
        <w:ind w:firstLine="640" w:firstLineChars="200"/>
        <w:rPr>
          <w:rFonts w:ascii="仿宋_GB2312" w:hAnsi="仿宋_GB2312" w:eastAsia="仿宋_GB2312"/>
          <w:sz w:val="32"/>
          <w:highlight w:val="none"/>
        </w:rPr>
      </w:pPr>
      <w:r>
        <w:rPr>
          <w:rFonts w:hint="eastAsia" w:ascii="仿宋_GB2312" w:eastAsia="仿宋_GB2312"/>
          <w:sz w:val="32"/>
          <w:szCs w:val="32"/>
          <w:highlight w:val="none"/>
          <w:lang w:eastAsia="zh-CN"/>
        </w:rPr>
        <w:t>湖州市第四中学教育集团</w:t>
      </w:r>
      <w:r>
        <w:rPr>
          <w:rFonts w:hint="eastAsia" w:ascii="仿宋_GB2312" w:hAnsi="仿宋_GB2312" w:eastAsia="仿宋_GB2312"/>
          <w:sz w:val="32"/>
          <w:highlight w:val="none"/>
        </w:rPr>
        <w:t>2022年“三公”经费预算数为</w:t>
      </w:r>
      <w:r>
        <w:rPr>
          <w:rFonts w:hint="eastAsia" w:ascii="仿宋_GB2312" w:eastAsia="仿宋_GB2312"/>
          <w:sz w:val="32"/>
          <w:szCs w:val="32"/>
          <w:highlight w:val="none"/>
          <w:lang w:val="en-US" w:eastAsia="zh-CN"/>
        </w:rPr>
        <w:t>5</w:t>
      </w:r>
      <w:r>
        <w:rPr>
          <w:rFonts w:hint="eastAsia" w:ascii="仿宋_GB2312" w:hAnsi="仿宋_GB2312" w:eastAsia="仿宋_GB2312"/>
          <w:sz w:val="32"/>
          <w:highlight w:val="none"/>
        </w:rPr>
        <w:t>万元，</w:t>
      </w:r>
      <w:r>
        <w:rPr>
          <w:rFonts w:hint="eastAsia" w:ascii="仿宋_GB2312" w:hAnsi="仿宋_GB2312" w:eastAsia="仿宋_GB2312"/>
          <w:sz w:val="32"/>
          <w:highlight w:val="none"/>
          <w:shd w:val="clear" w:color="auto" w:fill="FFFFFF"/>
          <w:lang w:eastAsia="zh-CN"/>
        </w:rPr>
        <w:t>与</w:t>
      </w:r>
      <w:r>
        <w:rPr>
          <w:rFonts w:hint="eastAsia" w:ascii="仿宋_GB2312" w:hAnsi="仿宋_GB2312" w:eastAsia="仿宋_GB2312"/>
          <w:sz w:val="32"/>
          <w:highlight w:val="none"/>
          <w:shd w:val="clear" w:color="auto" w:fill="FFFFFF"/>
        </w:rPr>
        <w:t>上年执行数</w:t>
      </w:r>
      <w:r>
        <w:rPr>
          <w:rFonts w:hint="eastAsia" w:ascii="仿宋_GB2312" w:hAnsi="仿宋_GB2312" w:eastAsia="仿宋_GB2312"/>
          <w:sz w:val="32"/>
          <w:highlight w:val="none"/>
          <w:shd w:val="clear" w:color="auto" w:fill="FFFFFF"/>
          <w:lang w:eastAsia="zh-CN"/>
        </w:rPr>
        <w:t>相比无</w:t>
      </w:r>
      <w:r>
        <w:rPr>
          <w:rFonts w:hint="eastAsia" w:ascii="仿宋_GB2312" w:hAnsi="仿宋_GB2312" w:eastAsia="仿宋_GB2312"/>
          <w:sz w:val="32"/>
          <w:highlight w:val="none"/>
          <w:shd w:val="clear" w:color="auto" w:fill="FFFFFF"/>
        </w:rPr>
        <w:t>增</w:t>
      </w:r>
      <w:r>
        <w:rPr>
          <w:rFonts w:hint="eastAsia" w:ascii="仿宋_GB2312" w:hAnsi="仿宋_GB2312" w:eastAsia="仿宋_GB2312"/>
          <w:sz w:val="32"/>
          <w:highlight w:val="none"/>
          <w:shd w:val="clear" w:color="auto" w:fill="FFFFFF"/>
          <w:lang w:eastAsia="zh-CN"/>
        </w:rPr>
        <w:t>减</w:t>
      </w:r>
      <w:r>
        <w:rPr>
          <w:rFonts w:hint="eastAsia" w:ascii="仿宋_GB2312" w:hAnsi="仿宋_GB2312" w:eastAsia="仿宋_GB2312"/>
          <w:sz w:val="32"/>
          <w:highlight w:val="none"/>
        </w:rPr>
        <w:t>：</w:t>
      </w:r>
    </w:p>
    <w:p>
      <w:pPr>
        <w:spacing w:line="520" w:lineRule="exact"/>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1.因公出国（境）费用：</w:t>
      </w:r>
      <w:r>
        <w:rPr>
          <w:rFonts w:hint="eastAsia" w:ascii="仿宋_GB2312" w:hAnsi="仿宋_GB2312" w:eastAsia="仿宋_GB2312" w:cs="仿宋_GB2312"/>
          <w:sz w:val="32"/>
          <w:szCs w:val="32"/>
          <w:highlight w:val="none"/>
        </w:rPr>
        <w:t>2022年未安排因公出国（境）费用预算，</w:t>
      </w:r>
      <w:r>
        <w:rPr>
          <w:rFonts w:hint="eastAsia" w:ascii="仿宋_GB2312" w:hAnsi="仿宋_GB2312" w:eastAsia="仿宋_GB2312" w:cs="仿宋_GB2312"/>
          <w:kern w:val="0"/>
          <w:sz w:val="32"/>
          <w:szCs w:val="32"/>
          <w:highlight w:val="none"/>
        </w:rPr>
        <w:t>与上年持平。因公出国（境）费用由区政府外事办根据上级相关规定和区相关制度，压缩经费总量，统一计划安排。</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2.公务接待费：2022年安排公务接待费预算</w:t>
      </w:r>
      <w:r>
        <w:rPr>
          <w:rFonts w:hint="eastAsia" w:ascii="仿宋_GB2312" w:eastAsia="仿宋_GB2312"/>
          <w:sz w:val="32"/>
          <w:szCs w:val="32"/>
          <w:highlight w:val="none"/>
          <w:lang w:val="en-US" w:eastAsia="zh-CN"/>
        </w:rPr>
        <w:t>3</w:t>
      </w:r>
      <w:r>
        <w:rPr>
          <w:rFonts w:hint="eastAsia" w:ascii="仿宋_GB2312" w:hAnsi="仿宋_GB2312" w:eastAsia="仿宋_GB2312" w:cs="仿宋_GB2312"/>
          <w:sz w:val="32"/>
          <w:szCs w:val="32"/>
          <w:highlight w:val="none"/>
        </w:rPr>
        <w:t>万元，</w:t>
      </w:r>
      <w:r>
        <w:rPr>
          <w:rFonts w:hint="eastAsia" w:ascii="仿宋_GB2312" w:hAnsi="仿宋_GB2312" w:eastAsia="仿宋_GB2312"/>
          <w:sz w:val="32"/>
          <w:highlight w:val="none"/>
          <w:shd w:val="clear" w:color="auto" w:fill="FFFFFF"/>
          <w:lang w:eastAsia="zh-CN"/>
        </w:rPr>
        <w:t>与</w:t>
      </w:r>
      <w:r>
        <w:rPr>
          <w:rFonts w:hint="eastAsia" w:ascii="仿宋_GB2312" w:hAnsi="仿宋_GB2312" w:eastAsia="仿宋_GB2312"/>
          <w:sz w:val="32"/>
          <w:highlight w:val="none"/>
          <w:shd w:val="clear" w:color="auto" w:fill="FFFFFF"/>
        </w:rPr>
        <w:t>上年执行数</w:t>
      </w:r>
      <w:r>
        <w:rPr>
          <w:rFonts w:hint="eastAsia" w:ascii="仿宋_GB2312" w:hAnsi="仿宋_GB2312" w:eastAsia="仿宋_GB2312"/>
          <w:sz w:val="32"/>
          <w:highlight w:val="none"/>
          <w:shd w:val="clear" w:color="auto" w:fill="FFFFFF"/>
          <w:lang w:eastAsia="zh-CN"/>
        </w:rPr>
        <w:t>相比无</w:t>
      </w:r>
      <w:r>
        <w:rPr>
          <w:rFonts w:hint="eastAsia" w:ascii="仿宋_GB2312" w:hAnsi="仿宋_GB2312" w:eastAsia="仿宋_GB2312"/>
          <w:sz w:val="32"/>
          <w:highlight w:val="none"/>
          <w:shd w:val="clear" w:color="auto" w:fill="FFFFFF"/>
        </w:rPr>
        <w:t>增</w:t>
      </w:r>
      <w:r>
        <w:rPr>
          <w:rFonts w:hint="eastAsia" w:ascii="仿宋_GB2312" w:hAnsi="仿宋_GB2312" w:eastAsia="仿宋_GB2312"/>
          <w:sz w:val="32"/>
          <w:highlight w:val="none"/>
          <w:shd w:val="clear" w:color="auto" w:fill="FFFFFF"/>
          <w:lang w:eastAsia="zh-CN"/>
        </w:rPr>
        <w:t>减。</w:t>
      </w:r>
    </w:p>
    <w:p>
      <w:pPr>
        <w:pStyle w:val="17"/>
        <w:spacing w:line="520" w:lineRule="exact"/>
        <w:ind w:firstLine="640" w:firstLineChars="200"/>
        <w:rPr>
          <w:rFonts w:ascii="仿宋_GB2312" w:eastAsia="仿宋_GB2312"/>
          <w:b/>
          <w:bCs/>
          <w:sz w:val="32"/>
          <w:szCs w:val="32"/>
          <w:highlight w:val="none"/>
          <w:u w:val="single"/>
        </w:rPr>
      </w:pPr>
      <w:r>
        <w:rPr>
          <w:rFonts w:hint="eastAsia" w:ascii="仿宋_GB2312" w:eastAsia="仿宋_GB2312"/>
          <w:sz w:val="32"/>
          <w:szCs w:val="32"/>
          <w:highlight w:val="none"/>
        </w:rPr>
        <w:t>3.公务用车购置及运行维护费：2022年安排公务用车购置及运行维护费预算</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万元，</w:t>
      </w:r>
      <w:r>
        <w:rPr>
          <w:rFonts w:hint="eastAsia" w:ascii="仿宋_GB2312" w:hAnsi="仿宋_GB2312" w:eastAsia="仿宋_GB2312"/>
          <w:sz w:val="32"/>
          <w:highlight w:val="none"/>
          <w:shd w:val="clear" w:color="auto" w:fill="FFFFFF"/>
          <w:lang w:eastAsia="zh-CN"/>
        </w:rPr>
        <w:t>与</w:t>
      </w:r>
      <w:r>
        <w:rPr>
          <w:rFonts w:hint="eastAsia" w:ascii="仿宋_GB2312" w:hAnsi="仿宋_GB2312" w:eastAsia="仿宋_GB2312"/>
          <w:sz w:val="32"/>
          <w:highlight w:val="none"/>
          <w:shd w:val="clear" w:color="auto" w:fill="FFFFFF"/>
        </w:rPr>
        <w:t>上年执行数</w:t>
      </w:r>
      <w:r>
        <w:rPr>
          <w:rFonts w:hint="eastAsia" w:ascii="仿宋_GB2312" w:hAnsi="仿宋_GB2312" w:eastAsia="仿宋_GB2312"/>
          <w:sz w:val="32"/>
          <w:highlight w:val="none"/>
          <w:shd w:val="clear" w:color="auto" w:fill="FFFFFF"/>
          <w:lang w:eastAsia="zh-CN"/>
        </w:rPr>
        <w:t>相比无</w:t>
      </w:r>
      <w:r>
        <w:rPr>
          <w:rFonts w:hint="eastAsia" w:ascii="仿宋_GB2312" w:hAnsi="仿宋_GB2312" w:eastAsia="仿宋_GB2312"/>
          <w:sz w:val="32"/>
          <w:highlight w:val="none"/>
          <w:shd w:val="clear" w:color="auto" w:fill="FFFFFF"/>
        </w:rPr>
        <w:t>增</w:t>
      </w:r>
      <w:r>
        <w:rPr>
          <w:rFonts w:hint="eastAsia" w:ascii="仿宋_GB2312" w:hAnsi="仿宋_GB2312" w:eastAsia="仿宋_GB2312"/>
          <w:sz w:val="32"/>
          <w:highlight w:val="none"/>
          <w:shd w:val="clear" w:color="auto" w:fill="FFFFFF"/>
          <w:lang w:eastAsia="zh-CN"/>
        </w:rPr>
        <w:t>减。</w:t>
      </w:r>
      <w:r>
        <w:rPr>
          <w:rFonts w:hint="eastAsia" w:ascii="仿宋_GB2312" w:eastAsia="仿宋_GB2312"/>
          <w:sz w:val="32"/>
          <w:szCs w:val="32"/>
          <w:highlight w:val="none"/>
        </w:rPr>
        <w:t>其中，未安排公务用车购置支出，</w:t>
      </w:r>
      <w:r>
        <w:rPr>
          <w:rFonts w:hint="eastAsia" w:ascii="仿宋_GB2312" w:hAnsi="仿宋_GB2312" w:eastAsia="仿宋_GB2312" w:cs="仿宋_GB2312"/>
          <w:sz w:val="32"/>
          <w:szCs w:val="32"/>
          <w:highlight w:val="none"/>
        </w:rPr>
        <w:t>与上年持平，</w:t>
      </w:r>
      <w:r>
        <w:rPr>
          <w:rFonts w:hint="eastAsia" w:ascii="仿宋_GB2312" w:eastAsia="仿宋_GB2312"/>
          <w:sz w:val="32"/>
          <w:szCs w:val="32"/>
          <w:highlight w:val="none"/>
        </w:rPr>
        <w:t>由区政府控办根据上级相关规定和区相关制度，压缩经费总量，统一计划安排；公务用车运行维护费支出</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万元，主要用于公务用车燃料费、维修费、过桥过路费、保险费、安全奖励费用等支出。</w:t>
      </w:r>
      <w:r>
        <w:rPr>
          <w:rFonts w:hint="eastAsia" w:ascii="仿宋_GB2312" w:hAnsi="仿宋_GB2312" w:eastAsia="仿宋_GB2312"/>
          <w:sz w:val="32"/>
          <w:highlight w:val="none"/>
          <w:shd w:val="clear" w:color="auto" w:fill="FFFFFF"/>
          <w:lang w:eastAsia="zh-CN"/>
        </w:rPr>
        <w:t>与</w:t>
      </w:r>
      <w:r>
        <w:rPr>
          <w:rFonts w:hint="eastAsia" w:ascii="仿宋_GB2312" w:hAnsi="仿宋_GB2312" w:eastAsia="仿宋_GB2312"/>
          <w:sz w:val="32"/>
          <w:highlight w:val="none"/>
          <w:shd w:val="clear" w:color="auto" w:fill="FFFFFF"/>
        </w:rPr>
        <w:t>上年执行数</w:t>
      </w:r>
      <w:r>
        <w:rPr>
          <w:rFonts w:hint="eastAsia" w:ascii="仿宋_GB2312" w:hAnsi="仿宋_GB2312" w:eastAsia="仿宋_GB2312"/>
          <w:sz w:val="32"/>
          <w:highlight w:val="none"/>
          <w:shd w:val="clear" w:color="auto" w:fill="FFFFFF"/>
          <w:lang w:eastAsia="zh-CN"/>
        </w:rPr>
        <w:t>相比无</w:t>
      </w:r>
      <w:r>
        <w:rPr>
          <w:rFonts w:hint="eastAsia" w:ascii="仿宋_GB2312" w:hAnsi="仿宋_GB2312" w:eastAsia="仿宋_GB2312"/>
          <w:sz w:val="32"/>
          <w:highlight w:val="none"/>
          <w:shd w:val="clear" w:color="auto" w:fill="FFFFFF"/>
        </w:rPr>
        <w:t>增</w:t>
      </w:r>
      <w:r>
        <w:rPr>
          <w:rFonts w:hint="eastAsia" w:ascii="仿宋_GB2312" w:hAnsi="仿宋_GB2312" w:eastAsia="仿宋_GB2312"/>
          <w:sz w:val="32"/>
          <w:highlight w:val="none"/>
          <w:shd w:val="clear" w:color="auto" w:fill="FFFFFF"/>
          <w:lang w:eastAsia="zh-CN"/>
        </w:rPr>
        <w:t>减。</w:t>
      </w:r>
    </w:p>
    <w:p>
      <w:pPr>
        <w:spacing w:line="520" w:lineRule="exact"/>
        <w:ind w:firstLine="627" w:firstLineChars="196"/>
        <w:rPr>
          <w:rFonts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（十）其他重要事项的情况说明</w:t>
      </w:r>
    </w:p>
    <w:p>
      <w:pPr>
        <w:pStyle w:val="17"/>
        <w:numPr>
          <w:ilvl w:val="0"/>
          <w:numId w:val="0"/>
        </w:numPr>
        <w:spacing w:line="520" w:lineRule="exact"/>
        <w:ind w:firstLine="600"/>
        <w:rPr>
          <w:rFonts w:ascii="仿宋_GB2312" w:eastAsia="仿宋_GB2312"/>
          <w:b/>
          <w:bCs/>
          <w:sz w:val="32"/>
          <w:szCs w:val="32"/>
          <w:highlight w:val="none"/>
        </w:rPr>
      </w:pPr>
      <w:r>
        <w:rPr>
          <w:rFonts w:hint="eastAsia" w:ascii="仿宋_GB2312" w:eastAsia="仿宋_GB2312"/>
          <w:b/>
          <w:bCs/>
          <w:sz w:val="32"/>
          <w:szCs w:val="32"/>
          <w:highlight w:val="none"/>
          <w:lang w:val="en-US" w:eastAsia="zh-CN"/>
        </w:rPr>
        <w:t>1.</w:t>
      </w:r>
      <w:r>
        <w:rPr>
          <w:rFonts w:hint="eastAsia" w:ascii="仿宋_GB2312" w:eastAsia="仿宋_GB2312"/>
          <w:b/>
          <w:bCs/>
          <w:sz w:val="32"/>
          <w:szCs w:val="32"/>
          <w:highlight w:val="none"/>
        </w:rPr>
        <w:t>政府采购情况。</w:t>
      </w:r>
    </w:p>
    <w:p>
      <w:pPr>
        <w:pStyle w:val="17"/>
        <w:spacing w:line="52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2022年</w:t>
      </w:r>
      <w:r>
        <w:rPr>
          <w:rFonts w:hint="eastAsia" w:ascii="仿宋_GB2312" w:eastAsia="仿宋_GB2312"/>
          <w:sz w:val="32"/>
          <w:szCs w:val="32"/>
          <w:highlight w:val="none"/>
          <w:lang w:eastAsia="zh-CN"/>
        </w:rPr>
        <w:t>湖州市第四中学教育集团</w:t>
      </w:r>
      <w:r>
        <w:rPr>
          <w:rFonts w:hint="eastAsia" w:ascii="仿宋_GB2312" w:eastAsia="仿宋_GB2312"/>
          <w:sz w:val="32"/>
          <w:szCs w:val="32"/>
          <w:highlight w:val="none"/>
        </w:rPr>
        <w:t>各单位政府采购预算总额</w:t>
      </w:r>
      <w:r>
        <w:rPr>
          <w:rFonts w:hint="eastAsia" w:ascii="仿宋_GB2312" w:eastAsia="仿宋_GB2312"/>
          <w:sz w:val="32"/>
          <w:szCs w:val="32"/>
          <w:highlight w:val="none"/>
          <w:lang w:val="en-US" w:eastAsia="zh-CN"/>
        </w:rPr>
        <w:t>76.56</w:t>
      </w:r>
      <w:r>
        <w:rPr>
          <w:rFonts w:hint="eastAsia" w:ascii="仿宋_GB2312" w:eastAsia="仿宋_GB2312"/>
          <w:sz w:val="32"/>
          <w:szCs w:val="32"/>
          <w:highlight w:val="none"/>
        </w:rPr>
        <w:t>万元，其中：政府采购货物预算</w:t>
      </w:r>
      <w:r>
        <w:rPr>
          <w:rFonts w:hint="eastAsia" w:ascii="仿宋_GB2312" w:eastAsia="仿宋_GB2312"/>
          <w:sz w:val="32"/>
          <w:szCs w:val="32"/>
          <w:highlight w:val="none"/>
          <w:lang w:val="en-US" w:eastAsia="zh-CN"/>
        </w:rPr>
        <w:t>0.5</w:t>
      </w:r>
      <w:r>
        <w:rPr>
          <w:rFonts w:hint="eastAsia" w:ascii="仿宋_GB2312" w:eastAsia="仿宋_GB2312"/>
          <w:sz w:val="32"/>
          <w:szCs w:val="32"/>
          <w:highlight w:val="none"/>
        </w:rPr>
        <w:t>万元、政府采购工程预算</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万元、政府采购服务预算</w:t>
      </w:r>
      <w:r>
        <w:rPr>
          <w:rFonts w:hint="eastAsia" w:ascii="仿宋_GB2312" w:eastAsia="仿宋_GB2312"/>
          <w:sz w:val="32"/>
          <w:szCs w:val="32"/>
          <w:highlight w:val="none"/>
          <w:lang w:val="en-US" w:eastAsia="zh-CN"/>
        </w:rPr>
        <w:t>76.06</w:t>
      </w:r>
      <w:r>
        <w:rPr>
          <w:rFonts w:hint="eastAsia" w:ascii="仿宋_GB2312" w:eastAsia="仿宋_GB2312"/>
          <w:sz w:val="32"/>
          <w:szCs w:val="32"/>
          <w:highlight w:val="none"/>
        </w:rPr>
        <w:t>万元。</w:t>
      </w:r>
    </w:p>
    <w:p>
      <w:pPr>
        <w:pStyle w:val="17"/>
        <w:spacing w:line="520" w:lineRule="exact"/>
        <w:ind w:firstLine="642"/>
        <w:rPr>
          <w:rFonts w:ascii="仿宋_GB2312" w:eastAsia="仿宋_GB2312"/>
          <w:sz w:val="32"/>
          <w:szCs w:val="32"/>
          <w:highlight w:val="none"/>
        </w:rPr>
      </w:pPr>
      <w:r>
        <w:rPr>
          <w:rFonts w:hint="eastAsia" w:ascii="仿宋_GB2312" w:eastAsia="仿宋_GB2312"/>
          <w:b/>
          <w:bCs/>
          <w:sz w:val="32"/>
          <w:szCs w:val="32"/>
          <w:highlight w:val="none"/>
          <w:lang w:val="en-US" w:eastAsia="zh-CN"/>
        </w:rPr>
        <w:t>2</w:t>
      </w:r>
      <w:r>
        <w:rPr>
          <w:rFonts w:hint="eastAsia" w:ascii="仿宋_GB2312" w:eastAsia="仿宋_GB2312"/>
          <w:b/>
          <w:bCs/>
          <w:sz w:val="32"/>
          <w:szCs w:val="32"/>
          <w:highlight w:val="none"/>
        </w:rPr>
        <w:t>.国有资产占有使用情况。</w:t>
      </w:r>
    </w:p>
    <w:p>
      <w:pPr>
        <w:spacing w:line="52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pacing w:val="6"/>
          <w:sz w:val="32"/>
          <w:szCs w:val="32"/>
          <w:highlight w:val="none"/>
        </w:rPr>
        <w:t>截至2021年12月31日，</w:t>
      </w:r>
      <w:r>
        <w:rPr>
          <w:rFonts w:hint="eastAsia" w:ascii="仿宋_GB2312" w:hAnsi="仿宋_GB2312" w:eastAsia="仿宋_GB2312" w:cs="仿宋_GB2312"/>
          <w:spacing w:val="6"/>
          <w:sz w:val="32"/>
          <w:szCs w:val="32"/>
          <w:highlight w:val="none"/>
          <w:lang w:eastAsia="zh-CN"/>
        </w:rPr>
        <w:t>湖州市第四中学教育集团</w:t>
      </w:r>
      <w:r>
        <w:rPr>
          <w:rFonts w:hint="eastAsia" w:ascii="仿宋_GB2312" w:hAnsi="仿宋_GB2312" w:eastAsia="仿宋_GB2312" w:cs="仿宋_GB2312"/>
          <w:spacing w:val="6"/>
          <w:sz w:val="32"/>
          <w:szCs w:val="32"/>
          <w:highlight w:val="none"/>
        </w:rPr>
        <w:t>所属各预算单位共有车辆</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辆，其中</w:t>
      </w:r>
      <w:r>
        <w:rPr>
          <w:rFonts w:hint="eastAsia" w:ascii="仿宋_GB2312" w:hAnsi="仿宋_GB2312" w:eastAsia="仿宋_GB2312" w:cs="仿宋_GB2312"/>
          <w:sz w:val="32"/>
          <w:szCs w:val="32"/>
          <w:highlight w:val="none"/>
          <w:lang w:eastAsia="zh-CN"/>
        </w:rPr>
        <w:t>公务用车</w:t>
      </w:r>
      <w:r>
        <w:rPr>
          <w:rFonts w:hint="eastAsia" w:ascii="仿宋_GB2312" w:hAnsi="仿宋_GB2312" w:eastAsia="仿宋_GB2312" w:cs="仿宋_GB2312"/>
          <w:sz w:val="32"/>
          <w:szCs w:val="32"/>
          <w:highlight w:val="none"/>
          <w:lang w:val="en-US" w:eastAsia="zh-CN"/>
        </w:rPr>
        <w:t>1辆</w:t>
      </w:r>
      <w:r>
        <w:rPr>
          <w:rFonts w:hint="eastAsia" w:ascii="仿宋_GB2312" w:hAnsi="仿宋_GB2312" w:eastAsia="仿宋_GB2312" w:cs="仿宋_GB2312"/>
          <w:sz w:val="32"/>
          <w:szCs w:val="32"/>
          <w:highlight w:val="none"/>
        </w:rPr>
        <w:t>。单位价值50万元以上通用设备</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台（套），单位价值100万元以上专用设备</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 xml:space="preserve">台（套）。 </w:t>
      </w:r>
    </w:p>
    <w:p>
      <w:pPr>
        <w:spacing w:line="520" w:lineRule="exact"/>
        <w:ind w:firstLine="640" w:firstLineChars="200"/>
        <w:rPr>
          <w:rFonts w:hint="eastAsia" w:ascii="仿宋_GB2312" w:hAnsi="仿宋_GB2312" w:eastAsia="仿宋_GB2312" w:cs="仿宋_GB2312"/>
          <w:sz w:val="32"/>
          <w:szCs w:val="32"/>
          <w:highlight w:val="none"/>
          <w:u w:val="none"/>
          <w:lang w:eastAsia="zh-CN"/>
        </w:rPr>
      </w:pPr>
      <w:r>
        <w:rPr>
          <w:rFonts w:hint="eastAsia" w:ascii="仿宋_GB2312" w:hAnsi="仿宋_GB2312" w:eastAsia="仿宋_GB2312" w:cs="仿宋_GB2312"/>
          <w:sz w:val="32"/>
          <w:szCs w:val="32"/>
          <w:highlight w:val="none"/>
          <w:u w:val="none"/>
        </w:rPr>
        <w:t>2022年部门预算未安排单位价值50万元以上通用设备及单位价值100万元以上专用设备</w:t>
      </w:r>
      <w:r>
        <w:rPr>
          <w:rFonts w:hint="eastAsia" w:ascii="仿宋_GB2312" w:hAnsi="仿宋_GB2312" w:eastAsia="仿宋_GB2312" w:cs="仿宋_GB2312"/>
          <w:sz w:val="32"/>
          <w:szCs w:val="32"/>
          <w:highlight w:val="none"/>
          <w:u w:val="none"/>
          <w:lang w:eastAsia="zh-CN"/>
        </w:rPr>
        <w:t>。</w:t>
      </w:r>
    </w:p>
    <w:p>
      <w:pPr>
        <w:pStyle w:val="17"/>
        <w:spacing w:line="520" w:lineRule="exact"/>
        <w:rPr>
          <w:rFonts w:ascii="仿宋_GB2312" w:eastAsia="仿宋_GB2312"/>
          <w:b/>
          <w:bCs/>
          <w:sz w:val="32"/>
          <w:szCs w:val="32"/>
          <w:highlight w:val="none"/>
        </w:rPr>
      </w:pPr>
      <w:r>
        <w:rPr>
          <w:rFonts w:hint="eastAsia" w:ascii="仿宋_GB2312" w:eastAsia="仿宋_GB2312"/>
          <w:b/>
          <w:bCs/>
          <w:sz w:val="32"/>
          <w:szCs w:val="32"/>
          <w:highlight w:val="none"/>
        </w:rPr>
        <w:t xml:space="preserve">    </w:t>
      </w:r>
      <w:r>
        <w:rPr>
          <w:rFonts w:hint="eastAsia" w:ascii="仿宋_GB2312" w:eastAsia="仿宋_GB2312"/>
          <w:b/>
          <w:bCs/>
          <w:sz w:val="32"/>
          <w:szCs w:val="32"/>
          <w:highlight w:val="none"/>
          <w:lang w:val="en-US" w:eastAsia="zh-CN"/>
        </w:rPr>
        <w:t>3</w:t>
      </w:r>
      <w:r>
        <w:rPr>
          <w:rFonts w:hint="eastAsia" w:ascii="仿宋_GB2312" w:eastAsia="仿宋_GB2312"/>
          <w:b/>
          <w:bCs/>
          <w:sz w:val="32"/>
          <w:szCs w:val="32"/>
          <w:highlight w:val="none"/>
        </w:rPr>
        <w:t>.预算绩效情况说明。</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2022年</w:t>
      </w:r>
      <w:r>
        <w:rPr>
          <w:rFonts w:hint="eastAsia" w:ascii="仿宋_GB2312" w:hAnsi="仿宋_GB2312" w:eastAsia="仿宋_GB2312" w:cs="仿宋_GB2312"/>
          <w:sz w:val="32"/>
          <w:szCs w:val="32"/>
          <w:highlight w:val="none"/>
          <w:lang w:eastAsia="zh-CN"/>
        </w:rPr>
        <w:t>湖州市第四中学教育集团</w:t>
      </w:r>
      <w:r>
        <w:rPr>
          <w:rFonts w:hint="eastAsia" w:ascii="仿宋_GB2312" w:hAnsi="仿宋_GB2312" w:eastAsia="仿宋_GB2312" w:cs="仿宋_GB2312"/>
          <w:sz w:val="32"/>
          <w:szCs w:val="32"/>
          <w:highlight w:val="none"/>
        </w:rPr>
        <w:t>其他运转类项目和特定目标类项目均实行绩效目标管理，涉及一般公共预算当年拨款</w:t>
      </w:r>
      <w:r>
        <w:rPr>
          <w:rFonts w:hint="eastAsia" w:ascii="仿宋_GB2312" w:hAnsi="仿宋_GB2312" w:eastAsia="仿宋_GB2312" w:cs="仿宋_GB2312"/>
          <w:sz w:val="32"/>
          <w:szCs w:val="32"/>
          <w:highlight w:val="none"/>
          <w:lang w:val="en-US" w:eastAsia="zh-CN"/>
        </w:rPr>
        <w:t>36.87</w:t>
      </w:r>
      <w:r>
        <w:rPr>
          <w:rFonts w:hint="eastAsia" w:ascii="仿宋_GB2312" w:hAnsi="仿宋_GB2312" w:eastAsia="仿宋_GB2312" w:cs="仿宋_GB2312"/>
          <w:sz w:val="32"/>
          <w:szCs w:val="32"/>
          <w:highlight w:val="none"/>
        </w:rPr>
        <w:t>万元，一级项目</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个。</w:t>
      </w:r>
    </w:p>
    <w:p>
      <w:pPr>
        <w:pStyle w:val="17"/>
        <w:spacing w:line="520" w:lineRule="exact"/>
        <w:ind w:firstLine="640" w:firstLineChars="200"/>
        <w:rPr>
          <w:rFonts w:ascii="黑体" w:hAnsi="黑体" w:eastAsia="黑体" w:cs="黑体"/>
          <w:bCs/>
          <w:kern w:val="2"/>
          <w:sz w:val="32"/>
          <w:szCs w:val="32"/>
          <w:highlight w:val="none"/>
        </w:rPr>
      </w:pPr>
      <w:r>
        <w:rPr>
          <w:rFonts w:hint="eastAsia" w:ascii="黑体" w:hAnsi="黑体" w:eastAsia="黑体" w:cs="黑体"/>
          <w:bCs/>
          <w:kern w:val="2"/>
          <w:sz w:val="32"/>
          <w:szCs w:val="32"/>
          <w:highlight w:val="none"/>
        </w:rPr>
        <w:t>三、名词解释</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1.财政拨款收入：本级财政部门当年拨付的财政预算资金，包括一般公共预算财政拨款和政府性基金预算财政拨款。</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2.专户资金:教育收费作为本部门的事业收入，纳入财政专户管理的资金。</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3.事业收入：事业单位开展专业业务活动及辅助活动所取得的收入，不含专户资金收入。</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4.事业单位经营收入：事业单位在专业业务活动及辅助活动之外开展非独立核算经营活动取得的收入。</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5.其他收入：预算单位在“一般公共预算”“政府性基金”“专户资金”“事业收入”“事业单位经营收入”等之外取得的各项收入（含上级补助收入和附属单位缴款等收入）。</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用事业基金弥补收支差额：指事业单位在预计用当年的“财政拨款收入”“专户资金”“事业收入”“事业单位经营收入”“其他收入”“上年结转”等不足以安排当年支出的情况下，使用以前年度积累的事业基金弥补本年收支缺口的资金。</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7.上年结转：指以前年度尚未完成、结转到本年仍按原规定用途继续使用的资金。</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8.基本支出：是预算单位为保障其正常运转，完成日常工作任务所发生的支出，包括人员支出和日常公用支出。</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9.项目支出：是预算单位为完成其特定的行政工作任务或事业发展目标所发生的支出。</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10.经营支出：指事业单位在专业业务活动及其辅助活动之外开展非独立核算经营活动发生的支出。</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11.“三公”经费：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料费、维修费、过桥过路费、保险费、安全奖励费用等支出；公务接待费反映单位按规定开支的各类公务接待（含外宾接待）支出。</w:t>
      </w:r>
    </w:p>
    <w:p>
      <w:pPr>
        <w:spacing w:line="5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20" w:lineRule="exact"/>
        <w:ind w:firstLine="640" w:firstLineChars="200"/>
        <w:rPr>
          <w:rFonts w:ascii="仿宋_GB2312" w:hAnsi="仿宋_GB2312" w:eastAsia="仿宋_GB2312" w:cs="仿宋_GB2312"/>
          <w:sz w:val="32"/>
          <w:szCs w:val="32"/>
          <w:highlight w:val="yellow"/>
        </w:rPr>
      </w:pPr>
      <w:bookmarkStart w:id="0" w:name="_GoBack"/>
      <w:r>
        <w:rPr>
          <w:rFonts w:hint="eastAsia" w:ascii="仿宋_GB2312" w:hAnsi="仿宋_GB2312" w:eastAsia="仿宋_GB2312" w:cs="仿宋_GB2312"/>
          <w:sz w:val="32"/>
          <w:szCs w:val="32"/>
          <w:highlight w:val="yellow"/>
        </w:rPr>
        <w:t>13.XX（类）XX（款）XX（项）：指……。</w:t>
      </w:r>
    </w:p>
    <w:p>
      <w:pPr>
        <w:spacing w:line="52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14.XX（类）XX（款）XX（项）：指……。</w:t>
      </w:r>
    </w:p>
    <w:p>
      <w:pPr>
        <w:spacing w:line="52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15.……</w:t>
      </w:r>
    </w:p>
    <w:bookmarkEnd w:id="0"/>
    <w:p>
      <w:pPr>
        <w:pStyle w:val="17"/>
        <w:spacing w:line="520" w:lineRule="exact"/>
        <w:ind w:firstLine="640" w:firstLineChars="200"/>
        <w:rPr>
          <w:rFonts w:ascii="黑体" w:hAnsi="黑体" w:eastAsia="黑体" w:cs="黑体"/>
          <w:bCs/>
          <w:kern w:val="2"/>
          <w:sz w:val="32"/>
          <w:szCs w:val="32"/>
          <w:highlight w:val="none"/>
        </w:rPr>
      </w:pPr>
      <w:r>
        <w:rPr>
          <w:rFonts w:hint="eastAsia" w:ascii="黑体" w:hAnsi="黑体" w:eastAsia="黑体" w:cs="黑体"/>
          <w:bCs/>
          <w:kern w:val="2"/>
          <w:sz w:val="32"/>
          <w:szCs w:val="32"/>
          <w:highlight w:val="none"/>
        </w:rPr>
        <w:t>四、2022年</w:t>
      </w:r>
      <w:r>
        <w:rPr>
          <w:rFonts w:hint="eastAsia" w:ascii="黑体" w:hAnsi="黑体" w:eastAsia="黑体" w:cs="黑体"/>
          <w:bCs/>
          <w:kern w:val="2"/>
          <w:sz w:val="32"/>
          <w:szCs w:val="32"/>
          <w:highlight w:val="none"/>
          <w:lang w:eastAsia="zh-CN"/>
        </w:rPr>
        <w:t>湖州市第四中学教育集团单位</w:t>
      </w:r>
      <w:r>
        <w:rPr>
          <w:rFonts w:hint="eastAsia" w:ascii="黑体" w:hAnsi="黑体" w:eastAsia="黑体" w:cs="黑体"/>
          <w:bCs/>
          <w:kern w:val="2"/>
          <w:sz w:val="32"/>
          <w:szCs w:val="32"/>
          <w:highlight w:val="none"/>
        </w:rPr>
        <w:t>部门预算表</w:t>
      </w:r>
    </w:p>
    <w:p>
      <w:pPr>
        <w:pStyle w:val="2"/>
        <w:rPr>
          <w:rFonts w:hint="default"/>
          <w:color w:val="auto"/>
          <w:highlight w:val="none"/>
        </w:rPr>
      </w:pPr>
    </w:p>
    <w:p>
      <w:pPr>
        <w:pStyle w:val="2"/>
        <w:rPr>
          <w:rFonts w:hint="default"/>
          <w:color w:val="auto"/>
          <w:highlight w:val="none"/>
        </w:rPr>
      </w:pPr>
    </w:p>
    <w:sectPr>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24C5C"/>
    <w:rsid w:val="000E52B3"/>
    <w:rsid w:val="00102FB9"/>
    <w:rsid w:val="0014604A"/>
    <w:rsid w:val="006C57F9"/>
    <w:rsid w:val="006D1AB2"/>
    <w:rsid w:val="00724C5C"/>
    <w:rsid w:val="008A6F13"/>
    <w:rsid w:val="00C13DF0"/>
    <w:rsid w:val="00CD6839"/>
    <w:rsid w:val="00D71320"/>
    <w:rsid w:val="00EB7128"/>
    <w:rsid w:val="00FA511A"/>
    <w:rsid w:val="0432483D"/>
    <w:rsid w:val="0A2B6E10"/>
    <w:rsid w:val="0C014F6D"/>
    <w:rsid w:val="0EC32400"/>
    <w:rsid w:val="11641E21"/>
    <w:rsid w:val="125B4450"/>
    <w:rsid w:val="16EF5067"/>
    <w:rsid w:val="174774F6"/>
    <w:rsid w:val="1ED74D17"/>
    <w:rsid w:val="243429F1"/>
    <w:rsid w:val="245B3CCB"/>
    <w:rsid w:val="24604D75"/>
    <w:rsid w:val="255258CA"/>
    <w:rsid w:val="27AF99D0"/>
    <w:rsid w:val="2AAA17F3"/>
    <w:rsid w:val="31C1653C"/>
    <w:rsid w:val="32FF21F7"/>
    <w:rsid w:val="34DC21F8"/>
    <w:rsid w:val="37756C61"/>
    <w:rsid w:val="3787034C"/>
    <w:rsid w:val="382C476A"/>
    <w:rsid w:val="3E054CA0"/>
    <w:rsid w:val="3E663D4F"/>
    <w:rsid w:val="41260B4E"/>
    <w:rsid w:val="434614D6"/>
    <w:rsid w:val="434A2477"/>
    <w:rsid w:val="4413460B"/>
    <w:rsid w:val="479F1816"/>
    <w:rsid w:val="4AFA32A4"/>
    <w:rsid w:val="54C31518"/>
    <w:rsid w:val="56432923"/>
    <w:rsid w:val="5B447B44"/>
    <w:rsid w:val="5BF9A05E"/>
    <w:rsid w:val="5CA47F6C"/>
    <w:rsid w:val="5D6E4695"/>
    <w:rsid w:val="5F4079D8"/>
    <w:rsid w:val="5F770754"/>
    <w:rsid w:val="62196CB1"/>
    <w:rsid w:val="67EEBDB0"/>
    <w:rsid w:val="7364031B"/>
    <w:rsid w:val="751C7403"/>
    <w:rsid w:val="753064B9"/>
    <w:rsid w:val="759C24D2"/>
    <w:rsid w:val="76442312"/>
    <w:rsid w:val="76DFF3BC"/>
    <w:rsid w:val="77FF0865"/>
    <w:rsid w:val="783E5222"/>
    <w:rsid w:val="79AD5421"/>
    <w:rsid w:val="7BF6DEA5"/>
    <w:rsid w:val="7C856488"/>
    <w:rsid w:val="7CFB18E8"/>
    <w:rsid w:val="7DBFC2EB"/>
    <w:rsid w:val="7EFF9D18"/>
    <w:rsid w:val="7FE3062C"/>
    <w:rsid w:val="A4EFBF90"/>
    <w:rsid w:val="AF73F1ED"/>
    <w:rsid w:val="DF97A5B7"/>
    <w:rsid w:val="FCEB93CB"/>
    <w:rsid w:val="FF7E98A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b/>
      <w:bCs/>
    </w:rPr>
  </w:style>
  <w:style w:type="character" w:styleId="8">
    <w:name w:val="page number"/>
    <w:basedOn w:val="6"/>
    <w:qFormat/>
    <w:uiPriority w:val="0"/>
  </w:style>
  <w:style w:type="character" w:styleId="9">
    <w:name w:val="FollowedHyperlink"/>
    <w:basedOn w:val="6"/>
    <w:qFormat/>
    <w:uiPriority w:val="0"/>
    <w:rPr>
      <w:color w:val="800080"/>
      <w:u w:val="none"/>
    </w:rPr>
  </w:style>
  <w:style w:type="character" w:styleId="10">
    <w:name w:val="HTML Definition"/>
    <w:basedOn w:val="6"/>
    <w:qFormat/>
    <w:uiPriority w:val="0"/>
  </w:style>
  <w:style w:type="character" w:styleId="11">
    <w:name w:val="HTML Variable"/>
    <w:basedOn w:val="6"/>
    <w:qFormat/>
    <w:uiPriority w:val="0"/>
  </w:style>
  <w:style w:type="character" w:styleId="12">
    <w:name w:val="Hyperlink"/>
    <w:basedOn w:val="6"/>
    <w:qFormat/>
    <w:uiPriority w:val="0"/>
    <w:rPr>
      <w:color w:val="0000FF"/>
      <w:u w:val="none"/>
    </w:rPr>
  </w:style>
  <w:style w:type="character" w:styleId="13">
    <w:name w:val="HTML Code"/>
    <w:basedOn w:val="6"/>
    <w:qFormat/>
    <w:uiPriority w:val="0"/>
    <w:rPr>
      <w:rFonts w:ascii="Courier New" w:hAnsi="Courier New"/>
      <w:sz w:val="20"/>
    </w:rPr>
  </w:style>
  <w:style w:type="character" w:styleId="14">
    <w:name w:val="HTML Cite"/>
    <w:basedOn w:val="6"/>
    <w:qFormat/>
    <w:uiPriority w:val="0"/>
  </w:style>
  <w:style w:type="paragraph" w:customStyle="1" w:styleId="15">
    <w:name w:val="Char"/>
    <w:basedOn w:val="1"/>
    <w:qFormat/>
    <w:uiPriority w:val="0"/>
    <w:rPr>
      <w:rFonts w:ascii="宋体" w:hAnsi="宋体" w:cs="Courier New"/>
      <w:sz w:val="32"/>
      <w:szCs w:val="32"/>
    </w:rPr>
  </w:style>
  <w:style w:type="paragraph" w:customStyle="1" w:styleId="16">
    <w:name w:val="Char1"/>
    <w:basedOn w:val="1"/>
    <w:qFormat/>
    <w:uiPriority w:val="0"/>
  </w:style>
  <w:style w:type="paragraph" w:customStyle="1" w:styleId="17">
    <w:name w:val="p0"/>
    <w:basedOn w:val="1"/>
    <w:qFormat/>
    <w:uiPriority w:val="0"/>
    <w:pPr>
      <w:widowControl/>
    </w:pPr>
    <w:rPr>
      <w:kern w:val="0"/>
      <w:szCs w:val="21"/>
    </w:rPr>
  </w:style>
  <w:style w:type="character" w:customStyle="1" w:styleId="18">
    <w:name w:val="item-middle"/>
    <w:basedOn w:val="6"/>
    <w:qFormat/>
    <w:uiPriority w:val="0"/>
  </w:style>
  <w:style w:type="character" w:customStyle="1" w:styleId="19">
    <w:name w:val="image"/>
    <w:basedOn w:val="6"/>
    <w:qFormat/>
    <w:uiPriority w:val="0"/>
  </w:style>
  <w:style w:type="character" w:customStyle="1" w:styleId="20">
    <w:name w:val="image2"/>
    <w:basedOn w:val="6"/>
    <w:qFormat/>
    <w:uiPriority w:val="0"/>
  </w:style>
  <w:style w:type="character" w:customStyle="1" w:styleId="21">
    <w:name w:val="image3"/>
    <w:basedOn w:val="6"/>
    <w:qFormat/>
    <w:uiPriority w:val="0"/>
  </w:style>
  <w:style w:type="character" w:customStyle="1" w:styleId="22">
    <w:name w:val="ui-state-hover21"/>
    <w:basedOn w:val="6"/>
    <w:qFormat/>
    <w:uiPriority w:val="0"/>
  </w:style>
  <w:style w:type="character" w:customStyle="1" w:styleId="23">
    <w:name w:val="ui-state-active5"/>
    <w:basedOn w:val="6"/>
    <w:qFormat/>
    <w:uiPriority w:val="0"/>
  </w:style>
  <w:style w:type="character" w:customStyle="1" w:styleId="24">
    <w:name w:val="ui-state-default12"/>
    <w:basedOn w:val="6"/>
    <w:qFormat/>
    <w:uiPriority w:val="0"/>
  </w:style>
  <w:style w:type="character" w:customStyle="1" w:styleId="25">
    <w:name w:val="ui-state-default13"/>
    <w:basedOn w:val="6"/>
    <w:qFormat/>
    <w:uiPriority w:val="0"/>
  </w:style>
  <w:style w:type="character" w:customStyle="1" w:styleId="26">
    <w:name w:val="clicked1"/>
    <w:basedOn w:val="6"/>
    <w:qFormat/>
    <w:uiPriority w:val="0"/>
    <w:rPr>
      <w:color w:val="000000"/>
    </w:rPr>
  </w:style>
  <w:style w:type="character" w:customStyle="1" w:styleId="27">
    <w:name w:val="clicked2"/>
    <w:basedOn w:val="6"/>
    <w:qFormat/>
    <w:uiPriority w:val="0"/>
  </w:style>
  <w:style w:type="character" w:customStyle="1" w:styleId="28">
    <w:name w:val="clicked3"/>
    <w:basedOn w:val="6"/>
    <w:qFormat/>
    <w:uiPriority w:val="0"/>
  </w:style>
  <w:style w:type="character" w:customStyle="1" w:styleId="29">
    <w:name w:val="button-hover"/>
    <w:basedOn w:val="6"/>
    <w:qFormat/>
    <w:uiPriority w:val="0"/>
  </w:style>
  <w:style w:type="character" w:customStyle="1" w:styleId="30">
    <w:name w:val="button-hover1"/>
    <w:basedOn w:val="6"/>
    <w:qFormat/>
    <w:uiPriority w:val="0"/>
  </w:style>
  <w:style w:type="character" w:customStyle="1" w:styleId="31">
    <w:name w:val="group"/>
    <w:basedOn w:val="6"/>
    <w:qFormat/>
    <w:uiPriority w:val="0"/>
  </w:style>
  <w:style w:type="character" w:customStyle="1" w:styleId="32">
    <w:name w:val="directchildrenspan"/>
    <w:basedOn w:val="6"/>
    <w:qFormat/>
    <w:uiPriority w:val="0"/>
  </w:style>
  <w:style w:type="character" w:customStyle="1" w:styleId="33">
    <w:name w:val="imgspan"/>
    <w:basedOn w:val="6"/>
    <w:qFormat/>
    <w:uiPriority w:val="0"/>
  </w:style>
  <w:style w:type="character" w:customStyle="1" w:styleId="34">
    <w:name w:val="ui-icon34"/>
    <w:basedOn w:val="6"/>
    <w:qFormat/>
    <w:uiPriority w:val="0"/>
  </w:style>
  <w:style w:type="character" w:customStyle="1" w:styleId="35">
    <w:name w:val="newstitle"/>
    <w:basedOn w:val="6"/>
    <w:qFormat/>
    <w:uiPriority w:val="0"/>
    <w:rPr>
      <w:b/>
      <w:color w:val="000000"/>
      <w:sz w:val="24"/>
      <w:szCs w:val="24"/>
    </w:rPr>
  </w:style>
  <w:style w:type="character" w:customStyle="1" w:styleId="36">
    <w:name w:val="ui-state-hover"/>
    <w:basedOn w:val="6"/>
    <w:qFormat/>
    <w:uiPriority w:val="0"/>
  </w:style>
  <w:style w:type="character" w:customStyle="1" w:styleId="37">
    <w:name w:val="image1"/>
    <w:basedOn w:val="6"/>
    <w:qFormat/>
    <w:uiPriority w:val="0"/>
  </w:style>
  <w:style w:type="character" w:customStyle="1" w:styleId="38">
    <w:name w:val="clicked"/>
    <w:basedOn w:val="6"/>
    <w:qFormat/>
    <w:uiPriority w:val="0"/>
  </w:style>
  <w:style w:type="character" w:customStyle="1" w:styleId="39">
    <w:name w:val="ui-state-active"/>
    <w:basedOn w:val="6"/>
    <w:qFormat/>
    <w:uiPriority w:val="0"/>
  </w:style>
  <w:style w:type="character" w:customStyle="1" w:styleId="40">
    <w:name w:val="ui-icon33"/>
    <w:basedOn w:val="6"/>
    <w:qFormat/>
    <w:uiPriority w:val="0"/>
  </w:style>
  <w:style w:type="character" w:customStyle="1" w:styleId="41">
    <w:name w:val="ui-state-active6"/>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11</Pages>
  <Words>4374</Words>
  <Characters>4876</Characters>
  <Lines>7</Lines>
  <Paragraphs>14</Paragraphs>
  <TotalTime>2</TotalTime>
  <ScaleCrop>false</ScaleCrop>
  <LinksUpToDate>false</LinksUpToDate>
  <CharactersWithSpaces>4894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2014-11-03T12:08:00Z</dcterms:created>
  <dc:creator>chengws</dc:creator>
  <cp:lastModifiedBy>ʚ小小璐ɞ</cp:lastModifiedBy>
  <cp:lastPrinted>2022-02-12T02:36:00Z</cp:lastPrinted>
  <dcterms:modified xsi:type="dcterms:W3CDTF">2022-03-27T15:08:14Z</dcterms:modified>
  <dc:title>附件1：省级部门预算公开说明样式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453B0C4865E44747909C7B2AB44C5364</vt:lpwstr>
  </property>
  <property fmtid="{D5CDD505-2E9C-101B-9397-08002B2CF9AE}" pid="4" name="woTemplateTypoMode" linkTarget="0">
    <vt:lpwstr>web</vt:lpwstr>
  </property>
  <property fmtid="{D5CDD505-2E9C-101B-9397-08002B2CF9AE}" pid="5" name="woTemplate" linkTarget="0">
    <vt:i4>1</vt:i4>
  </property>
</Properties>
</file>