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Lines="50" w:line="500" w:lineRule="exact"/>
        <w:jc w:val="center"/>
        <w:rPr>
          <w:rFonts w:ascii="方正小标宋简体" w:hAnsi="方正小标宋简体" w:eastAsia="方正小标宋简体" w:cs="方正小标宋简体"/>
          <w:kern w:val="0"/>
          <w:sz w:val="44"/>
          <w:szCs w:val="44"/>
        </w:rPr>
      </w:pPr>
      <w:r>
        <w:drawing>
          <wp:anchor distT="0" distB="0" distL="114300" distR="114300" simplePos="0" relativeHeight="251660288" behindDoc="0" locked="0" layoutInCell="1" allowOverlap="1">
            <wp:simplePos x="0" y="0"/>
            <wp:positionH relativeFrom="column">
              <wp:posOffset>-17145</wp:posOffset>
            </wp:positionH>
            <wp:positionV relativeFrom="paragraph">
              <wp:posOffset>-1217295</wp:posOffset>
            </wp:positionV>
            <wp:extent cx="1167130" cy="748665"/>
            <wp:effectExtent l="0" t="0" r="13970" b="13335"/>
            <wp:wrapNone/>
            <wp:docPr id="1" name="图片 4" descr="国网标识（你用电 我用心）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国网标识（你用电 我用心）横"/>
                    <pic:cNvPicPr>
                      <a:picLocks noChangeAspect="1"/>
                    </pic:cNvPicPr>
                  </pic:nvPicPr>
                  <pic:blipFill>
                    <a:blip r:embed="rId4"/>
                    <a:stretch>
                      <a:fillRect/>
                    </a:stretch>
                  </pic:blipFill>
                  <pic:spPr>
                    <a:xfrm>
                      <a:off x="0" y="0"/>
                      <a:ext cx="1167130" cy="748665"/>
                    </a:xfrm>
                    <a:prstGeom prst="rect">
                      <a:avLst/>
                    </a:prstGeom>
                    <a:noFill/>
                    <a:ln w="9525">
                      <a:noFill/>
                    </a:ln>
                  </pic:spPr>
                </pic:pic>
              </a:graphicData>
            </a:graphic>
          </wp:anchor>
        </w:drawing>
      </w:r>
      <w:r>
        <w:drawing>
          <wp:anchor distT="0" distB="0" distL="114300" distR="114300" simplePos="0" relativeHeight="251662336" behindDoc="0" locked="0" layoutInCell="1" allowOverlap="1">
            <wp:simplePos x="0" y="0"/>
            <wp:positionH relativeFrom="column">
              <wp:posOffset>4608830</wp:posOffset>
            </wp:positionH>
            <wp:positionV relativeFrom="paragraph">
              <wp:posOffset>-1057275</wp:posOffset>
            </wp:positionV>
            <wp:extent cx="929005" cy="438785"/>
            <wp:effectExtent l="0" t="0" r="4445" b="18415"/>
            <wp:wrapNone/>
            <wp:docPr id="2" name="图片 2" descr="12398标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98标识2"/>
                    <pic:cNvPicPr>
                      <a:picLocks noChangeAspect="1"/>
                    </pic:cNvPicPr>
                  </pic:nvPicPr>
                  <pic:blipFill>
                    <a:blip r:embed="rId5"/>
                    <a:stretch>
                      <a:fillRect/>
                    </a:stretch>
                  </pic:blipFill>
                  <pic:spPr>
                    <a:xfrm>
                      <a:off x="0" y="0"/>
                      <a:ext cx="929005" cy="438785"/>
                    </a:xfrm>
                    <a:prstGeom prst="rect">
                      <a:avLst/>
                    </a:prstGeom>
                    <a:noFill/>
                    <a:ln w="9525">
                      <a:noFill/>
                    </a:ln>
                  </pic:spPr>
                </pic:pic>
              </a:graphicData>
            </a:graphic>
          </wp:anchor>
        </w:drawing>
      </w:r>
      <w:r>
        <w:drawing>
          <wp:anchor distT="0" distB="0" distL="114300" distR="114300" simplePos="0" relativeHeight="251661312" behindDoc="0" locked="0" layoutInCell="1" allowOverlap="1">
            <wp:simplePos x="0" y="0"/>
            <wp:positionH relativeFrom="column">
              <wp:posOffset>3516630</wp:posOffset>
            </wp:positionH>
            <wp:positionV relativeFrom="paragraph">
              <wp:posOffset>-1056640</wp:posOffset>
            </wp:positionV>
            <wp:extent cx="1038225" cy="458470"/>
            <wp:effectExtent l="0" t="0" r="9525" b="17780"/>
            <wp:wrapNone/>
            <wp:docPr id="3" name="图片 3" descr="95598(第三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598(第三代)"/>
                    <pic:cNvPicPr>
                      <a:picLocks noChangeAspect="1"/>
                    </pic:cNvPicPr>
                  </pic:nvPicPr>
                  <pic:blipFill>
                    <a:blip r:embed="rId6"/>
                    <a:stretch>
                      <a:fillRect/>
                    </a:stretch>
                  </pic:blipFill>
                  <pic:spPr>
                    <a:xfrm>
                      <a:off x="0" y="0"/>
                      <a:ext cx="1038225" cy="458470"/>
                    </a:xfrm>
                    <a:prstGeom prst="rect">
                      <a:avLst/>
                    </a:prstGeom>
                    <a:noFill/>
                    <a:ln w="9525">
                      <a:noFill/>
                    </a:ln>
                  </pic:spPr>
                </pic:pic>
              </a:graphicData>
            </a:graphic>
          </wp:anchor>
        </w:drawing>
      </w:r>
      <w:r>
        <w:rPr>
          <w:rFonts w:hint="eastAsia" w:ascii="方正小标宋简体" w:hAnsi="方正小标宋简体" w:eastAsia="方正小标宋简体" w:cs="方正小标宋简体"/>
          <w:kern w:val="0"/>
          <w:sz w:val="44"/>
          <w:szCs w:val="44"/>
        </w:rPr>
        <w:t>国网浙江省电力有限公司</w:t>
      </w:r>
    </w:p>
    <w:p>
      <w:pPr>
        <w:widowControl/>
        <w:snapToGrid w:val="0"/>
        <w:spacing w:line="5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关于开展代理购电有关事项的告知书</w:t>
      </w:r>
    </w:p>
    <w:p>
      <w:pPr>
        <w:widowControl/>
        <w:snapToGrid w:val="0"/>
        <w:spacing w:line="500" w:lineRule="exact"/>
        <w:jc w:val="center"/>
        <w:rPr>
          <w:rFonts w:ascii="方正小标宋简体" w:hAnsi="方正小标宋简体" w:eastAsia="方正小标宋简体" w:cs="方正小标宋简体"/>
          <w:kern w:val="0"/>
          <w:sz w:val="44"/>
          <w:szCs w:val="44"/>
        </w:rPr>
      </w:pPr>
    </w:p>
    <w:p>
      <w:pPr>
        <w:widowControl/>
        <w:snapToGrid w:val="0"/>
        <w:spacing w:line="50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尊敬的电力客户：</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w:t>
      </w:r>
      <w:r>
        <w:rPr>
          <w:rFonts w:ascii="方正仿宋_GBK" w:hAnsi="方正仿宋_GBK" w:eastAsia="方正仿宋_GBK" w:cs="方正仿宋_GBK"/>
          <w:kern w:val="0"/>
          <w:sz w:val="32"/>
          <w:szCs w:val="32"/>
        </w:rPr>
        <w:t>《国家发展改革委关于进一步深化燃煤发电上网电价市场化改革的通知</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发改价格〔2021〕1439号）、《国家发展改革委办公厅关于组织开展电网企业代理购电工作有关事项的通知》（发改办价格〔2021〕809号）、《浙江省发展改革委关于调整我省目录销售电价有关事项的通知》（浙发改价格〔2021〕377号）等文件要求</w:t>
      </w:r>
      <w:r>
        <w:rPr>
          <w:rFonts w:hint="eastAsia" w:ascii="方正仿宋_GBK" w:hAnsi="方正仿宋_GBK" w:eastAsia="方正仿宋_GBK" w:cs="方正仿宋_GBK"/>
          <w:kern w:val="0"/>
          <w:sz w:val="32"/>
          <w:szCs w:val="32"/>
        </w:rPr>
        <w:t>，现将我公司代理购电有关事项告知如下：</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ascii="方正仿宋_GBK" w:hAnsi="方正仿宋_GBK" w:eastAsia="方正仿宋_GBK" w:cs="方正仿宋_GBK"/>
          <w:kern w:val="0"/>
          <w:sz w:val="32"/>
          <w:szCs w:val="32"/>
        </w:rPr>
        <w:t>浙江省发展改革委已发文取消浙江省工商业目录销售电价，推动工商业用户都进入市场，分时电价、容（需）量电价等继续按现行政策（浙发改价格〔2021〕377号）执行。</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根据《浙江省能源局关于电网企业代理购电工作有关事项的通知》要求，暂定2021年12月1日至12月31日为过渡期。过渡期后暂未选择向发电企业或者售电公司购电，也未与我公司签订代理购电相关合同的工商业用户，遵照政府文件要求，由我公司代理购电，执行代理购电用户电价，相关安排另行通知。</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代理购电用户电价由代理购电价格、输配电价、基金及附加等组成，其中：代理购电价格由我公司代理用户参与市场交易形成。我公司将于每月底前3日通过网上国网APP、供电营业厅等线上线下渠道，公布次月的代理购电用户电价等相关购电信息。</w:t>
      </w:r>
    </w:p>
    <w:p>
      <w:pPr>
        <w:widowControl/>
        <w:snapToGrid w:val="0"/>
        <w:spacing w:line="50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属于以下情形的，代理购电价格按照1.5倍执行</w:t>
      </w:r>
      <w:r>
        <w:rPr>
          <w:rFonts w:hint="eastAsia" w:ascii="方正仿宋_GBK" w:hAnsi="方正仿宋_GBK" w:eastAsia="方正仿宋_GBK" w:cs="方正仿宋_GBK"/>
          <w:kern w:val="0"/>
          <w:sz w:val="32"/>
          <w:szCs w:val="32"/>
          <w:lang w:eastAsia="zh-CN"/>
        </w:rPr>
        <w:t>：</w:t>
      </w:r>
    </w:p>
    <w:p>
      <w:pPr>
        <w:widowControl/>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已直接参与市场交易</w:t>
      </w:r>
      <w:r>
        <w:rPr>
          <w:rFonts w:hint="eastAsia" w:ascii="方正仿宋_GBK" w:hAnsi="方正仿宋_GBK" w:eastAsia="方正仿宋_GBK" w:cs="方正仿宋_GBK"/>
          <w:kern w:val="0"/>
          <w:sz w:val="32"/>
          <w:szCs w:val="32"/>
          <w:lang w:eastAsia="zh-CN"/>
        </w:rPr>
        <w:t>（不含已在电力交易平台注册但未参与电力市场交易，仍按目录销售电价执行的用户）</w:t>
      </w:r>
      <w:r>
        <w:rPr>
          <w:rFonts w:hint="eastAsia" w:ascii="方正仿宋_GBK" w:hAnsi="方正仿宋_GBK" w:eastAsia="方正仿宋_GBK" w:cs="方正仿宋_GBK"/>
          <w:kern w:val="0"/>
          <w:sz w:val="32"/>
          <w:szCs w:val="32"/>
        </w:rPr>
        <w:t>在无正当理由情况下改由</w:t>
      </w:r>
      <w:r>
        <w:rPr>
          <w:rFonts w:hint="eastAsia" w:ascii="方正仿宋_GBK" w:hAnsi="方正仿宋_GBK" w:eastAsia="方正仿宋_GBK" w:cs="方正仿宋_GBK"/>
          <w:kern w:val="0"/>
          <w:sz w:val="32"/>
          <w:szCs w:val="32"/>
          <w:lang w:eastAsia="zh-CN"/>
        </w:rPr>
        <w:t>电网企业</w:t>
      </w:r>
      <w:r>
        <w:rPr>
          <w:rFonts w:hint="eastAsia" w:ascii="方正仿宋_GBK" w:hAnsi="方正仿宋_GBK" w:eastAsia="方正仿宋_GBK" w:cs="方正仿宋_GBK"/>
          <w:kern w:val="0"/>
          <w:sz w:val="32"/>
          <w:szCs w:val="32"/>
        </w:rPr>
        <w:t>代理购电的用户；</w:t>
      </w:r>
    </w:p>
    <w:p>
      <w:pPr>
        <w:widowControl/>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拥有燃煤发电自备电厂、由</w:t>
      </w:r>
      <w:r>
        <w:rPr>
          <w:rFonts w:hint="eastAsia" w:ascii="方正仿宋_GBK" w:hAnsi="方正仿宋_GBK" w:eastAsia="方正仿宋_GBK" w:cs="方正仿宋_GBK"/>
          <w:kern w:val="0"/>
          <w:sz w:val="32"/>
          <w:szCs w:val="32"/>
          <w:lang w:eastAsia="zh-CN"/>
        </w:rPr>
        <w:t>电网企业</w:t>
      </w:r>
      <w:r>
        <w:rPr>
          <w:rFonts w:hint="eastAsia" w:ascii="方正仿宋_GBK" w:hAnsi="方正仿宋_GBK" w:eastAsia="方正仿宋_GBK" w:cs="方正仿宋_GBK"/>
          <w:kern w:val="0"/>
          <w:sz w:val="32"/>
          <w:szCs w:val="32"/>
        </w:rPr>
        <w:t>代理购电的用户；</w:t>
      </w:r>
    </w:p>
    <w:p>
      <w:pPr>
        <w:widowControl/>
        <w:snapToGrid w:val="0"/>
        <w:spacing w:line="50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暂不能直接参与市场交易</w:t>
      </w:r>
      <w:r>
        <w:rPr>
          <w:rFonts w:hint="eastAsia" w:ascii="方正仿宋_GBK" w:hAnsi="方正仿宋_GBK" w:eastAsia="方正仿宋_GBK" w:cs="方正仿宋_GBK"/>
          <w:kern w:val="0"/>
          <w:sz w:val="32"/>
          <w:szCs w:val="32"/>
          <w:lang w:eastAsia="zh-CN"/>
        </w:rPr>
        <w:t>的、由电网企业</w:t>
      </w:r>
      <w:bookmarkStart w:id="0" w:name="_GoBack"/>
      <w:bookmarkEnd w:id="0"/>
      <w:r>
        <w:rPr>
          <w:rFonts w:hint="eastAsia" w:ascii="方正仿宋_GBK" w:hAnsi="方正仿宋_GBK" w:eastAsia="方正仿宋_GBK" w:cs="方正仿宋_GBK"/>
          <w:kern w:val="0"/>
          <w:sz w:val="32"/>
          <w:szCs w:val="32"/>
          <w:lang w:eastAsia="zh-CN"/>
        </w:rPr>
        <w:t>代理购电</w:t>
      </w:r>
      <w:r>
        <w:rPr>
          <w:rFonts w:hint="eastAsia" w:ascii="方正仿宋_GBK" w:hAnsi="方正仿宋_GBK" w:eastAsia="方正仿宋_GBK" w:cs="方正仿宋_GBK"/>
          <w:kern w:val="0"/>
          <w:sz w:val="32"/>
          <w:szCs w:val="32"/>
        </w:rPr>
        <w:t>的高耗能用户</w:t>
      </w:r>
      <w:r>
        <w:rPr>
          <w:rFonts w:hint="eastAsia" w:ascii="方正仿宋_GBK" w:hAnsi="方正仿宋_GBK" w:eastAsia="方正仿宋_GBK" w:cs="方正仿宋_GBK"/>
          <w:kern w:val="0"/>
          <w:sz w:val="32"/>
          <w:szCs w:val="32"/>
          <w:lang w:eastAsia="zh-CN"/>
        </w:rPr>
        <w:t>。</w:t>
      </w:r>
    </w:p>
    <w:p>
      <w:pPr>
        <w:widowControl/>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对于选择进入市场的工商业用户，根据政府文件公布时间起可选择向发电企业或售电公司购电。即日起，向发电企业购电的用户可通过电力交易平台（http://zjpx.com.cn）进行市场注册。由我公司代理购电的工商业用户，可在每季度最后15日前选择下一季度起直接参与市场交易。</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5.对于选择由我公司代理购电的工商业用户，11月10日起可在网上国网APP、供电营业厅等渠道签订代理购电相关合同。</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6.按照政府通知要求，自</w:t>
      </w:r>
      <w:r>
        <w:rPr>
          <w:rFonts w:hint="eastAsia" w:ascii="方正仿宋_GBK" w:hAnsi="方正仿宋_GBK" w:eastAsia="方正仿宋_GBK" w:cs="方正仿宋_GBK"/>
          <w:kern w:val="0"/>
          <w:sz w:val="32"/>
          <w:szCs w:val="32"/>
          <w:lang w:val="en-US" w:eastAsia="zh-CN"/>
        </w:rPr>
        <w:t>2021年</w:t>
      </w:r>
      <w:r>
        <w:rPr>
          <w:rFonts w:hint="eastAsia" w:ascii="方正仿宋_GBK" w:hAnsi="方正仿宋_GBK" w:eastAsia="方正仿宋_GBK" w:cs="方正仿宋_GBK"/>
          <w:kern w:val="0"/>
          <w:sz w:val="32"/>
          <w:szCs w:val="32"/>
        </w:rPr>
        <w:t>10月1日起取消执行我省2021年度电力直接交易。</w:t>
      </w:r>
    </w:p>
    <w:p>
      <w:pPr>
        <w:widowControl/>
        <w:snapToGrid w:val="0"/>
        <w:spacing w:line="5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7.2021年12月1日前用户用电量按原工商业目录销售电价水平执行。</w:t>
      </w:r>
    </w:p>
    <w:p>
      <w:pPr>
        <w:widowControl/>
        <w:snapToGrid w:val="0"/>
        <w:spacing w:line="500" w:lineRule="exact"/>
        <w:ind w:firstLine="640" w:firstLineChars="200"/>
        <w:rPr>
          <w:rFonts w:ascii="方正仿宋_GBK" w:hAnsi="方正仿宋_GBK" w:eastAsia="方正仿宋_GBK" w:cs="方正仿宋_GBK"/>
          <w:kern w:val="0"/>
          <w:sz w:val="32"/>
          <w:szCs w:val="32"/>
        </w:rPr>
      </w:pPr>
    </w:p>
    <w:p>
      <w:pPr>
        <w:widowControl/>
        <w:snapToGrid w:val="0"/>
        <w:spacing w:line="500" w:lineRule="exact"/>
        <w:ind w:firstLine="640" w:firstLineChars="200"/>
        <w:rPr>
          <w:rFonts w:ascii="方正仿宋_GBK" w:hAnsi="方正仿宋_GBK" w:eastAsia="方正仿宋_GBK" w:cs="方正仿宋_GBK"/>
          <w:kern w:val="0"/>
          <w:sz w:val="32"/>
          <w:szCs w:val="32"/>
        </w:rPr>
      </w:pPr>
    </w:p>
    <w:p>
      <w:pPr>
        <w:widowControl/>
        <w:snapToGrid w:val="0"/>
        <w:spacing w:beforeLines="50" w:line="500" w:lineRule="exac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Cs/>
          <w:kern w:val="0"/>
          <w:sz w:val="32"/>
          <w:szCs w:val="32"/>
        </w:rPr>
        <w:t>此告知书一式二份，一份由您惠存，一份经您签名后由我公司留存。</w:t>
      </w:r>
    </w:p>
    <w:p>
      <w:pPr>
        <w:widowControl/>
        <w:snapToGrid w:val="0"/>
        <w:spacing w:beforeLines="50" w:line="500" w:lineRule="exact"/>
        <w:ind w:firstLine="64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《国网浙江省电力有限公司关于开展代理购电有关事项的告知书》内容已阅读并知晓。</w:t>
      </w:r>
    </w:p>
    <w:p>
      <w:pPr>
        <w:widowControl/>
        <w:snapToGrid w:val="0"/>
        <w:spacing w:line="500" w:lineRule="exact"/>
        <w:jc w:val="left"/>
        <w:rPr>
          <w:rFonts w:hint="eastAsia" w:ascii="方正仿宋_GBK" w:hAnsi="方正仿宋_GBK" w:eastAsia="方正仿宋_GBK" w:cs="方正仿宋_GBK"/>
          <w:bCs/>
          <w:kern w:val="0"/>
          <w:sz w:val="32"/>
          <w:szCs w:val="32"/>
        </w:rPr>
      </w:pPr>
    </w:p>
    <w:p>
      <w:pPr>
        <w:widowControl/>
        <w:snapToGrid w:val="0"/>
        <w:spacing w:line="50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客户签名：　                          年　</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rPr>
        <w:t xml:space="preserve">　月　　日 </w:t>
      </w:r>
    </w:p>
    <w:sectPr>
      <w:pgSz w:w="11906" w:h="16838"/>
      <w:pgMar w:top="1984" w:right="1474" w:bottom="181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方正黑体_GBK">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998122D"/>
    <w:rsid w:val="0002181D"/>
    <w:rsid w:val="002014B4"/>
    <w:rsid w:val="00263100"/>
    <w:rsid w:val="002644FA"/>
    <w:rsid w:val="002B034A"/>
    <w:rsid w:val="002B6F71"/>
    <w:rsid w:val="003B3A40"/>
    <w:rsid w:val="003F70BD"/>
    <w:rsid w:val="00515563"/>
    <w:rsid w:val="00525CB6"/>
    <w:rsid w:val="00531CDC"/>
    <w:rsid w:val="00586F9A"/>
    <w:rsid w:val="005E4DBB"/>
    <w:rsid w:val="00744512"/>
    <w:rsid w:val="00755436"/>
    <w:rsid w:val="00785649"/>
    <w:rsid w:val="008262F4"/>
    <w:rsid w:val="008864C0"/>
    <w:rsid w:val="008E55C1"/>
    <w:rsid w:val="00983EA0"/>
    <w:rsid w:val="009B7262"/>
    <w:rsid w:val="00A12D7B"/>
    <w:rsid w:val="00B46A49"/>
    <w:rsid w:val="00CE3F10"/>
    <w:rsid w:val="00D61E9E"/>
    <w:rsid w:val="00DA374E"/>
    <w:rsid w:val="00DF7A57"/>
    <w:rsid w:val="00E33BCC"/>
    <w:rsid w:val="00E447BA"/>
    <w:rsid w:val="00ED460A"/>
    <w:rsid w:val="00F12B7E"/>
    <w:rsid w:val="00F86813"/>
    <w:rsid w:val="00FC2DEA"/>
    <w:rsid w:val="03AB7304"/>
    <w:rsid w:val="04240125"/>
    <w:rsid w:val="04656693"/>
    <w:rsid w:val="053A5AEE"/>
    <w:rsid w:val="058A5112"/>
    <w:rsid w:val="07312D2D"/>
    <w:rsid w:val="09985D97"/>
    <w:rsid w:val="0B331DBE"/>
    <w:rsid w:val="0B535D65"/>
    <w:rsid w:val="0B8F0D25"/>
    <w:rsid w:val="0CDD329D"/>
    <w:rsid w:val="11A053AA"/>
    <w:rsid w:val="14322B80"/>
    <w:rsid w:val="15FC3C5F"/>
    <w:rsid w:val="1B75318E"/>
    <w:rsid w:val="1C4114E1"/>
    <w:rsid w:val="1D4E55F2"/>
    <w:rsid w:val="1F592A84"/>
    <w:rsid w:val="21363EDF"/>
    <w:rsid w:val="240F7984"/>
    <w:rsid w:val="2447781F"/>
    <w:rsid w:val="246B20CD"/>
    <w:rsid w:val="249343CC"/>
    <w:rsid w:val="25440892"/>
    <w:rsid w:val="257856BF"/>
    <w:rsid w:val="2A462FB0"/>
    <w:rsid w:val="2A61626B"/>
    <w:rsid w:val="2A8A56BA"/>
    <w:rsid w:val="2CBF5AC2"/>
    <w:rsid w:val="330B2371"/>
    <w:rsid w:val="33847F30"/>
    <w:rsid w:val="34BF1E5F"/>
    <w:rsid w:val="35627300"/>
    <w:rsid w:val="35FE2FBD"/>
    <w:rsid w:val="384B78A2"/>
    <w:rsid w:val="38A22BCC"/>
    <w:rsid w:val="39160D0F"/>
    <w:rsid w:val="399B6FF9"/>
    <w:rsid w:val="3B94366D"/>
    <w:rsid w:val="3BA35907"/>
    <w:rsid w:val="3C000C9D"/>
    <w:rsid w:val="3C001BFB"/>
    <w:rsid w:val="3C381099"/>
    <w:rsid w:val="3C7A0ACE"/>
    <w:rsid w:val="3CC952AD"/>
    <w:rsid w:val="3D433771"/>
    <w:rsid w:val="3D7566B9"/>
    <w:rsid w:val="3DBF40C9"/>
    <w:rsid w:val="3FB724BC"/>
    <w:rsid w:val="40110871"/>
    <w:rsid w:val="404B50B0"/>
    <w:rsid w:val="40F77372"/>
    <w:rsid w:val="41957F39"/>
    <w:rsid w:val="42076EB7"/>
    <w:rsid w:val="42AE78A4"/>
    <w:rsid w:val="447E5010"/>
    <w:rsid w:val="44805100"/>
    <w:rsid w:val="44AD4049"/>
    <w:rsid w:val="45993C15"/>
    <w:rsid w:val="45A726F3"/>
    <w:rsid w:val="49107455"/>
    <w:rsid w:val="498649AB"/>
    <w:rsid w:val="4A996163"/>
    <w:rsid w:val="4C236D65"/>
    <w:rsid w:val="539275A0"/>
    <w:rsid w:val="550B4167"/>
    <w:rsid w:val="55AB0940"/>
    <w:rsid w:val="566D4C3C"/>
    <w:rsid w:val="56A463D8"/>
    <w:rsid w:val="56EE235A"/>
    <w:rsid w:val="57FA5C16"/>
    <w:rsid w:val="5998122D"/>
    <w:rsid w:val="5ADE518E"/>
    <w:rsid w:val="5C673056"/>
    <w:rsid w:val="5E8E72AD"/>
    <w:rsid w:val="61842F48"/>
    <w:rsid w:val="62880CE9"/>
    <w:rsid w:val="628A5061"/>
    <w:rsid w:val="6336280B"/>
    <w:rsid w:val="634D104F"/>
    <w:rsid w:val="6537120A"/>
    <w:rsid w:val="65C71020"/>
    <w:rsid w:val="65F95C3C"/>
    <w:rsid w:val="67741C84"/>
    <w:rsid w:val="68646244"/>
    <w:rsid w:val="68B53068"/>
    <w:rsid w:val="6A575D23"/>
    <w:rsid w:val="6A7909A5"/>
    <w:rsid w:val="6AD625E5"/>
    <w:rsid w:val="6B5E3BF3"/>
    <w:rsid w:val="6BC117DF"/>
    <w:rsid w:val="6C8F70CD"/>
    <w:rsid w:val="6D9F6053"/>
    <w:rsid w:val="6DA57B57"/>
    <w:rsid w:val="6F4124BD"/>
    <w:rsid w:val="706D7C2C"/>
    <w:rsid w:val="70C321D7"/>
    <w:rsid w:val="73234868"/>
    <w:rsid w:val="75DD669A"/>
    <w:rsid w:val="77692F57"/>
    <w:rsid w:val="78126DF0"/>
    <w:rsid w:val="78F53045"/>
    <w:rsid w:val="797514CA"/>
    <w:rsid w:val="7A0E4C65"/>
    <w:rsid w:val="7A952E3B"/>
    <w:rsid w:val="7AF652EF"/>
    <w:rsid w:val="7BC76137"/>
    <w:rsid w:val="7C240A07"/>
    <w:rsid w:val="7E0219C0"/>
    <w:rsid w:val="7E494A71"/>
    <w:rsid w:val="7E9E2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 w:type="paragraph" w:customStyle="1" w:styleId="9">
    <w:name w:val="p0"/>
    <w:basedOn w:val="1"/>
    <w:qFormat/>
    <w:uiPriority w:val="0"/>
    <w:pPr>
      <w:widowControl/>
    </w:pPr>
    <w:rPr>
      <w:kern w:val="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151</Words>
  <Characters>864</Characters>
  <Lines>7</Lines>
  <Paragraphs>2</Paragraphs>
  <TotalTime>6</TotalTime>
  <ScaleCrop>false</ScaleCrop>
  <LinksUpToDate>false</LinksUpToDate>
  <CharactersWithSpaces>1013</CharactersWithSpaces>
  <Application>WPS Office_10.8.0.6470_F1E327BC-269C-435d-A152-05C5408002CA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2021-11-05T03:43:00Z</dcterms:created>
  <dc:creator>营销服务中心-钱晓瑞</dc:creator>
  <lastModifiedBy>许小卉</lastModifiedBy>
  <lastPrinted>2021-10-12T08:31:00Z</lastPrinted>
  <dcterms:modified xsi:type="dcterms:W3CDTF">2021-12-01T09:27:01Z</dcterms:modified>
  <revision>6</revision>
  <dc:title>关于全面取消工商业目录销售电价公告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775E62071D04499D8AD62D9F1603FDB8</vt:lpwstr>
  </property>
</Properties>
</file>