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heme="minorEastAsia" w:hAnsiTheme="minorEastAsia" w:eastAsiaTheme="minorEastAsia" w:cstheme="minorEastAsia"/>
          <w:b/>
          <w:kern w:val="0"/>
          <w:sz w:val="48"/>
          <w:szCs w:val="48"/>
        </w:rPr>
      </w:pPr>
    </w:p>
    <w:p>
      <w:pPr>
        <w:adjustRightInd w:val="0"/>
        <w:snapToGrid w:val="0"/>
        <w:spacing w:line="600" w:lineRule="exact"/>
        <w:jc w:val="center"/>
        <w:rPr>
          <w:rFonts w:asciiTheme="minorEastAsia" w:hAnsiTheme="minorEastAsia" w:eastAsiaTheme="minorEastAsia" w:cstheme="minorEastAsia"/>
          <w:b/>
          <w:kern w:val="0"/>
          <w:sz w:val="48"/>
          <w:szCs w:val="48"/>
        </w:rPr>
      </w:pPr>
    </w:p>
    <w:p>
      <w:pPr>
        <w:adjustRightInd w:val="0"/>
        <w:snapToGrid w:val="0"/>
        <w:spacing w:line="600" w:lineRule="exact"/>
        <w:jc w:val="center"/>
        <w:rPr>
          <w:rFonts w:asciiTheme="minorEastAsia" w:hAnsiTheme="minorEastAsia" w:eastAsiaTheme="minorEastAsia" w:cstheme="minorEastAsia"/>
          <w:b/>
          <w:kern w:val="0"/>
          <w:sz w:val="48"/>
          <w:szCs w:val="48"/>
        </w:rPr>
      </w:pPr>
    </w:p>
    <w:p>
      <w:pPr>
        <w:widowControl/>
        <w:spacing w:line="900" w:lineRule="exact"/>
        <w:jc w:val="center"/>
        <w:rPr>
          <w:rFonts w:asciiTheme="minorEastAsia" w:hAnsiTheme="minorEastAsia" w:eastAsiaTheme="minorEastAsia" w:cstheme="minorEastAsia"/>
          <w:b/>
          <w:kern w:val="0"/>
          <w:sz w:val="48"/>
          <w:szCs w:val="48"/>
        </w:rPr>
      </w:pPr>
      <w:r>
        <w:rPr>
          <w:rFonts w:hint="eastAsia" w:asciiTheme="minorEastAsia" w:hAnsiTheme="minorEastAsia" w:eastAsiaTheme="minorEastAsia" w:cstheme="minorEastAsia"/>
          <w:b/>
          <w:kern w:val="0"/>
          <w:sz w:val="48"/>
          <w:szCs w:val="48"/>
        </w:rPr>
        <w:t xml:space="preserve">2022-2023年度环渚街道幸福邻里中心运营社会组织采购项目 </w:t>
      </w:r>
    </w:p>
    <w:p>
      <w:pPr>
        <w:widowControl/>
        <w:spacing w:line="900" w:lineRule="exact"/>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sz w:val="30"/>
          <w:szCs w:val="30"/>
        </w:rPr>
        <w:t>（财政审批编号:</w:t>
      </w:r>
      <w:r>
        <w:rPr>
          <w:rFonts w:hint="eastAsia" w:asciiTheme="minorEastAsia" w:hAnsiTheme="minorEastAsia" w:eastAsiaTheme="minorEastAsia" w:cstheme="minorEastAsia"/>
          <w:sz w:val="30"/>
          <w:szCs w:val="30"/>
          <w:lang w:eastAsia="zh-CN"/>
        </w:rPr>
        <w:t>临[2022]483号</w:t>
      </w:r>
      <w:r>
        <w:rPr>
          <w:rFonts w:hint="eastAsia" w:asciiTheme="minorEastAsia" w:hAnsiTheme="minorEastAsia" w:eastAsiaTheme="minorEastAsia" w:cstheme="minorEastAsia"/>
          <w:sz w:val="30"/>
          <w:szCs w:val="30"/>
        </w:rPr>
        <w:t>）</w:t>
      </w:r>
    </w:p>
    <w:p>
      <w:pPr>
        <w:adjustRightInd w:val="0"/>
        <w:snapToGrid w:val="0"/>
        <w:spacing w:line="600" w:lineRule="exact"/>
        <w:rPr>
          <w:rFonts w:asciiTheme="minorEastAsia" w:hAnsiTheme="minorEastAsia" w:eastAsiaTheme="minorEastAsia" w:cstheme="minorEastAsia"/>
          <w:b/>
          <w:snapToGrid w:val="0"/>
          <w:sz w:val="84"/>
          <w:szCs w:val="84"/>
        </w:rPr>
      </w:pPr>
    </w:p>
    <w:p>
      <w:pPr>
        <w:adjustRightInd w:val="0"/>
        <w:snapToGrid w:val="0"/>
        <w:spacing w:line="600" w:lineRule="exact"/>
        <w:jc w:val="center"/>
        <w:rPr>
          <w:rFonts w:asciiTheme="minorEastAsia" w:hAnsiTheme="minorEastAsia" w:eastAsiaTheme="minorEastAsia" w:cstheme="minorEastAsia"/>
          <w:b/>
          <w:snapToGrid w:val="0"/>
          <w:sz w:val="84"/>
          <w:szCs w:val="84"/>
        </w:rPr>
      </w:pPr>
    </w:p>
    <w:p>
      <w:pPr>
        <w:adjustRightInd w:val="0"/>
        <w:snapToGrid w:val="0"/>
        <w:spacing w:line="800" w:lineRule="atLeast"/>
        <w:jc w:val="center"/>
        <w:rPr>
          <w:rFonts w:asciiTheme="minorEastAsia" w:hAnsiTheme="minorEastAsia" w:eastAsiaTheme="minorEastAsia" w:cstheme="minorEastAsia"/>
          <w:b/>
          <w:snapToGrid w:val="0"/>
          <w:sz w:val="84"/>
          <w:szCs w:val="84"/>
        </w:rPr>
      </w:pPr>
      <w:r>
        <w:rPr>
          <w:rFonts w:hint="eastAsia" w:asciiTheme="minorEastAsia" w:hAnsiTheme="minorEastAsia" w:eastAsiaTheme="minorEastAsia" w:cstheme="minorEastAsia"/>
          <w:b/>
          <w:snapToGrid w:val="0"/>
          <w:sz w:val="84"/>
          <w:szCs w:val="84"/>
        </w:rPr>
        <w:t>竞争性磋商文件</w:t>
      </w:r>
    </w:p>
    <w:p>
      <w:pPr>
        <w:adjustRightInd w:val="0"/>
        <w:snapToGrid w:val="0"/>
        <w:spacing w:line="500" w:lineRule="exact"/>
        <w:jc w:val="center"/>
        <w:rPr>
          <w:rFonts w:asciiTheme="minorEastAsia" w:hAnsiTheme="minorEastAsia" w:eastAsiaTheme="minorEastAsia" w:cstheme="minorEastAsia"/>
          <w:bCs/>
          <w:snapToGrid w:val="0"/>
          <w:sz w:val="28"/>
          <w:szCs w:val="28"/>
        </w:rPr>
      </w:pPr>
      <w:r>
        <w:rPr>
          <w:rFonts w:hint="eastAsia" w:asciiTheme="minorEastAsia" w:hAnsiTheme="minorEastAsia" w:eastAsiaTheme="minorEastAsia" w:cstheme="minorEastAsia"/>
          <w:bCs/>
          <w:snapToGrid w:val="0"/>
          <w:sz w:val="28"/>
          <w:szCs w:val="28"/>
        </w:rPr>
        <w:t>（全流程电子）</w:t>
      </w:r>
    </w:p>
    <w:p>
      <w:pPr>
        <w:adjustRightInd w:val="0"/>
        <w:snapToGrid w:val="0"/>
        <w:spacing w:line="500" w:lineRule="exact"/>
        <w:rPr>
          <w:rFonts w:asciiTheme="minorEastAsia" w:hAnsiTheme="minorEastAsia" w:eastAsiaTheme="minorEastAsia" w:cstheme="minorEastAsia"/>
          <w:bCs/>
          <w:snapToGrid w:val="0"/>
          <w:sz w:val="32"/>
        </w:rPr>
      </w:pPr>
    </w:p>
    <w:p>
      <w:pPr>
        <w:adjustRightInd w:val="0"/>
        <w:snapToGrid w:val="0"/>
        <w:spacing w:line="500" w:lineRule="exact"/>
        <w:rPr>
          <w:rFonts w:asciiTheme="minorEastAsia" w:hAnsiTheme="minorEastAsia" w:eastAsiaTheme="minorEastAsia" w:cstheme="minorEastAsia"/>
          <w:bCs/>
          <w:snapToGrid w:val="0"/>
          <w:sz w:val="32"/>
        </w:rPr>
      </w:pPr>
    </w:p>
    <w:p>
      <w:pPr>
        <w:adjustRightInd w:val="0"/>
        <w:snapToGrid w:val="0"/>
        <w:spacing w:line="500" w:lineRule="exact"/>
        <w:rPr>
          <w:rFonts w:asciiTheme="minorEastAsia" w:hAnsiTheme="minorEastAsia" w:eastAsiaTheme="minorEastAsia" w:cstheme="minorEastAsia"/>
          <w:bCs/>
          <w:snapToGrid w:val="0"/>
          <w:sz w:val="32"/>
        </w:rPr>
      </w:pPr>
    </w:p>
    <w:p>
      <w:pPr>
        <w:adjustRightInd w:val="0"/>
        <w:snapToGrid w:val="0"/>
        <w:spacing w:line="640" w:lineRule="exact"/>
        <w:rPr>
          <w:rFonts w:asciiTheme="minorEastAsia" w:hAnsiTheme="minorEastAsia" w:eastAsiaTheme="minorEastAsia" w:cstheme="minorEastAsia"/>
          <w:snapToGrid w:val="0"/>
          <w:sz w:val="30"/>
          <w:szCs w:val="30"/>
          <w:u w:val="single"/>
        </w:rPr>
      </w:pPr>
      <w:r>
        <w:rPr>
          <w:rFonts w:hint="eastAsia" w:asciiTheme="minorEastAsia" w:hAnsiTheme="minorEastAsia" w:eastAsiaTheme="minorEastAsia" w:cstheme="minorEastAsia"/>
          <w:b/>
          <w:snapToGrid w:val="0"/>
          <w:sz w:val="30"/>
          <w:szCs w:val="30"/>
        </w:rPr>
        <w:t>项目编号</w:t>
      </w:r>
      <w:r>
        <w:rPr>
          <w:rFonts w:hint="eastAsia" w:asciiTheme="minorEastAsia" w:hAnsiTheme="minorEastAsia" w:eastAsiaTheme="minorEastAsia" w:cstheme="minorEastAsia"/>
          <w:snapToGrid w:val="0"/>
          <w:sz w:val="30"/>
          <w:szCs w:val="30"/>
        </w:rPr>
        <w:t>：</w:t>
      </w:r>
      <w:r>
        <w:rPr>
          <w:rFonts w:hint="eastAsia" w:asciiTheme="minorEastAsia" w:hAnsiTheme="minorEastAsia" w:eastAsiaTheme="minorEastAsia" w:cstheme="minorEastAsia"/>
          <w:snapToGrid w:val="0"/>
          <w:sz w:val="30"/>
          <w:szCs w:val="30"/>
          <w:u w:val="single"/>
          <w:lang w:val="en-US" w:eastAsia="zh-CN"/>
        </w:rPr>
        <w:t>同欣采字</w:t>
      </w:r>
      <w:r>
        <w:rPr>
          <w:rFonts w:hint="eastAsia" w:asciiTheme="minorEastAsia" w:hAnsiTheme="minorEastAsia" w:eastAsiaTheme="minorEastAsia" w:cstheme="minorEastAsia"/>
          <w:snapToGrid w:val="0"/>
          <w:sz w:val="30"/>
          <w:szCs w:val="30"/>
          <w:u w:val="single"/>
        </w:rPr>
        <w:t>[2022]-</w:t>
      </w:r>
      <w:r>
        <w:rPr>
          <w:rFonts w:hint="eastAsia" w:asciiTheme="minorEastAsia" w:hAnsiTheme="minorEastAsia" w:eastAsiaTheme="minorEastAsia" w:cstheme="minorEastAsia"/>
          <w:snapToGrid w:val="0"/>
          <w:sz w:val="30"/>
          <w:szCs w:val="30"/>
          <w:u w:val="single"/>
          <w:lang w:val="en-US" w:eastAsia="zh-CN"/>
        </w:rPr>
        <w:t>002</w:t>
      </w:r>
      <w:r>
        <w:rPr>
          <w:rFonts w:hint="eastAsia" w:asciiTheme="minorEastAsia" w:hAnsiTheme="minorEastAsia" w:eastAsiaTheme="minorEastAsia" w:cstheme="minorEastAsia"/>
          <w:snapToGrid w:val="0"/>
          <w:sz w:val="30"/>
          <w:szCs w:val="30"/>
          <w:u w:val="single"/>
        </w:rPr>
        <w:t xml:space="preserve">号                                        </w:t>
      </w:r>
    </w:p>
    <w:p>
      <w:pPr>
        <w:adjustRightInd w:val="0"/>
        <w:snapToGrid w:val="0"/>
        <w:spacing w:line="640" w:lineRule="exact"/>
        <w:rPr>
          <w:rFonts w:asciiTheme="minorEastAsia" w:hAnsiTheme="minorEastAsia" w:eastAsiaTheme="minorEastAsia" w:cstheme="minorEastAsia"/>
          <w:snapToGrid w:val="0"/>
          <w:sz w:val="30"/>
          <w:szCs w:val="30"/>
          <w:u w:val="single"/>
        </w:rPr>
      </w:pPr>
      <w:r>
        <w:rPr>
          <w:rFonts w:hint="eastAsia" w:asciiTheme="minorEastAsia" w:hAnsiTheme="minorEastAsia" w:eastAsiaTheme="minorEastAsia" w:cstheme="minorEastAsia"/>
          <w:b/>
          <w:snapToGrid w:val="0"/>
          <w:sz w:val="30"/>
          <w:szCs w:val="30"/>
        </w:rPr>
        <w:t>项目名称：</w:t>
      </w:r>
      <w:r>
        <w:rPr>
          <w:rFonts w:hint="eastAsia" w:asciiTheme="minorEastAsia" w:hAnsiTheme="minorEastAsia" w:eastAsiaTheme="minorEastAsia" w:cstheme="minorEastAsia"/>
          <w:kern w:val="0"/>
          <w:sz w:val="30"/>
          <w:szCs w:val="30"/>
          <w:u w:val="single"/>
        </w:rPr>
        <w:t xml:space="preserve">2022-2023年度环渚街道幸福邻里中心运营社会组织采购项目                                           </w:t>
      </w:r>
    </w:p>
    <w:p>
      <w:pPr>
        <w:adjustRightInd w:val="0"/>
        <w:snapToGrid w:val="0"/>
        <w:spacing w:line="640" w:lineRule="exact"/>
        <w:rPr>
          <w:rFonts w:asciiTheme="minorEastAsia" w:hAnsiTheme="minorEastAsia" w:eastAsiaTheme="minorEastAsia" w:cstheme="minorEastAsia"/>
          <w:kern w:val="0"/>
          <w:sz w:val="30"/>
          <w:szCs w:val="30"/>
          <w:u w:val="single"/>
        </w:rPr>
      </w:pPr>
      <w:r>
        <w:rPr>
          <w:rFonts w:hint="eastAsia" w:asciiTheme="minorEastAsia" w:hAnsiTheme="minorEastAsia" w:eastAsiaTheme="minorEastAsia" w:cstheme="minorEastAsia"/>
          <w:b/>
          <w:snapToGrid w:val="0"/>
          <w:sz w:val="30"/>
          <w:szCs w:val="30"/>
        </w:rPr>
        <w:t>采 购 人：</w:t>
      </w:r>
      <w:r>
        <w:rPr>
          <w:rFonts w:hint="eastAsia" w:asciiTheme="minorEastAsia" w:hAnsiTheme="minorEastAsia" w:eastAsiaTheme="minorEastAsia" w:cstheme="minorEastAsia"/>
          <w:kern w:val="0"/>
          <w:sz w:val="30"/>
          <w:szCs w:val="30"/>
          <w:u w:val="single"/>
        </w:rPr>
        <w:t>湖州市吴兴区人民政府环渚街道办事处           （盖章）</w:t>
      </w:r>
    </w:p>
    <w:p>
      <w:pPr>
        <w:adjustRightInd w:val="0"/>
        <w:snapToGrid w:val="0"/>
        <w:spacing w:line="640" w:lineRule="exact"/>
        <w:rPr>
          <w:rFonts w:asciiTheme="minorEastAsia" w:hAnsiTheme="minorEastAsia" w:eastAsiaTheme="minorEastAsia" w:cstheme="minorEastAsia"/>
          <w:bCs/>
          <w:snapToGrid w:val="0"/>
          <w:sz w:val="30"/>
          <w:szCs w:val="30"/>
        </w:rPr>
      </w:pPr>
      <w:r>
        <w:rPr>
          <w:rFonts w:hint="eastAsia" w:asciiTheme="minorEastAsia" w:hAnsiTheme="minorEastAsia" w:eastAsiaTheme="minorEastAsia" w:cstheme="minorEastAsia"/>
          <w:b/>
          <w:snapToGrid w:val="0"/>
          <w:sz w:val="30"/>
          <w:szCs w:val="30"/>
        </w:rPr>
        <w:t>代理机构：</w:t>
      </w:r>
      <w:r>
        <w:rPr>
          <w:rFonts w:hint="eastAsia" w:asciiTheme="minorEastAsia" w:hAnsiTheme="minorEastAsia" w:eastAsiaTheme="minorEastAsia" w:cstheme="minorEastAsia"/>
          <w:snapToGrid w:val="0"/>
          <w:sz w:val="30"/>
          <w:szCs w:val="30"/>
          <w:u w:val="single"/>
          <w:lang w:eastAsia="zh-CN"/>
        </w:rPr>
        <w:t>浙江同欣工程管理有限公司</w:t>
      </w:r>
      <w:r>
        <w:rPr>
          <w:rFonts w:hint="eastAsia" w:asciiTheme="minorEastAsia" w:hAnsiTheme="minorEastAsia" w:eastAsiaTheme="minorEastAsia" w:cstheme="minorEastAsia"/>
          <w:snapToGrid w:val="0"/>
          <w:sz w:val="30"/>
          <w:szCs w:val="30"/>
          <w:u w:val="single"/>
        </w:rPr>
        <w:t xml:space="preserve">          （盖章）</w:t>
      </w:r>
    </w:p>
    <w:p>
      <w:pPr>
        <w:spacing w:line="64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napToGrid w:val="0"/>
          <w:sz w:val="30"/>
          <w:szCs w:val="30"/>
        </w:rPr>
        <w:t>2022年1月</w:t>
      </w:r>
    </w:p>
    <w:p>
      <w:pPr>
        <w:rPr>
          <w:rFonts w:asciiTheme="minorEastAsia" w:hAnsiTheme="minorEastAsia" w:eastAsiaTheme="minorEastAsia" w:cstheme="minorEastAsia"/>
          <w:b/>
          <w:sz w:val="44"/>
          <w:szCs w:val="44"/>
        </w:rPr>
      </w:pPr>
    </w:p>
    <w:p>
      <w:pP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sdt>
      <w:sdtPr>
        <w:rPr>
          <w:rFonts w:ascii="宋体" w:hAnsi="宋体"/>
          <w:kern w:val="0"/>
          <w:sz w:val="20"/>
          <w:szCs w:val="20"/>
        </w:rPr>
        <w:id w:val="147461719"/>
        <w:docPartObj>
          <w:docPartGallery w:val="Table of Contents"/>
          <w:docPartUnique/>
        </w:docPartObj>
      </w:sdtPr>
      <w:sdtEndPr>
        <w:rPr>
          <w:rFonts w:hint="eastAsia" w:asciiTheme="minorEastAsia" w:hAnsiTheme="minorEastAsia" w:eastAsiaTheme="minorEastAsia" w:cstheme="minorEastAsia"/>
          <w:b/>
          <w:kern w:val="0"/>
          <w:sz w:val="20"/>
          <w:szCs w:val="30"/>
        </w:rPr>
      </w:sdtEndPr>
      <w:sdtContent>
        <w:p>
          <w:pPr>
            <w:spacing w:line="480" w:lineRule="auto"/>
            <w:jc w:val="center"/>
            <w:rPr>
              <w:rFonts w:ascii="宋体" w:hAnsi="宋体" w:cs="宋体"/>
              <w:b/>
              <w:bCs/>
              <w:sz w:val="44"/>
              <w:szCs w:val="44"/>
            </w:rPr>
          </w:pPr>
          <w:r>
            <w:rPr>
              <w:rFonts w:hint="eastAsia" w:ascii="宋体" w:hAnsi="宋体" w:cs="宋体"/>
              <w:b/>
              <w:bCs/>
              <w:sz w:val="44"/>
              <w:szCs w:val="44"/>
            </w:rPr>
            <w:t>目  录</w:t>
          </w:r>
        </w:p>
        <w:p>
          <w:pPr>
            <w:pStyle w:val="38"/>
            <w:tabs>
              <w:tab w:val="right" w:leader="underscore" w:pos="9412"/>
            </w:tabs>
            <w:spacing w:line="480" w:lineRule="auto"/>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TOC \o "1-2" \h \u </w:instrText>
          </w:r>
          <w:r>
            <w:rPr>
              <w:rFonts w:hint="eastAsia" w:ascii="宋体" w:hAnsi="宋体" w:cs="宋体"/>
              <w:b/>
              <w:bCs/>
              <w:sz w:val="28"/>
              <w:szCs w:val="28"/>
            </w:rPr>
            <w:fldChar w:fldCharType="separate"/>
          </w:r>
          <w:r>
            <w:fldChar w:fldCharType="begin"/>
          </w:r>
          <w:r>
            <w:instrText xml:space="preserve"> HYPERLINK \l "_Toc2179" </w:instrText>
          </w:r>
          <w:r>
            <w:fldChar w:fldCharType="separate"/>
          </w:r>
          <w:r>
            <w:rPr>
              <w:rFonts w:hint="eastAsia" w:ascii="宋体" w:hAnsi="宋体" w:cs="宋体"/>
              <w:b/>
              <w:bCs/>
              <w:sz w:val="28"/>
              <w:szCs w:val="28"/>
            </w:rPr>
            <w:t>第一章 竞争性磋商公告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_Toc2179 \h </w:instrText>
          </w:r>
          <w:r>
            <w:rPr>
              <w:rFonts w:hint="eastAsia" w:ascii="宋体" w:hAnsi="宋体" w:cs="宋体"/>
              <w:b/>
              <w:bCs/>
              <w:sz w:val="28"/>
              <w:szCs w:val="28"/>
            </w:rPr>
            <w:fldChar w:fldCharType="separate"/>
          </w:r>
          <w:r>
            <w:rPr>
              <w:rFonts w:hint="eastAsia" w:ascii="宋体" w:hAnsi="宋体" w:cs="宋体"/>
              <w:b/>
              <w:bCs/>
              <w:sz w:val="28"/>
              <w:szCs w:val="28"/>
            </w:rPr>
            <w:t>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8"/>
            <w:tabs>
              <w:tab w:val="right" w:leader="underscore" w:pos="9412"/>
            </w:tabs>
            <w:spacing w:line="480" w:lineRule="auto"/>
            <w:rPr>
              <w:rFonts w:ascii="宋体" w:hAnsi="宋体" w:cs="宋体"/>
              <w:b/>
              <w:bCs/>
              <w:sz w:val="28"/>
              <w:szCs w:val="28"/>
            </w:rPr>
          </w:pPr>
          <w:r>
            <w:fldChar w:fldCharType="begin"/>
          </w:r>
          <w:r>
            <w:instrText xml:space="preserve"> HYPERLINK \l "_Toc5241" </w:instrText>
          </w:r>
          <w:r>
            <w:fldChar w:fldCharType="separate"/>
          </w:r>
          <w:r>
            <w:rPr>
              <w:rFonts w:hint="eastAsia" w:ascii="宋体" w:hAnsi="宋体" w:cs="宋体"/>
              <w:b/>
              <w:bCs/>
              <w:sz w:val="28"/>
              <w:szCs w:val="28"/>
            </w:rPr>
            <w:t>第二章 磋商项目采购需求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_Toc5241 \h </w:instrText>
          </w:r>
          <w:r>
            <w:rPr>
              <w:rFonts w:hint="eastAsia" w:ascii="宋体" w:hAnsi="宋体" w:cs="宋体"/>
              <w:b/>
              <w:bCs/>
              <w:sz w:val="28"/>
              <w:szCs w:val="28"/>
            </w:rPr>
            <w:fldChar w:fldCharType="separate"/>
          </w:r>
          <w:r>
            <w:rPr>
              <w:rFonts w:hint="eastAsia" w:ascii="宋体" w:hAnsi="宋体" w:cs="宋体"/>
              <w:b/>
              <w:bCs/>
              <w:sz w:val="28"/>
              <w:szCs w:val="28"/>
            </w:rPr>
            <w:t>8</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8"/>
            <w:tabs>
              <w:tab w:val="right" w:leader="underscore" w:pos="9412"/>
            </w:tabs>
            <w:spacing w:line="480" w:lineRule="auto"/>
            <w:rPr>
              <w:rFonts w:ascii="宋体" w:hAnsi="宋体" w:cs="宋体"/>
              <w:b/>
              <w:bCs/>
              <w:sz w:val="28"/>
              <w:szCs w:val="28"/>
            </w:rPr>
          </w:pPr>
          <w:r>
            <w:fldChar w:fldCharType="begin"/>
          </w:r>
          <w:r>
            <w:instrText xml:space="preserve"> HYPERLINK \l "_Toc5677" </w:instrText>
          </w:r>
          <w:r>
            <w:fldChar w:fldCharType="separate"/>
          </w:r>
          <w:r>
            <w:rPr>
              <w:rFonts w:hint="eastAsia" w:ascii="宋体" w:hAnsi="宋体" w:cs="宋体"/>
              <w:b/>
              <w:bCs/>
              <w:sz w:val="28"/>
              <w:szCs w:val="28"/>
            </w:rPr>
            <w:t>第三章 供应商须知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_Toc5677 \h </w:instrText>
          </w:r>
          <w:r>
            <w:rPr>
              <w:rFonts w:hint="eastAsia" w:ascii="宋体" w:hAnsi="宋体" w:cs="宋体"/>
              <w:b/>
              <w:bCs/>
              <w:sz w:val="28"/>
              <w:szCs w:val="28"/>
            </w:rPr>
            <w:fldChar w:fldCharType="separate"/>
          </w:r>
          <w:r>
            <w:rPr>
              <w:rFonts w:hint="eastAsia" w:ascii="宋体" w:hAnsi="宋体" w:cs="宋体"/>
              <w:b/>
              <w:bCs/>
              <w:sz w:val="28"/>
              <w:szCs w:val="28"/>
            </w:rPr>
            <w:t>33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9"/>
            <w:tabs>
              <w:tab w:val="right" w:leader="underscore" w:pos="9412"/>
            </w:tabs>
            <w:spacing w:line="480" w:lineRule="auto"/>
            <w:ind w:left="420"/>
            <w:rPr>
              <w:rFonts w:ascii="宋体" w:hAnsi="宋体" w:cs="宋体"/>
              <w:b/>
              <w:bCs/>
              <w:sz w:val="28"/>
              <w:szCs w:val="28"/>
            </w:rPr>
          </w:pPr>
          <w:r>
            <w:fldChar w:fldCharType="begin"/>
          </w:r>
          <w:r>
            <w:instrText xml:space="preserve"> HYPERLINK \l "_Toc22052" </w:instrText>
          </w:r>
          <w:r>
            <w:fldChar w:fldCharType="separate"/>
          </w:r>
          <w:r>
            <w:rPr>
              <w:rFonts w:hint="eastAsia" w:ascii="宋体" w:hAnsi="宋体" w:cs="宋体"/>
              <w:b/>
              <w:bCs/>
              <w:sz w:val="28"/>
              <w:szCs w:val="28"/>
            </w:rPr>
            <w:t>前 附 表</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_Toc22052 \h </w:instrText>
          </w:r>
          <w:r>
            <w:rPr>
              <w:rFonts w:hint="eastAsia" w:ascii="宋体" w:hAnsi="宋体" w:cs="宋体"/>
              <w:b/>
              <w:bCs/>
              <w:sz w:val="28"/>
              <w:szCs w:val="28"/>
            </w:rPr>
            <w:fldChar w:fldCharType="separate"/>
          </w:r>
          <w:r>
            <w:rPr>
              <w:rFonts w:hint="eastAsia" w:ascii="宋体" w:hAnsi="宋体" w:cs="宋体"/>
              <w:b/>
              <w:bCs/>
              <w:sz w:val="28"/>
              <w:szCs w:val="28"/>
            </w:rPr>
            <w:t>33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9"/>
            <w:tabs>
              <w:tab w:val="right" w:leader="underscore" w:pos="9412"/>
            </w:tabs>
            <w:spacing w:line="480" w:lineRule="auto"/>
            <w:ind w:left="420"/>
            <w:rPr>
              <w:rFonts w:ascii="宋体" w:hAnsi="宋体" w:cs="宋体"/>
              <w:b/>
              <w:bCs/>
              <w:sz w:val="28"/>
              <w:szCs w:val="28"/>
            </w:rPr>
          </w:pPr>
          <w:r>
            <w:fldChar w:fldCharType="begin"/>
          </w:r>
          <w:r>
            <w:instrText xml:space="preserve"> HYPERLINK \l "_Toc31334" </w:instrText>
          </w:r>
          <w:r>
            <w:fldChar w:fldCharType="separate"/>
          </w:r>
          <w:r>
            <w:rPr>
              <w:rFonts w:hint="eastAsia" w:ascii="宋体" w:hAnsi="宋体" w:cs="宋体"/>
              <w:b/>
              <w:bCs/>
              <w:sz w:val="28"/>
              <w:szCs w:val="28"/>
            </w:rPr>
            <w:t>一、总  则</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_Toc31334 \h </w:instrText>
          </w:r>
          <w:r>
            <w:rPr>
              <w:rFonts w:hint="eastAsia" w:ascii="宋体" w:hAnsi="宋体" w:cs="宋体"/>
              <w:b/>
              <w:bCs/>
              <w:sz w:val="28"/>
              <w:szCs w:val="28"/>
            </w:rPr>
            <w:fldChar w:fldCharType="separate"/>
          </w:r>
          <w:r>
            <w:rPr>
              <w:rFonts w:hint="eastAsia" w:ascii="宋体" w:hAnsi="宋体" w:cs="宋体"/>
              <w:b/>
              <w:bCs/>
              <w:sz w:val="28"/>
              <w:szCs w:val="28"/>
            </w:rPr>
            <w:t>35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9"/>
            <w:tabs>
              <w:tab w:val="right" w:leader="underscore" w:pos="9412"/>
            </w:tabs>
            <w:spacing w:line="480" w:lineRule="auto"/>
            <w:ind w:left="420"/>
            <w:rPr>
              <w:rFonts w:ascii="宋体" w:hAnsi="宋体" w:cs="宋体"/>
              <w:b/>
              <w:bCs/>
              <w:sz w:val="28"/>
              <w:szCs w:val="28"/>
            </w:rPr>
          </w:pPr>
          <w:r>
            <w:fldChar w:fldCharType="begin"/>
          </w:r>
          <w:r>
            <w:instrText xml:space="preserve"> HYPERLINK \l "_Toc27677" </w:instrText>
          </w:r>
          <w:r>
            <w:fldChar w:fldCharType="separate"/>
          </w:r>
          <w:r>
            <w:rPr>
              <w:rFonts w:hint="eastAsia" w:ascii="宋体" w:hAnsi="宋体" w:cs="宋体"/>
              <w:b/>
              <w:bCs/>
              <w:kern w:val="44"/>
              <w:sz w:val="28"/>
              <w:szCs w:val="28"/>
            </w:rPr>
            <w:t>二、磋商文件的说明</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_Toc27677 \h </w:instrText>
          </w:r>
          <w:r>
            <w:rPr>
              <w:rFonts w:hint="eastAsia" w:ascii="宋体" w:hAnsi="宋体" w:cs="宋体"/>
              <w:b/>
              <w:bCs/>
              <w:sz w:val="28"/>
              <w:szCs w:val="28"/>
            </w:rPr>
            <w:fldChar w:fldCharType="separate"/>
          </w:r>
          <w:r>
            <w:rPr>
              <w:rFonts w:hint="eastAsia" w:ascii="宋体" w:hAnsi="宋体" w:cs="宋体"/>
              <w:b/>
              <w:bCs/>
              <w:sz w:val="28"/>
              <w:szCs w:val="28"/>
            </w:rPr>
            <w:t>36</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9"/>
            <w:tabs>
              <w:tab w:val="right" w:leader="underscore" w:pos="9412"/>
            </w:tabs>
            <w:spacing w:line="480" w:lineRule="auto"/>
            <w:ind w:left="420"/>
            <w:rPr>
              <w:rFonts w:ascii="宋体" w:hAnsi="宋体" w:cs="宋体"/>
              <w:b/>
              <w:bCs/>
              <w:sz w:val="28"/>
              <w:szCs w:val="28"/>
            </w:rPr>
          </w:pPr>
          <w:r>
            <w:fldChar w:fldCharType="begin"/>
          </w:r>
          <w:r>
            <w:instrText xml:space="preserve"> HYPERLINK \l "_Toc6832" </w:instrText>
          </w:r>
          <w:r>
            <w:fldChar w:fldCharType="separate"/>
          </w:r>
          <w:r>
            <w:rPr>
              <w:rFonts w:hint="eastAsia" w:ascii="宋体" w:hAnsi="宋体" w:cs="宋体"/>
              <w:b/>
              <w:bCs/>
              <w:kern w:val="44"/>
              <w:sz w:val="28"/>
              <w:szCs w:val="28"/>
            </w:rPr>
            <w:t>三、响应文件的提交</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_Toc6832 \h </w:instrText>
          </w:r>
          <w:r>
            <w:rPr>
              <w:rFonts w:hint="eastAsia" w:ascii="宋体" w:hAnsi="宋体" w:cs="宋体"/>
              <w:b/>
              <w:bCs/>
              <w:sz w:val="28"/>
              <w:szCs w:val="28"/>
            </w:rPr>
            <w:fldChar w:fldCharType="separate"/>
          </w:r>
          <w:r>
            <w:rPr>
              <w:rFonts w:hint="eastAsia" w:ascii="宋体" w:hAnsi="宋体" w:cs="宋体"/>
              <w:b/>
              <w:bCs/>
              <w:sz w:val="28"/>
              <w:szCs w:val="28"/>
            </w:rPr>
            <w:t>41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9"/>
            <w:tabs>
              <w:tab w:val="right" w:leader="underscore" w:pos="9412"/>
            </w:tabs>
            <w:spacing w:line="480" w:lineRule="auto"/>
            <w:ind w:left="420"/>
            <w:rPr>
              <w:rFonts w:ascii="宋体" w:hAnsi="宋体" w:cs="宋体"/>
              <w:b/>
              <w:bCs/>
              <w:sz w:val="28"/>
              <w:szCs w:val="28"/>
            </w:rPr>
          </w:pPr>
          <w:r>
            <w:fldChar w:fldCharType="begin"/>
          </w:r>
          <w:r>
            <w:instrText xml:space="preserve"> HYPERLINK \l "_Toc26182" </w:instrText>
          </w:r>
          <w:r>
            <w:fldChar w:fldCharType="separate"/>
          </w:r>
          <w:r>
            <w:rPr>
              <w:rFonts w:hint="eastAsia" w:ascii="宋体" w:hAnsi="宋体" w:cs="宋体"/>
              <w:b/>
              <w:bCs/>
              <w:kern w:val="44"/>
              <w:sz w:val="28"/>
              <w:szCs w:val="28"/>
            </w:rPr>
            <w:t>四、</w:t>
          </w:r>
          <w:r>
            <w:rPr>
              <w:rFonts w:hint="eastAsia" w:ascii="宋体" w:hAnsi="宋体" w:cs="宋体"/>
              <w:b/>
              <w:bCs/>
              <w:sz w:val="28"/>
              <w:szCs w:val="28"/>
            </w:rPr>
            <w:t>磋商</w:t>
          </w:r>
          <w:r>
            <w:rPr>
              <w:rFonts w:hint="eastAsia" w:ascii="宋体" w:hAnsi="宋体" w:cs="宋体"/>
              <w:b/>
              <w:bCs/>
              <w:spacing w:val="14"/>
              <w:sz w:val="28"/>
              <w:szCs w:val="28"/>
            </w:rPr>
            <w:t>规则、</w:t>
          </w:r>
          <w:r>
            <w:rPr>
              <w:rFonts w:hint="eastAsia" w:ascii="宋体" w:hAnsi="宋体" w:cs="宋体"/>
              <w:b/>
              <w:bCs/>
              <w:sz w:val="28"/>
              <w:szCs w:val="28"/>
            </w:rPr>
            <w:t>程序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_Toc26182 \h </w:instrText>
          </w:r>
          <w:r>
            <w:rPr>
              <w:rFonts w:hint="eastAsia" w:ascii="宋体" w:hAnsi="宋体" w:cs="宋体"/>
              <w:b/>
              <w:bCs/>
              <w:sz w:val="28"/>
              <w:szCs w:val="28"/>
            </w:rPr>
            <w:fldChar w:fldCharType="separate"/>
          </w:r>
          <w:r>
            <w:rPr>
              <w:rFonts w:hint="eastAsia" w:ascii="宋体" w:hAnsi="宋体" w:cs="宋体"/>
              <w:b/>
              <w:bCs/>
              <w:sz w:val="28"/>
              <w:szCs w:val="28"/>
            </w:rPr>
            <w:t>43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9"/>
            <w:tabs>
              <w:tab w:val="right" w:leader="underscore" w:pos="9412"/>
            </w:tabs>
            <w:spacing w:line="480" w:lineRule="auto"/>
            <w:ind w:left="420"/>
            <w:rPr>
              <w:rFonts w:ascii="宋体" w:hAnsi="宋体" w:cs="宋体"/>
              <w:b/>
              <w:bCs/>
              <w:sz w:val="28"/>
              <w:szCs w:val="28"/>
            </w:rPr>
          </w:pPr>
          <w:r>
            <w:fldChar w:fldCharType="begin"/>
          </w:r>
          <w:r>
            <w:instrText xml:space="preserve"> HYPERLINK \l "_Toc5704" </w:instrText>
          </w:r>
          <w:r>
            <w:fldChar w:fldCharType="separate"/>
          </w:r>
          <w:r>
            <w:rPr>
              <w:rFonts w:hint="eastAsia" w:ascii="宋体" w:hAnsi="宋体" w:cs="宋体"/>
              <w:b/>
              <w:bCs/>
              <w:spacing w:val="14"/>
              <w:sz w:val="28"/>
              <w:szCs w:val="28"/>
            </w:rPr>
            <w:t>五、授予合同</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_Toc5704 \h </w:instrText>
          </w:r>
          <w:r>
            <w:rPr>
              <w:rFonts w:hint="eastAsia" w:ascii="宋体" w:hAnsi="宋体" w:cs="宋体"/>
              <w:b/>
              <w:bCs/>
              <w:sz w:val="28"/>
              <w:szCs w:val="28"/>
            </w:rPr>
            <w:fldChar w:fldCharType="separate"/>
          </w:r>
          <w:r>
            <w:rPr>
              <w:rFonts w:hint="eastAsia" w:ascii="宋体" w:hAnsi="宋体" w:cs="宋体"/>
              <w:b/>
              <w:bCs/>
              <w:sz w:val="28"/>
              <w:szCs w:val="28"/>
            </w:rPr>
            <w:t>48</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9"/>
            <w:tabs>
              <w:tab w:val="right" w:leader="underscore" w:pos="9412"/>
            </w:tabs>
            <w:spacing w:line="480" w:lineRule="auto"/>
            <w:ind w:left="420"/>
            <w:rPr>
              <w:rFonts w:ascii="宋体" w:hAnsi="宋体" w:cs="宋体"/>
              <w:b/>
              <w:bCs/>
              <w:sz w:val="28"/>
              <w:szCs w:val="28"/>
            </w:rPr>
          </w:pPr>
          <w:r>
            <w:fldChar w:fldCharType="begin"/>
          </w:r>
          <w:r>
            <w:instrText xml:space="preserve"> HYPERLINK \l "_Toc17378" </w:instrText>
          </w:r>
          <w:r>
            <w:fldChar w:fldCharType="separate"/>
          </w:r>
          <w:r>
            <w:rPr>
              <w:rFonts w:hint="eastAsia" w:ascii="宋体" w:hAnsi="宋体" w:cs="宋体"/>
              <w:b/>
              <w:bCs/>
              <w:spacing w:val="14"/>
              <w:sz w:val="28"/>
              <w:szCs w:val="28"/>
            </w:rPr>
            <w:t>六、其他内容</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_Toc17378 \h </w:instrText>
          </w:r>
          <w:r>
            <w:rPr>
              <w:rFonts w:hint="eastAsia" w:ascii="宋体" w:hAnsi="宋体" w:cs="宋体"/>
              <w:b/>
              <w:bCs/>
              <w:sz w:val="28"/>
              <w:szCs w:val="28"/>
            </w:rPr>
            <w:fldChar w:fldCharType="separate"/>
          </w:r>
          <w:r>
            <w:rPr>
              <w:rFonts w:hint="eastAsia" w:ascii="宋体" w:hAnsi="宋体" w:cs="宋体"/>
              <w:b/>
              <w:bCs/>
              <w:sz w:val="28"/>
              <w:szCs w:val="28"/>
            </w:rPr>
            <w:t>49</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8"/>
            <w:tabs>
              <w:tab w:val="right" w:leader="underscore" w:pos="9412"/>
            </w:tabs>
            <w:spacing w:line="480" w:lineRule="auto"/>
            <w:rPr>
              <w:rFonts w:ascii="宋体" w:hAnsi="宋体" w:cs="宋体"/>
              <w:b/>
              <w:bCs/>
              <w:sz w:val="28"/>
              <w:szCs w:val="28"/>
            </w:rPr>
          </w:pPr>
          <w:r>
            <w:fldChar w:fldCharType="begin"/>
          </w:r>
          <w:r>
            <w:instrText xml:space="preserve"> HYPERLINK \l "_Toc24670" </w:instrText>
          </w:r>
          <w:r>
            <w:fldChar w:fldCharType="separate"/>
          </w:r>
          <w:r>
            <w:rPr>
              <w:rFonts w:hint="eastAsia" w:ascii="宋体" w:hAnsi="宋体" w:cs="宋体"/>
              <w:b/>
              <w:bCs/>
              <w:sz w:val="28"/>
              <w:szCs w:val="28"/>
            </w:rPr>
            <w:t>第四章 合同主要条款</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_Toc24670 \h </w:instrText>
          </w:r>
          <w:r>
            <w:rPr>
              <w:rFonts w:hint="eastAsia" w:ascii="宋体" w:hAnsi="宋体" w:cs="宋体"/>
              <w:b/>
              <w:bCs/>
              <w:sz w:val="28"/>
              <w:szCs w:val="28"/>
            </w:rPr>
            <w:fldChar w:fldCharType="separate"/>
          </w:r>
          <w:r>
            <w:rPr>
              <w:rFonts w:hint="eastAsia" w:ascii="宋体" w:hAnsi="宋体" w:cs="宋体"/>
              <w:b/>
              <w:bCs/>
              <w:sz w:val="28"/>
              <w:szCs w:val="28"/>
            </w:rPr>
            <w:t>50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8"/>
            <w:tabs>
              <w:tab w:val="right" w:leader="underscore" w:pos="9412"/>
            </w:tabs>
            <w:spacing w:line="480" w:lineRule="auto"/>
            <w:rPr>
              <w:rFonts w:ascii="宋体" w:hAnsi="宋体" w:cs="宋体"/>
              <w:b/>
              <w:bCs/>
              <w:sz w:val="28"/>
              <w:szCs w:val="28"/>
            </w:rPr>
          </w:pPr>
          <w:r>
            <w:fldChar w:fldCharType="begin"/>
          </w:r>
          <w:r>
            <w:instrText xml:space="preserve"> HYPERLINK \l "_Toc29371" </w:instrText>
          </w:r>
          <w:r>
            <w:fldChar w:fldCharType="separate"/>
          </w:r>
          <w:r>
            <w:rPr>
              <w:rFonts w:hint="eastAsia" w:ascii="宋体" w:hAnsi="宋体" w:cs="宋体"/>
              <w:b/>
              <w:bCs/>
              <w:sz w:val="28"/>
              <w:szCs w:val="28"/>
            </w:rPr>
            <w:t>第五章 响应文件格式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_Toc29371 \h </w:instrText>
          </w:r>
          <w:r>
            <w:rPr>
              <w:rFonts w:hint="eastAsia" w:ascii="宋体" w:hAnsi="宋体" w:cs="宋体"/>
              <w:b/>
              <w:bCs/>
              <w:sz w:val="28"/>
              <w:szCs w:val="28"/>
            </w:rPr>
            <w:fldChar w:fldCharType="separate"/>
          </w:r>
          <w:r>
            <w:rPr>
              <w:rFonts w:hint="eastAsia" w:ascii="宋体" w:hAnsi="宋体" w:cs="宋体"/>
              <w:b/>
              <w:bCs/>
              <w:sz w:val="28"/>
              <w:szCs w:val="28"/>
            </w:rPr>
            <w:t>54</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38"/>
            <w:tabs>
              <w:tab w:val="right" w:leader="underscore" w:pos="9412"/>
            </w:tabs>
            <w:spacing w:line="480" w:lineRule="auto"/>
            <w:rPr>
              <w:rFonts w:asciiTheme="minorEastAsia" w:hAnsiTheme="minorEastAsia" w:eastAsiaTheme="minorEastAsia" w:cstheme="minorEastAsia"/>
              <w:sz w:val="30"/>
              <w:szCs w:val="30"/>
            </w:rPr>
          </w:pPr>
          <w:r>
            <w:fldChar w:fldCharType="begin"/>
          </w:r>
          <w:r>
            <w:instrText xml:space="preserve"> HYPERLINK \l "_Toc32663" </w:instrText>
          </w:r>
          <w:r>
            <w:fldChar w:fldCharType="separate"/>
          </w:r>
          <w:r>
            <w:rPr>
              <w:rFonts w:hint="eastAsia" w:ascii="宋体" w:hAnsi="宋体" w:cs="宋体"/>
              <w:b/>
              <w:bCs/>
              <w:kern w:val="2"/>
              <w:sz w:val="28"/>
              <w:szCs w:val="28"/>
            </w:rPr>
            <w:t>第六章 磋商办法及评分标准</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_Toc32663 \h </w:instrText>
          </w:r>
          <w:r>
            <w:rPr>
              <w:rFonts w:hint="eastAsia" w:ascii="宋体" w:hAnsi="宋体" w:cs="宋体"/>
              <w:b/>
              <w:bCs/>
              <w:sz w:val="28"/>
              <w:szCs w:val="28"/>
            </w:rPr>
            <w:fldChar w:fldCharType="separate"/>
          </w:r>
          <w:r>
            <w:rPr>
              <w:rFonts w:hint="eastAsia" w:ascii="宋体" w:hAnsi="宋体" w:cs="宋体"/>
              <w:b/>
              <w:bCs/>
              <w:sz w:val="28"/>
              <w:szCs w:val="28"/>
            </w:rPr>
            <w:t>67</w:t>
          </w:r>
          <w:r>
            <w:rPr>
              <w:rFonts w:hint="eastAsia" w:ascii="宋体" w:hAnsi="宋体" w:cs="宋体"/>
              <w:b/>
              <w:bCs/>
              <w:sz w:val="28"/>
              <w:szCs w:val="28"/>
            </w:rPr>
            <w:fldChar w:fldCharType="end"/>
          </w:r>
          <w:r>
            <w:rPr>
              <w:rFonts w:hint="eastAsia" w:ascii="宋体" w:hAnsi="宋体" w:cs="宋体"/>
              <w:b/>
              <w:bCs/>
              <w:sz w:val="28"/>
              <w:szCs w:val="28"/>
            </w:rPr>
            <w:fldChar w:fldCharType="end"/>
          </w:r>
          <w:r>
            <w:rPr>
              <w:rFonts w:hint="eastAsia" w:ascii="宋体" w:hAnsi="宋体" w:cs="宋体"/>
              <w:b/>
              <w:bCs/>
              <w:sz w:val="28"/>
              <w:szCs w:val="28"/>
            </w:rPr>
            <w:fldChar w:fldCharType="end"/>
          </w:r>
        </w:p>
      </w:sdtContent>
    </w:sdt>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p>
    <w:p>
      <w:pPr>
        <w:numPr>
          <w:ilvl w:val="0"/>
          <w:numId w:val="1"/>
        </w:numPr>
        <w:spacing w:line="600" w:lineRule="exact"/>
        <w:jc w:val="center"/>
        <w:outlineLvl w:val="0"/>
        <w:rPr>
          <w:rFonts w:asciiTheme="minorEastAsia" w:hAnsiTheme="minorEastAsia" w:eastAsiaTheme="minorEastAsia" w:cstheme="minorEastAsia"/>
          <w:b/>
          <w:sz w:val="36"/>
          <w:szCs w:val="36"/>
        </w:rPr>
      </w:pPr>
      <w:bookmarkStart w:id="0" w:name="_Toc2179"/>
      <w:r>
        <w:rPr>
          <w:rFonts w:hint="eastAsia" w:asciiTheme="minorEastAsia" w:hAnsiTheme="minorEastAsia" w:eastAsiaTheme="minorEastAsia" w:cstheme="minorEastAsia"/>
          <w:b/>
          <w:sz w:val="36"/>
          <w:szCs w:val="36"/>
        </w:rPr>
        <w:t>竞争性磋商公告</w:t>
      </w:r>
      <w:bookmarkEnd w:id="0"/>
    </w:p>
    <w:p>
      <w:pPr>
        <w:spacing w:line="500" w:lineRule="exact"/>
        <w:jc w:val="center"/>
        <w:outlineLvl w:val="1"/>
        <w:rPr>
          <w:rFonts w:asciiTheme="minorEastAsia" w:hAnsiTheme="minorEastAsia" w:eastAsiaTheme="minorEastAsia" w:cstheme="minorEastAsia"/>
          <w:sz w:val="36"/>
          <w:szCs w:val="36"/>
        </w:rPr>
      </w:pPr>
      <w:bookmarkStart w:id="1" w:name="_Toc12865"/>
      <w:r>
        <w:rPr>
          <w:rFonts w:hint="eastAsia" w:asciiTheme="minorEastAsia" w:hAnsiTheme="minorEastAsia" w:eastAsiaTheme="minorEastAsia" w:cstheme="minorEastAsia"/>
          <w:b/>
          <w:bCs/>
          <w:kern w:val="0"/>
          <w:sz w:val="24"/>
        </w:rPr>
        <w:t>（本项目为电子磋商项目）</w:t>
      </w:r>
      <w:bookmarkEnd w:id="1"/>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根据《中华人民共和国政府采购法》、《政府采购竞争性磋商采购方式暂行办法》及相关法律、法规等规定，经湖州市财政局</w:t>
      </w:r>
      <w:r>
        <w:fldChar w:fldCharType="begin"/>
      </w:r>
      <w:r>
        <w:instrText xml:space="preserve"> HYPERLINK "https://pay.zcygov.cn/purchaseplan_front/" \l "/plan/apply/detail/2814521" </w:instrText>
      </w:r>
      <w:r>
        <w:fldChar w:fldCharType="separate"/>
      </w:r>
      <w:r>
        <w:rPr>
          <w:rFonts w:hint="eastAsia" w:asciiTheme="minorEastAsia" w:hAnsiTheme="minorEastAsia" w:eastAsiaTheme="minorEastAsia" w:cstheme="minorEastAsia"/>
          <w:kern w:val="0"/>
          <w:sz w:val="24"/>
          <w:lang w:eastAsia="zh-CN"/>
        </w:rPr>
        <w:t>临[2022]483号</w:t>
      </w:r>
      <w:r>
        <w:rPr>
          <w:rFonts w:hint="eastAsia" w:asciiTheme="minorEastAsia" w:hAnsiTheme="minorEastAsia" w:eastAsiaTheme="minorEastAsia" w:cstheme="minorEastAsia"/>
          <w:kern w:val="0"/>
          <w:sz w:val="24"/>
        </w:rPr>
        <w:fldChar w:fldCharType="end"/>
      </w:r>
      <w:r>
        <w:rPr>
          <w:rFonts w:hint="eastAsia" w:asciiTheme="minorEastAsia" w:hAnsiTheme="minorEastAsia" w:eastAsiaTheme="minorEastAsia" w:cstheme="minorEastAsia"/>
          <w:kern w:val="0"/>
          <w:sz w:val="24"/>
        </w:rPr>
        <w:t>批准，</w:t>
      </w:r>
      <w:r>
        <w:rPr>
          <w:rFonts w:hint="eastAsia" w:asciiTheme="minorEastAsia" w:hAnsiTheme="minorEastAsia" w:eastAsiaTheme="minorEastAsia" w:cstheme="minorEastAsia"/>
          <w:b/>
          <w:kern w:val="0"/>
          <w:sz w:val="24"/>
          <w:u w:val="single"/>
          <w:lang w:eastAsia="zh-CN"/>
        </w:rPr>
        <w:t>浙江同欣工程管理有限公司</w:t>
      </w:r>
      <w:r>
        <w:rPr>
          <w:rFonts w:hint="eastAsia" w:asciiTheme="minorEastAsia" w:hAnsiTheme="minorEastAsia" w:eastAsiaTheme="minorEastAsia" w:cstheme="minorEastAsia"/>
          <w:kern w:val="0"/>
          <w:sz w:val="24"/>
        </w:rPr>
        <w:t>受</w:t>
      </w:r>
      <w:r>
        <w:rPr>
          <w:rFonts w:hint="eastAsia" w:asciiTheme="minorEastAsia" w:hAnsiTheme="minorEastAsia" w:eastAsiaTheme="minorEastAsia" w:cstheme="minorEastAsia"/>
          <w:b/>
          <w:sz w:val="24"/>
          <w:u w:val="single"/>
        </w:rPr>
        <w:t>湖州市吴兴区人民政府环渚街道办事处</w:t>
      </w:r>
      <w:r>
        <w:rPr>
          <w:rFonts w:hint="eastAsia" w:asciiTheme="minorEastAsia" w:hAnsiTheme="minorEastAsia" w:eastAsiaTheme="minorEastAsia" w:cstheme="minorEastAsia"/>
          <w:kern w:val="0"/>
          <w:sz w:val="24"/>
        </w:rPr>
        <w:t>的委托，就</w:t>
      </w:r>
      <w:r>
        <w:rPr>
          <w:rFonts w:hint="eastAsia" w:asciiTheme="minorEastAsia" w:hAnsiTheme="minorEastAsia" w:eastAsiaTheme="minorEastAsia" w:cstheme="minorEastAsia"/>
          <w:kern w:val="0"/>
          <w:sz w:val="24"/>
          <w:u w:val="single"/>
        </w:rPr>
        <w:t>2022-2023年度环渚街道幸福邻里中心运营社会组织采购项目</w:t>
      </w:r>
      <w:r>
        <w:rPr>
          <w:rFonts w:hint="eastAsia" w:asciiTheme="minorEastAsia" w:hAnsiTheme="minorEastAsia" w:eastAsiaTheme="minorEastAsia" w:cstheme="minorEastAsia"/>
          <w:b/>
          <w:sz w:val="24"/>
          <w:u w:val="single"/>
        </w:rPr>
        <w:t xml:space="preserve"> </w:t>
      </w:r>
      <w:r>
        <w:rPr>
          <w:rFonts w:hint="eastAsia" w:asciiTheme="minorEastAsia" w:hAnsiTheme="minorEastAsia" w:eastAsiaTheme="minorEastAsia" w:cstheme="minorEastAsia"/>
          <w:kern w:val="0"/>
          <w:sz w:val="24"/>
        </w:rPr>
        <w:t>进行竞争性磋商，欢迎国内合格的供应商前来参加磋商。</w:t>
      </w:r>
    </w:p>
    <w:p>
      <w:pPr>
        <w:widowControl/>
        <w:tabs>
          <w:tab w:val="left" w:pos="8689"/>
        </w:tabs>
        <w:spacing w:line="440" w:lineRule="exact"/>
        <w:ind w:right="60" w:firstLine="482"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一、磋商项目编号</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同欣采字</w:t>
      </w:r>
      <w:r>
        <w:rPr>
          <w:rFonts w:hint="eastAsia" w:asciiTheme="minorEastAsia" w:hAnsiTheme="minorEastAsia" w:eastAsiaTheme="minorEastAsia" w:cstheme="minorEastAsia"/>
          <w:kern w:val="0"/>
          <w:sz w:val="24"/>
        </w:rPr>
        <w:t>[2022]-</w:t>
      </w:r>
      <w:r>
        <w:rPr>
          <w:rFonts w:hint="eastAsia" w:asciiTheme="minorEastAsia" w:hAnsiTheme="minorEastAsia" w:eastAsiaTheme="minorEastAsia" w:cstheme="minorEastAsia"/>
          <w:kern w:val="0"/>
          <w:sz w:val="24"/>
          <w:lang w:val="en-US" w:eastAsia="zh-CN"/>
        </w:rPr>
        <w:t>002</w:t>
      </w:r>
      <w:r>
        <w:rPr>
          <w:rFonts w:hint="eastAsia" w:asciiTheme="minorEastAsia" w:hAnsiTheme="minorEastAsia" w:eastAsiaTheme="minorEastAsia" w:cstheme="minorEastAsia"/>
          <w:kern w:val="0"/>
          <w:sz w:val="24"/>
        </w:rPr>
        <w:t>号</w:t>
      </w:r>
      <w:r>
        <w:rPr>
          <w:rFonts w:hint="eastAsia" w:asciiTheme="minorEastAsia" w:hAnsiTheme="minorEastAsia" w:eastAsiaTheme="minorEastAsia" w:cstheme="minorEastAsia"/>
          <w:kern w:val="0"/>
          <w:sz w:val="24"/>
        </w:rPr>
        <w:tab/>
      </w:r>
    </w:p>
    <w:p>
      <w:pPr>
        <w:snapToGrid w:val="0"/>
        <w:spacing w:line="440" w:lineRule="exact"/>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二、磋商项目概况（内容、用途、数量、简要技术要求等）</w:t>
      </w:r>
      <w:r>
        <w:rPr>
          <w:rFonts w:hint="eastAsia" w:asciiTheme="minorEastAsia" w:hAnsiTheme="minorEastAsia" w:eastAsiaTheme="minorEastAsia" w:cstheme="minorEastAsia"/>
          <w:kern w:val="0"/>
          <w:sz w:val="24"/>
        </w:rPr>
        <w:t>：</w:t>
      </w:r>
      <w:bookmarkStart w:id="2" w:name="B09_招标内容"/>
    </w:p>
    <w:tbl>
      <w:tblPr>
        <w:tblStyle w:val="22"/>
        <w:tblW w:w="4924" w:type="pct"/>
        <w:jc w:val="center"/>
        <w:tblLayout w:type="autofit"/>
        <w:tblCellMar>
          <w:top w:w="0" w:type="dxa"/>
          <w:left w:w="10" w:type="dxa"/>
          <w:bottom w:w="0" w:type="dxa"/>
          <w:right w:w="10" w:type="dxa"/>
        </w:tblCellMar>
      </w:tblPr>
      <w:tblGrid>
        <w:gridCol w:w="619"/>
        <w:gridCol w:w="2047"/>
        <w:gridCol w:w="1386"/>
        <w:gridCol w:w="843"/>
        <w:gridCol w:w="3119"/>
        <w:gridCol w:w="1275"/>
      </w:tblGrid>
      <w:tr>
        <w:tblPrEx>
          <w:tblCellMar>
            <w:top w:w="0" w:type="dxa"/>
            <w:left w:w="10" w:type="dxa"/>
            <w:bottom w:w="0" w:type="dxa"/>
            <w:right w:w="10" w:type="dxa"/>
          </w:tblCellMar>
        </w:tblPrEx>
        <w:trPr>
          <w:trHeight w:val="511" w:hRule="atLeast"/>
          <w:jc w:val="center"/>
        </w:trPr>
        <w:tc>
          <w:tcPr>
            <w:tcW w:w="333" w:type="pct"/>
            <w:tcBorders>
              <w:top w:val="single" w:color="auto" w:sz="6" w:space="0"/>
              <w:left w:val="single" w:color="auto" w:sz="6" w:space="0"/>
              <w:bottom w:val="single" w:color="auto" w:sz="6" w:space="0"/>
              <w:right w:val="single" w:color="auto" w:sz="6" w:space="0"/>
            </w:tcBorders>
            <w:vAlign w:val="center"/>
          </w:tcPr>
          <w:p>
            <w:pPr>
              <w:widowControl/>
              <w:spacing w:line="500" w:lineRule="exact"/>
              <w:ind w:left="60" w:right="60"/>
              <w:jc w:val="center"/>
              <w:rPr>
                <w:rFonts w:ascii="宋体" w:hAnsi="宋体" w:cs="宋体"/>
                <w:kern w:val="0"/>
                <w:sz w:val="24"/>
              </w:rPr>
            </w:pPr>
            <w:r>
              <w:rPr>
                <w:rFonts w:hint="eastAsia" w:ascii="宋体" w:hAnsi="宋体" w:cs="宋体"/>
                <w:kern w:val="0"/>
                <w:sz w:val="24"/>
              </w:rPr>
              <w:t>序号</w:t>
            </w:r>
          </w:p>
        </w:tc>
        <w:tc>
          <w:tcPr>
            <w:tcW w:w="1102" w:type="pct"/>
            <w:tcBorders>
              <w:top w:val="single" w:color="auto" w:sz="6" w:space="0"/>
              <w:left w:val="single" w:color="auto" w:sz="6" w:space="0"/>
              <w:bottom w:val="single" w:color="auto" w:sz="6" w:space="0"/>
              <w:right w:val="single" w:color="auto" w:sz="6" w:space="0"/>
            </w:tcBorders>
            <w:vAlign w:val="center"/>
          </w:tcPr>
          <w:p>
            <w:pPr>
              <w:widowControl/>
              <w:spacing w:line="500" w:lineRule="exact"/>
              <w:ind w:left="60" w:right="60"/>
              <w:jc w:val="center"/>
              <w:rPr>
                <w:rFonts w:ascii="宋体" w:hAnsi="宋体" w:cs="宋体"/>
                <w:kern w:val="0"/>
                <w:sz w:val="24"/>
              </w:rPr>
            </w:pPr>
            <w:r>
              <w:rPr>
                <w:rFonts w:hint="eastAsia" w:ascii="宋体" w:hAnsi="宋体" w:cs="宋体"/>
                <w:kern w:val="0"/>
                <w:sz w:val="24"/>
              </w:rPr>
              <w:t>项目名称</w:t>
            </w:r>
          </w:p>
        </w:tc>
        <w:tc>
          <w:tcPr>
            <w:tcW w:w="746" w:type="pct"/>
            <w:tcBorders>
              <w:top w:val="single" w:color="auto" w:sz="6" w:space="0"/>
              <w:left w:val="single" w:color="auto" w:sz="6" w:space="0"/>
              <w:bottom w:val="single" w:color="auto" w:sz="4" w:space="0"/>
              <w:right w:val="single" w:color="auto" w:sz="6" w:space="0"/>
            </w:tcBorders>
            <w:vAlign w:val="center"/>
          </w:tcPr>
          <w:p>
            <w:pPr>
              <w:widowControl/>
              <w:spacing w:line="500" w:lineRule="exact"/>
              <w:ind w:left="60" w:right="60"/>
              <w:jc w:val="center"/>
              <w:rPr>
                <w:rFonts w:ascii="宋体" w:hAnsi="宋体" w:cs="宋体"/>
                <w:kern w:val="0"/>
                <w:sz w:val="24"/>
              </w:rPr>
            </w:pPr>
            <w:r>
              <w:rPr>
                <w:rFonts w:hint="eastAsia" w:ascii="宋体" w:hAnsi="宋体" w:cs="宋体"/>
                <w:kern w:val="0"/>
                <w:sz w:val="24"/>
              </w:rPr>
              <w:t>服务期限</w:t>
            </w:r>
          </w:p>
        </w:tc>
        <w:tc>
          <w:tcPr>
            <w:tcW w:w="454" w:type="pct"/>
            <w:tcBorders>
              <w:top w:val="single" w:color="auto" w:sz="6" w:space="0"/>
              <w:left w:val="single" w:color="auto" w:sz="6" w:space="0"/>
              <w:bottom w:val="single" w:color="auto" w:sz="4" w:space="0"/>
              <w:right w:val="single" w:color="auto" w:sz="6" w:space="0"/>
            </w:tcBorders>
            <w:vAlign w:val="center"/>
          </w:tcPr>
          <w:p>
            <w:pPr>
              <w:widowControl/>
              <w:spacing w:line="500" w:lineRule="exact"/>
              <w:ind w:left="60" w:right="60"/>
              <w:jc w:val="center"/>
              <w:rPr>
                <w:rFonts w:ascii="宋体" w:hAnsi="宋体" w:cs="宋体"/>
                <w:kern w:val="0"/>
                <w:sz w:val="24"/>
              </w:rPr>
            </w:pPr>
            <w:r>
              <w:rPr>
                <w:rFonts w:hint="eastAsia" w:ascii="宋体" w:hAnsi="宋体" w:cs="宋体"/>
                <w:kern w:val="0"/>
                <w:sz w:val="24"/>
              </w:rPr>
              <w:t>数量</w:t>
            </w:r>
          </w:p>
        </w:tc>
        <w:tc>
          <w:tcPr>
            <w:tcW w:w="1679" w:type="pct"/>
            <w:tcBorders>
              <w:top w:val="single" w:color="auto" w:sz="6" w:space="0"/>
              <w:left w:val="single" w:color="auto" w:sz="6" w:space="0"/>
              <w:bottom w:val="single" w:color="auto" w:sz="4" w:space="0"/>
              <w:right w:val="single" w:color="auto" w:sz="4" w:space="0"/>
            </w:tcBorders>
            <w:vAlign w:val="center"/>
          </w:tcPr>
          <w:p>
            <w:pPr>
              <w:widowControl/>
              <w:spacing w:line="500" w:lineRule="exact"/>
              <w:ind w:left="60" w:right="60"/>
              <w:jc w:val="center"/>
              <w:rPr>
                <w:rFonts w:ascii="宋体" w:hAnsi="宋体" w:cs="宋体"/>
                <w:kern w:val="0"/>
                <w:sz w:val="24"/>
              </w:rPr>
            </w:pPr>
            <w:r>
              <w:rPr>
                <w:rFonts w:hint="eastAsia" w:ascii="宋体" w:hAnsi="宋体" w:cs="宋体"/>
                <w:kern w:val="0"/>
                <w:sz w:val="24"/>
              </w:rPr>
              <w:t>服务内容</w:t>
            </w:r>
          </w:p>
        </w:tc>
        <w:tc>
          <w:tcPr>
            <w:tcW w:w="687" w:type="pct"/>
            <w:tcBorders>
              <w:top w:val="single" w:color="auto" w:sz="6" w:space="0"/>
              <w:left w:val="single" w:color="auto" w:sz="4" w:space="0"/>
              <w:bottom w:val="single" w:color="auto" w:sz="4" w:space="0"/>
              <w:right w:val="single" w:color="auto" w:sz="4" w:space="0"/>
            </w:tcBorders>
            <w:vAlign w:val="center"/>
          </w:tcPr>
          <w:p>
            <w:pPr>
              <w:widowControl/>
              <w:spacing w:line="500" w:lineRule="exact"/>
              <w:ind w:left="60" w:right="60"/>
              <w:jc w:val="center"/>
              <w:rPr>
                <w:rFonts w:ascii="宋体" w:hAnsi="宋体" w:cs="宋体"/>
                <w:kern w:val="0"/>
                <w:sz w:val="24"/>
              </w:rPr>
            </w:pPr>
            <w:r>
              <w:rPr>
                <w:rFonts w:hint="eastAsia" w:ascii="宋体" w:hAnsi="宋体" w:cs="宋体"/>
                <w:kern w:val="0"/>
                <w:sz w:val="24"/>
              </w:rPr>
              <w:t>预算金额</w:t>
            </w:r>
          </w:p>
        </w:tc>
      </w:tr>
      <w:tr>
        <w:tblPrEx>
          <w:tblCellMar>
            <w:top w:w="0" w:type="dxa"/>
            <w:left w:w="10" w:type="dxa"/>
            <w:bottom w:w="0" w:type="dxa"/>
            <w:right w:w="10" w:type="dxa"/>
          </w:tblCellMar>
        </w:tblPrEx>
        <w:trPr>
          <w:trHeight w:val="982" w:hRule="atLeast"/>
          <w:jc w:val="center"/>
        </w:trPr>
        <w:tc>
          <w:tcPr>
            <w:tcW w:w="333" w:type="pct"/>
            <w:tcBorders>
              <w:top w:val="single" w:color="auto" w:sz="6" w:space="0"/>
              <w:left w:val="single" w:color="auto" w:sz="6" w:space="0"/>
              <w:bottom w:val="single" w:color="auto" w:sz="6" w:space="0"/>
              <w:right w:val="single" w:color="auto" w:sz="6" w:space="0"/>
            </w:tcBorders>
            <w:vAlign w:val="center"/>
          </w:tcPr>
          <w:p>
            <w:pPr>
              <w:widowControl/>
              <w:spacing w:line="500" w:lineRule="exact"/>
              <w:ind w:left="60" w:right="60"/>
              <w:jc w:val="center"/>
              <w:rPr>
                <w:rFonts w:ascii="宋体" w:hAnsi="宋体" w:cs="宋体"/>
                <w:kern w:val="0"/>
                <w:sz w:val="24"/>
              </w:rPr>
            </w:pPr>
            <w:r>
              <w:rPr>
                <w:rFonts w:hint="eastAsia" w:ascii="宋体" w:hAnsi="宋体" w:cs="宋体"/>
                <w:kern w:val="0"/>
                <w:sz w:val="24"/>
              </w:rPr>
              <w:t>1</w:t>
            </w:r>
          </w:p>
        </w:tc>
        <w:tc>
          <w:tcPr>
            <w:tcW w:w="1102" w:type="pct"/>
            <w:tcBorders>
              <w:top w:val="single" w:color="auto" w:sz="6" w:space="0"/>
              <w:left w:val="single" w:color="auto" w:sz="6" w:space="0"/>
              <w:bottom w:val="single" w:color="auto" w:sz="6" w:space="0"/>
              <w:right w:val="single" w:color="auto" w:sz="6" w:space="0"/>
            </w:tcBorders>
            <w:vAlign w:val="center"/>
          </w:tcPr>
          <w:p>
            <w:pPr>
              <w:widowControl/>
              <w:spacing w:line="500" w:lineRule="exact"/>
              <w:ind w:left="60" w:right="60"/>
              <w:jc w:val="center"/>
              <w:rPr>
                <w:rFonts w:ascii="宋体" w:hAnsi="宋体" w:cs="宋体"/>
                <w:kern w:val="0"/>
                <w:sz w:val="24"/>
              </w:rPr>
            </w:pPr>
            <w:r>
              <w:rPr>
                <w:rFonts w:ascii="宋体" w:hAnsi="宋体" w:cs="宋体"/>
                <w:kern w:val="0"/>
                <w:sz w:val="24"/>
              </w:rPr>
              <w:t>2022-2023年度环渚街道幸福邻里中心运营社会组织采购项目</w:t>
            </w:r>
          </w:p>
        </w:tc>
        <w:tc>
          <w:tcPr>
            <w:tcW w:w="746" w:type="pct"/>
            <w:tcBorders>
              <w:top w:val="single" w:color="auto" w:sz="6" w:space="0"/>
              <w:left w:val="single" w:color="auto" w:sz="6" w:space="0"/>
              <w:bottom w:val="single" w:color="auto" w:sz="6" w:space="0"/>
              <w:right w:val="single" w:color="auto" w:sz="6" w:space="0"/>
            </w:tcBorders>
            <w:vAlign w:val="center"/>
          </w:tcPr>
          <w:p>
            <w:pPr>
              <w:spacing w:line="500" w:lineRule="exact"/>
              <w:ind w:left="60" w:right="60"/>
              <w:jc w:val="center"/>
              <w:rPr>
                <w:rFonts w:ascii="宋体" w:hAnsi="宋体" w:cs="宋体"/>
                <w:kern w:val="0"/>
                <w:sz w:val="24"/>
              </w:rPr>
            </w:pPr>
            <w:r>
              <w:rPr>
                <w:rFonts w:hint="eastAsia" w:ascii="宋体" w:hAnsi="宋体" w:cs="宋体"/>
                <w:kern w:val="0"/>
                <w:sz w:val="24"/>
              </w:rPr>
              <w:t>2年（具体以合同签订时间为准）</w:t>
            </w:r>
          </w:p>
        </w:tc>
        <w:tc>
          <w:tcPr>
            <w:tcW w:w="454" w:type="pct"/>
            <w:tcBorders>
              <w:top w:val="single" w:color="auto" w:sz="6" w:space="0"/>
              <w:left w:val="single" w:color="auto" w:sz="6" w:space="0"/>
              <w:bottom w:val="single" w:color="auto" w:sz="6" w:space="0"/>
              <w:right w:val="single" w:color="auto" w:sz="6" w:space="0"/>
            </w:tcBorders>
            <w:vAlign w:val="center"/>
          </w:tcPr>
          <w:p>
            <w:pPr>
              <w:widowControl/>
              <w:spacing w:line="500" w:lineRule="exact"/>
              <w:ind w:right="60"/>
              <w:jc w:val="center"/>
              <w:rPr>
                <w:rFonts w:ascii="宋体" w:hAnsi="宋体" w:cs="宋体"/>
                <w:kern w:val="0"/>
                <w:sz w:val="24"/>
              </w:rPr>
            </w:pPr>
            <w:r>
              <w:rPr>
                <w:rFonts w:hint="eastAsia" w:ascii="宋体" w:hAnsi="宋体" w:cs="宋体"/>
                <w:kern w:val="0"/>
                <w:sz w:val="24"/>
              </w:rPr>
              <w:t>1</w:t>
            </w:r>
          </w:p>
        </w:tc>
        <w:tc>
          <w:tcPr>
            <w:tcW w:w="1679" w:type="pct"/>
            <w:tcBorders>
              <w:top w:val="single" w:color="auto" w:sz="6" w:space="0"/>
              <w:left w:val="single" w:color="auto" w:sz="6" w:space="0"/>
              <w:bottom w:val="single" w:color="auto" w:sz="6" w:space="0"/>
              <w:right w:val="single" w:color="auto" w:sz="4" w:space="0"/>
            </w:tcBorders>
            <w:vAlign w:val="center"/>
          </w:tcPr>
          <w:p>
            <w:pPr>
              <w:widowControl/>
              <w:spacing w:line="500" w:lineRule="exact"/>
              <w:ind w:left="60" w:right="60"/>
              <w:jc w:val="center"/>
              <w:rPr>
                <w:rFonts w:ascii="宋体" w:hAnsi="宋体" w:cs="宋体"/>
                <w:kern w:val="0"/>
                <w:sz w:val="24"/>
              </w:rPr>
            </w:pPr>
            <w:r>
              <w:rPr>
                <w:rFonts w:ascii="宋体" w:hAnsi="宋体" w:cs="宋体"/>
                <w:kern w:val="0"/>
                <w:sz w:val="24"/>
              </w:rPr>
              <w:t>幸福邻里、儿童之家、社工站、残疾人之家的运营工作。</w:t>
            </w:r>
          </w:p>
        </w:tc>
        <w:tc>
          <w:tcPr>
            <w:tcW w:w="687" w:type="pct"/>
            <w:tcBorders>
              <w:top w:val="single" w:color="auto" w:sz="6" w:space="0"/>
              <w:left w:val="single" w:color="auto" w:sz="4" w:space="0"/>
              <w:bottom w:val="single" w:color="auto" w:sz="6" w:space="0"/>
              <w:right w:val="single" w:color="auto" w:sz="4" w:space="0"/>
            </w:tcBorders>
            <w:vAlign w:val="center"/>
          </w:tcPr>
          <w:p>
            <w:pPr>
              <w:spacing w:line="500" w:lineRule="exact"/>
              <w:ind w:left="240" w:right="60" w:hanging="240" w:hangingChars="100"/>
              <w:jc w:val="center"/>
              <w:rPr>
                <w:rFonts w:ascii="宋体" w:hAnsi="宋体" w:cs="宋体"/>
                <w:kern w:val="0"/>
                <w:sz w:val="24"/>
              </w:rPr>
            </w:pPr>
            <w:r>
              <w:rPr>
                <w:rFonts w:hint="eastAsia" w:ascii="宋体" w:hAnsi="宋体" w:cs="宋体"/>
                <w:kern w:val="0"/>
                <w:sz w:val="24"/>
              </w:rPr>
              <w:t>116万元</w:t>
            </w:r>
          </w:p>
        </w:tc>
      </w:tr>
      <w:tr>
        <w:tblPrEx>
          <w:tblCellMar>
            <w:top w:w="0" w:type="dxa"/>
            <w:left w:w="10" w:type="dxa"/>
            <w:bottom w:w="0" w:type="dxa"/>
            <w:right w:w="10" w:type="dxa"/>
          </w:tblCellMar>
        </w:tblPrEx>
        <w:trPr>
          <w:trHeight w:val="982" w:hRule="atLeast"/>
          <w:jc w:val="center"/>
        </w:trPr>
        <w:tc>
          <w:tcPr>
            <w:tcW w:w="333" w:type="pct"/>
            <w:tcBorders>
              <w:top w:val="single" w:color="auto" w:sz="6" w:space="0"/>
              <w:left w:val="single" w:color="auto" w:sz="6" w:space="0"/>
              <w:bottom w:val="single" w:color="auto" w:sz="4" w:space="0"/>
              <w:right w:val="single" w:color="auto" w:sz="6" w:space="0"/>
            </w:tcBorders>
            <w:vAlign w:val="center"/>
          </w:tcPr>
          <w:p>
            <w:pPr>
              <w:widowControl/>
              <w:spacing w:line="500" w:lineRule="exact"/>
              <w:ind w:left="60" w:right="60"/>
              <w:jc w:val="center"/>
              <w:rPr>
                <w:rFonts w:ascii="宋体" w:hAnsi="宋体" w:cs="宋体"/>
                <w:kern w:val="0"/>
                <w:sz w:val="24"/>
              </w:rPr>
            </w:pPr>
          </w:p>
        </w:tc>
        <w:tc>
          <w:tcPr>
            <w:tcW w:w="4667" w:type="pct"/>
            <w:gridSpan w:val="5"/>
            <w:tcBorders>
              <w:top w:val="single" w:color="auto" w:sz="6" w:space="0"/>
              <w:left w:val="single" w:color="auto" w:sz="6" w:space="0"/>
              <w:bottom w:val="single" w:color="auto" w:sz="4" w:space="0"/>
              <w:right w:val="single" w:color="auto" w:sz="4" w:space="0"/>
            </w:tcBorders>
            <w:vAlign w:val="center"/>
          </w:tcPr>
          <w:p>
            <w:pPr>
              <w:spacing w:line="500" w:lineRule="exact"/>
              <w:ind w:left="240" w:right="60" w:hanging="240" w:hangingChars="100"/>
              <w:jc w:val="left"/>
              <w:rPr>
                <w:rFonts w:ascii="宋体" w:hAnsi="宋体" w:cs="宋体"/>
                <w:sz w:val="24"/>
                <w:lang w:bidi="ar"/>
              </w:rPr>
            </w:pPr>
            <w:r>
              <w:rPr>
                <w:rFonts w:hint="eastAsia" w:ascii="宋体" w:hAnsi="宋体" w:cs="宋体"/>
                <w:sz w:val="24"/>
                <w:lang w:bidi="ar"/>
              </w:rPr>
              <w:t>注：报价超预算价为无效报价。</w:t>
            </w:r>
          </w:p>
        </w:tc>
      </w:tr>
      <w:bookmarkEnd w:id="2"/>
    </w:tbl>
    <w:p>
      <w:pPr>
        <w:widowControl/>
        <w:tabs>
          <w:tab w:val="left" w:pos="8689"/>
        </w:tabs>
        <w:spacing w:line="440" w:lineRule="exact"/>
        <w:ind w:right="60"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三、供应商资格要求：</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2、在中国境内注册的法人机构或事业单位或在民政部门登记的从事社会工作服务的民办非企业单位。</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3、本项目不接受联合体投标。</w:t>
      </w:r>
    </w:p>
    <w:p>
      <w:pPr>
        <w:spacing w:line="44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kern w:val="0"/>
          <w:sz w:val="24"/>
        </w:rPr>
        <w:t>四、报名及获取磋商文件时间:</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1、报名及获取磋商文件时间：磋商公告发布时间至磋商截止时间(潜在供应商报名及获取磋商文件前应当在政采云电子交易平台上注册账号并登录，截止时间后不再接受潜在供应商报名及获取磋商文件)。</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次磋商文件实行网上获取，不接受供应商现场报名，供应商须登录浙江政府采购网（http://zfcg.czt.zj.gov.cn/）进入政采云系统“项目采购”模块“获取采购文件”菜单，进行网上获取磋商文件（“政采云”注册账号、密码登录系统后获取磋商文件）。</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3、免费注册网址：浙江政府采购网（供应商注册页面）：https://middle.zcygov.cn/settle-front/#/registry“政采云”，咨询电话：400-881-7190。已经注册成功的供应商无需重复注册。</w:t>
      </w:r>
    </w:p>
    <w:p>
      <w:pPr>
        <w:snapToGrid w:val="0"/>
        <w:spacing w:line="440" w:lineRule="exact"/>
        <w:ind w:firstLine="472" w:firstLineChars="196"/>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五、响应文件的递交及相关事宜：</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1、响应文件递交的截止时间（磋商截止时间，下同）：2022年</w:t>
      </w:r>
      <w:r>
        <w:rPr>
          <w:rFonts w:hint="eastAsia" w:asciiTheme="minorEastAsia" w:hAnsiTheme="minorEastAsia" w:eastAsiaTheme="minorEastAsia" w:cstheme="minorEastAsia"/>
          <w:kern w:val="0"/>
          <w:sz w:val="24"/>
          <w:lang w:val="en-US" w:eastAsia="zh-CN"/>
        </w:rPr>
        <w:t>2</w:t>
      </w:r>
      <w:r>
        <w:rPr>
          <w:rFonts w:hint="eastAsia" w:asciiTheme="minorEastAsia" w:hAnsiTheme="minorEastAsia" w:eastAsiaTheme="minorEastAsia" w:cstheme="minorEastAsia"/>
          <w:kern w:val="0"/>
          <w:sz w:val="24"/>
          <w:highlight w:val="yellow"/>
        </w:rPr>
        <w:t>月</w:t>
      </w:r>
      <w:r>
        <w:rPr>
          <w:rFonts w:hint="eastAsia" w:asciiTheme="minorEastAsia" w:hAnsiTheme="minorEastAsia" w:eastAsiaTheme="minorEastAsia" w:cstheme="minorEastAsia"/>
          <w:kern w:val="0"/>
          <w:sz w:val="24"/>
          <w:highlight w:val="yellow"/>
          <w:u w:val="single"/>
          <w:lang w:val="en-US" w:eastAsia="zh-CN"/>
        </w:rPr>
        <w:t>28</w:t>
      </w:r>
      <w:r>
        <w:rPr>
          <w:rFonts w:hint="eastAsia" w:asciiTheme="minorEastAsia" w:hAnsiTheme="minorEastAsia" w:eastAsiaTheme="minorEastAsia" w:cstheme="minorEastAsia"/>
          <w:kern w:val="0"/>
          <w:sz w:val="24"/>
          <w:highlight w:val="yellow"/>
        </w:rPr>
        <w:t>日</w:t>
      </w:r>
      <w:r>
        <w:rPr>
          <w:rFonts w:hint="eastAsia" w:asciiTheme="minorEastAsia" w:hAnsiTheme="minorEastAsia" w:eastAsiaTheme="minorEastAsia" w:cstheme="minorEastAsia"/>
          <w:kern w:val="0"/>
          <w:sz w:val="24"/>
          <w:lang w:val="en-US" w:eastAsia="zh-CN"/>
        </w:rPr>
        <w:t>13</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rPr>
        <w:t>0（北京时间）。</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2、响应文件的递交方式：</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2.1电子响应文件：按政采云平台项目采购-电子交易操作指南及本磋商文件要求制作、加密并递交。供应商应于2022年</w:t>
      </w:r>
      <w:r>
        <w:rPr>
          <w:rFonts w:hint="eastAsia" w:asciiTheme="minorEastAsia" w:hAnsiTheme="minorEastAsia" w:eastAsiaTheme="minorEastAsia" w:cstheme="minorEastAsia"/>
          <w:kern w:val="0"/>
          <w:sz w:val="24"/>
          <w:lang w:val="en-US" w:eastAsia="zh-CN"/>
        </w:rPr>
        <w:t>2</w:t>
      </w:r>
      <w:r>
        <w:rPr>
          <w:rFonts w:hint="eastAsia" w:asciiTheme="minorEastAsia" w:hAnsiTheme="minorEastAsia" w:eastAsiaTheme="minorEastAsia" w:cstheme="minorEastAsia"/>
          <w:kern w:val="0"/>
          <w:sz w:val="24"/>
          <w:highlight w:val="yellow"/>
        </w:rPr>
        <w:t>月</w:t>
      </w:r>
      <w:r>
        <w:rPr>
          <w:rFonts w:hint="eastAsia" w:asciiTheme="minorEastAsia" w:hAnsiTheme="minorEastAsia" w:eastAsiaTheme="minorEastAsia" w:cstheme="minorEastAsia"/>
          <w:kern w:val="0"/>
          <w:sz w:val="24"/>
          <w:highlight w:val="yellow"/>
          <w:u w:val="single"/>
          <w:lang w:val="en-US" w:eastAsia="zh-CN"/>
        </w:rPr>
        <w:t>28</w:t>
      </w:r>
      <w:r>
        <w:rPr>
          <w:rFonts w:hint="eastAsia" w:asciiTheme="minorEastAsia" w:hAnsiTheme="minorEastAsia" w:eastAsiaTheme="minorEastAsia" w:cstheme="minorEastAsia"/>
          <w:kern w:val="0"/>
          <w:sz w:val="24"/>
          <w:highlight w:val="yellow"/>
        </w:rPr>
        <w:t>日</w:t>
      </w:r>
      <w:r>
        <w:rPr>
          <w:rFonts w:hint="eastAsia" w:asciiTheme="minorEastAsia" w:hAnsiTheme="minorEastAsia" w:eastAsiaTheme="minorEastAsia" w:cstheme="minorEastAsia"/>
          <w:kern w:val="0"/>
          <w:sz w:val="24"/>
          <w:lang w:val="en-US" w:eastAsia="zh-CN"/>
        </w:rPr>
        <w:t>13</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rPr>
        <w:t>0（北京时间）前将制作、加密的电子版响应文件上传到政采云系统中（未准时上传的视为放弃磋商资格，作未提交响应文件处理）；</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2.2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邮寄地址为：</w:t>
      </w:r>
      <w:r>
        <w:rPr>
          <w:rFonts w:hint="eastAsia" w:asciiTheme="minorEastAsia" w:hAnsiTheme="minorEastAsia" w:eastAsiaTheme="minorEastAsia" w:cstheme="minorEastAsia"/>
          <w:kern w:val="0"/>
          <w:sz w:val="24"/>
          <w:lang w:eastAsia="zh-CN"/>
        </w:rPr>
        <w:t>浙江同欣工程管理有限公司</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湖州市腊山路298号天蓝大厦4楼408室</w:t>
      </w:r>
      <w:r>
        <w:rPr>
          <w:rFonts w:hint="eastAsia" w:asciiTheme="minorEastAsia" w:hAnsiTheme="minorEastAsia" w:eastAsiaTheme="minorEastAsia" w:cstheme="minorEastAsia"/>
          <w:kern w:val="0"/>
          <w:sz w:val="24"/>
        </w:rPr>
        <w:t>），联系电话：</w:t>
      </w:r>
      <w:r>
        <w:rPr>
          <w:rFonts w:hint="eastAsia" w:asciiTheme="minorEastAsia" w:hAnsiTheme="minorEastAsia" w:eastAsiaTheme="minorEastAsia" w:cstheme="minorEastAsia"/>
          <w:kern w:val="0"/>
          <w:sz w:val="24"/>
          <w:lang w:eastAsia="zh-CN"/>
        </w:rPr>
        <w:t>0572-2751688</w:t>
      </w:r>
      <w:r>
        <w:rPr>
          <w:rFonts w:hint="eastAsia" w:asciiTheme="minorEastAsia" w:hAnsiTheme="minorEastAsia" w:eastAsiaTheme="minorEastAsia" w:cstheme="minorEastAsia"/>
          <w:kern w:val="0"/>
          <w:sz w:val="24"/>
        </w:rPr>
        <w:t>。邮寄截止时间：供应商应于2022年</w:t>
      </w:r>
      <w:r>
        <w:rPr>
          <w:rFonts w:hint="eastAsia" w:asciiTheme="minorEastAsia" w:hAnsiTheme="minorEastAsia" w:eastAsiaTheme="minorEastAsia" w:cstheme="minorEastAsia"/>
          <w:kern w:val="0"/>
          <w:sz w:val="24"/>
          <w:lang w:val="en-US" w:eastAsia="zh-CN"/>
        </w:rPr>
        <w:t>2</w:t>
      </w:r>
      <w:r>
        <w:rPr>
          <w:rFonts w:hint="eastAsia" w:asciiTheme="minorEastAsia" w:hAnsiTheme="minorEastAsia" w:eastAsiaTheme="minorEastAsia" w:cstheme="minorEastAsia"/>
          <w:kern w:val="0"/>
          <w:sz w:val="24"/>
          <w:highlight w:val="yellow"/>
        </w:rPr>
        <w:t>月</w:t>
      </w:r>
      <w:r>
        <w:rPr>
          <w:rFonts w:hint="eastAsia" w:asciiTheme="minorEastAsia" w:hAnsiTheme="minorEastAsia" w:eastAsiaTheme="minorEastAsia" w:cstheme="minorEastAsia"/>
          <w:kern w:val="0"/>
          <w:sz w:val="24"/>
          <w:highlight w:val="yellow"/>
          <w:u w:val="single"/>
          <w:lang w:val="en-US" w:eastAsia="zh-CN"/>
        </w:rPr>
        <w:t>27</w:t>
      </w:r>
      <w:r>
        <w:rPr>
          <w:rFonts w:hint="eastAsia" w:asciiTheme="minorEastAsia" w:hAnsiTheme="minorEastAsia" w:eastAsiaTheme="minorEastAsia" w:cstheme="minorEastAsia"/>
          <w:kern w:val="0"/>
          <w:sz w:val="24"/>
          <w:highlight w:val="yellow"/>
        </w:rPr>
        <w:t>日</w:t>
      </w:r>
      <w:r>
        <w:rPr>
          <w:rFonts w:hint="eastAsia" w:asciiTheme="minorEastAsia" w:hAnsiTheme="minorEastAsia" w:eastAsiaTheme="minorEastAsia" w:cstheme="minorEastAsia"/>
          <w:kern w:val="0"/>
          <w:sz w:val="24"/>
        </w:rPr>
        <w:t>下午16:00时前准时送达，逾期不予受理。截止开标时间前，采购人由二名人员（一名接收人、一名监督人员）统一负责接收并送至专门的监控室，与磋商资料一并归档。供应商须留足响应文件邮寄时间,确保数据电子备份响应文件（U盘）于规定的时间前送达指定地点，未按时送达的，均按未提供处理。</w:t>
      </w:r>
    </w:p>
    <w:p>
      <w:pPr>
        <w:snapToGrid w:val="0"/>
        <w:spacing w:line="44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注：</w:t>
      </w:r>
      <w:r>
        <w:rPr>
          <w:rFonts w:hint="eastAsia" w:asciiTheme="minorEastAsia" w:hAnsiTheme="minorEastAsia" w:eastAsiaTheme="minorEastAsia" w:cstheme="minorEastAsia"/>
          <w:b/>
          <w:kern w:val="0"/>
          <w:sz w:val="24"/>
          <w:u w:val="single"/>
        </w:rPr>
        <w:t>1）供应商应权衡利弊考虑是否提供数据电子备份响应文件（U盘），采购人及采购代理机构不做强制性要求，若因下一条款（第3条）原因须启用数据电子备份响应文件（U盘）时，而供应商未提供的，视为放弃磋商资格，作无效标处理；2）供应商应对提供的数据电子备份响应文件（U盘）进行加密处理，若需要启用数据电子备份响应文件（U盘）时，再由供应商告知采购人及采购代理机构加密信息进行解密；3）若供应商未提供数据电子备份响应文件（U盘），磋商公告及磋商文件中关于数据电子备份响应文件（U盘）的要求及内容不再适用</w:t>
      </w:r>
      <w:r>
        <w:rPr>
          <w:rFonts w:hint="eastAsia" w:asciiTheme="minorEastAsia" w:hAnsiTheme="minorEastAsia" w:eastAsiaTheme="minorEastAsia" w:cstheme="minorEastAsia"/>
          <w:b/>
          <w:kern w:val="0"/>
          <w:sz w:val="24"/>
        </w:rPr>
        <w:t>。</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CA锁解密时间为开标当日磋商截止时间后30分钟内，各供应商须具备符合要求的CA加密后的电子响应文件、有效的CA锁进行解密，磋商截止时间止未完成上传的电子响应文件作未提交电子响应文件处理；未按磋商文件要求密封、包装的数据电子备份响应文件（U盘）将拒绝接收；整个磋商过程中若因供应商问题造成电子响应文件无法正常解密的，均认定为未提交电子响应文件；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4、供应商须在线获取CA数字证书（</w:t>
      </w:r>
      <w:r>
        <w:rPr>
          <w:rFonts w:hint="eastAsia" w:asciiTheme="minorEastAsia" w:hAnsiTheme="minorEastAsia" w:eastAsiaTheme="minorEastAsia" w:cstheme="minorEastAsia"/>
          <w:b/>
          <w:kern w:val="0"/>
          <w:sz w:val="24"/>
        </w:rPr>
        <w:t>完成CA数字证书办理预计一周左右，建议各供应商自行把握时间</w:t>
      </w:r>
      <w:r>
        <w:rPr>
          <w:rFonts w:hint="eastAsia" w:asciiTheme="minorEastAsia" w:hAnsiTheme="minorEastAsia" w:eastAsiaTheme="minorEastAsia" w:cstheme="minorEastAsia"/>
          <w:kern w:val="0"/>
          <w:sz w:val="24"/>
        </w:rPr>
        <w:t>，办理流程详见https://zfcg.czt.zj.gov.cn/），并进入“下载专区”下载“电子交易客户端”，制作响应文件。</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5、供应商须将制作、加密后的电子版响应文件于磋商截止时间前上传到政采云系统中，超过磋商截止时间上传的，均按无效标处理。</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6、供应商通过政采云平台电子投标工具制作响应文件，电子投标工具请供应商自行前往浙江省政府采购网下载并安装，（下载网址：https://zfcg.czt.zj.gov.cn/）。</w:t>
      </w:r>
    </w:p>
    <w:p>
      <w:pPr>
        <w:snapToGrid w:val="0"/>
        <w:spacing w:line="44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7、按照“不见面、少接触”的原则，本项目采取“不见面”形式进行开磋商活动,法定代表人或其授权代理人无须到场，在线响应即可（通过指定的电子邮箱、传真等）。</w:t>
      </w:r>
    </w:p>
    <w:p>
      <w:pPr>
        <w:snapToGrid w:val="0"/>
        <w:spacing w:line="440" w:lineRule="exact"/>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六、响应文件提交地点：</w:t>
      </w:r>
      <w:r>
        <w:rPr>
          <w:rFonts w:hint="eastAsia" w:asciiTheme="minorEastAsia" w:hAnsiTheme="minorEastAsia" w:eastAsiaTheme="minorEastAsia" w:cstheme="minorEastAsia"/>
          <w:sz w:val="24"/>
        </w:rPr>
        <w:t>湖州市吴兴区公共资源交易中心（湖州市吴兴区区府路1188号总部自由港E幢4楼）</w:t>
      </w:r>
      <w:r>
        <w:rPr>
          <w:rFonts w:hint="eastAsia" w:asciiTheme="minorEastAsia" w:hAnsiTheme="minorEastAsia" w:eastAsiaTheme="minorEastAsia" w:cstheme="minorEastAsia"/>
          <w:sz w:val="24"/>
          <w:highlight w:val="yellow"/>
          <w:lang w:val="en-US" w:eastAsia="zh-CN"/>
        </w:rPr>
        <w:t>403</w:t>
      </w:r>
      <w:r>
        <w:rPr>
          <w:rFonts w:hint="eastAsia" w:asciiTheme="minorEastAsia" w:hAnsiTheme="minorEastAsia" w:eastAsiaTheme="minorEastAsia" w:cstheme="minorEastAsia"/>
          <w:sz w:val="24"/>
          <w:highlight w:val="yellow"/>
        </w:rPr>
        <w:t>开标室</w:t>
      </w:r>
      <w:r>
        <w:rPr>
          <w:rFonts w:hint="eastAsia" w:asciiTheme="minorEastAsia" w:hAnsiTheme="minorEastAsia" w:eastAsiaTheme="minorEastAsia" w:cstheme="minorEastAsia"/>
          <w:sz w:val="24"/>
        </w:rPr>
        <w:t>。</w:t>
      </w:r>
    </w:p>
    <w:p>
      <w:pPr>
        <w:snapToGrid w:val="0"/>
        <w:spacing w:line="440" w:lineRule="exact"/>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七、磋商截止时间：</w:t>
      </w:r>
      <w:r>
        <w:rPr>
          <w:rFonts w:hint="eastAsia" w:asciiTheme="minorEastAsia" w:hAnsiTheme="minorEastAsia" w:eastAsiaTheme="minorEastAsia" w:cstheme="minorEastAsia"/>
          <w:kern w:val="0"/>
          <w:sz w:val="24"/>
        </w:rPr>
        <w:t>2022年</w:t>
      </w:r>
      <w:r>
        <w:rPr>
          <w:rFonts w:hint="eastAsia" w:asciiTheme="minorEastAsia" w:hAnsiTheme="minorEastAsia" w:eastAsiaTheme="minorEastAsia" w:cstheme="minorEastAsia"/>
          <w:kern w:val="0"/>
          <w:sz w:val="24"/>
          <w:lang w:val="en-US" w:eastAsia="zh-CN"/>
        </w:rPr>
        <w:t>2</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28</w:t>
      </w:r>
      <w:r>
        <w:rPr>
          <w:rFonts w:hint="eastAsia" w:asciiTheme="minorEastAsia" w:hAnsiTheme="minorEastAsia" w:eastAsiaTheme="minorEastAsia" w:cstheme="minorEastAsia"/>
          <w:kern w:val="0"/>
          <w:sz w:val="24"/>
        </w:rPr>
        <w:t>日</w:t>
      </w:r>
      <w:r>
        <w:rPr>
          <w:rFonts w:hint="eastAsia" w:asciiTheme="minorEastAsia" w:hAnsiTheme="minorEastAsia" w:eastAsiaTheme="minorEastAsia" w:cstheme="minorEastAsia"/>
          <w:kern w:val="0"/>
          <w:sz w:val="24"/>
          <w:lang w:val="en-US" w:eastAsia="zh-CN"/>
        </w:rPr>
        <w:t>13</w:t>
      </w:r>
      <w:r>
        <w:rPr>
          <w:rFonts w:hint="eastAsia" w:asciiTheme="minorEastAsia" w:hAnsiTheme="minorEastAsia" w:eastAsiaTheme="minorEastAsia" w:cstheme="minorEastAsia"/>
          <w:kern w:val="0"/>
          <w:sz w:val="24"/>
        </w:rPr>
        <w:t>:30</w:t>
      </w:r>
    </w:p>
    <w:p>
      <w:pPr>
        <w:snapToGrid w:val="0"/>
        <w:spacing w:line="440" w:lineRule="exact"/>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八、磋商地点：</w:t>
      </w:r>
      <w:r>
        <w:rPr>
          <w:rFonts w:hint="eastAsia" w:asciiTheme="minorEastAsia" w:hAnsiTheme="minorEastAsia" w:eastAsiaTheme="minorEastAsia" w:cstheme="minorEastAsia"/>
          <w:sz w:val="24"/>
        </w:rPr>
        <w:t>湖州市吴兴区公共资源交易中心（湖州市吴兴区区府路1188号总部自由港E幢4楼）</w:t>
      </w:r>
      <w:r>
        <w:rPr>
          <w:rFonts w:hint="eastAsia" w:asciiTheme="minorEastAsia" w:hAnsiTheme="minorEastAsia" w:eastAsiaTheme="minorEastAsia" w:cstheme="minorEastAsia"/>
          <w:sz w:val="24"/>
          <w:highlight w:val="yellow"/>
          <w:lang w:val="en-US" w:eastAsia="zh-CN"/>
        </w:rPr>
        <w:t>403</w:t>
      </w:r>
      <w:r>
        <w:rPr>
          <w:rFonts w:hint="eastAsia" w:asciiTheme="minorEastAsia" w:hAnsiTheme="minorEastAsia" w:eastAsiaTheme="minorEastAsia" w:cstheme="minorEastAsia"/>
          <w:sz w:val="24"/>
          <w:highlight w:val="yellow"/>
        </w:rPr>
        <w:t>开标室</w:t>
      </w:r>
      <w:r>
        <w:rPr>
          <w:rFonts w:hint="eastAsia" w:asciiTheme="minorEastAsia" w:hAnsiTheme="minorEastAsia" w:eastAsiaTheme="minorEastAsia" w:cstheme="minorEastAsia"/>
          <w:sz w:val="24"/>
        </w:rPr>
        <w:t>。未按时上传电子响应文件的视为放弃磋商资格，作未提交响应文件处理。</w:t>
      </w:r>
    </w:p>
    <w:p>
      <w:pPr>
        <w:snapToGrid w:val="0"/>
        <w:spacing w:line="440" w:lineRule="exact"/>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九、其他事项：</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项目为电子磋商项目，实行网上磋商，应按照本磋商文件及政采云平台的要求编制、加密并要求供应商通过政采云系统在线响应，磋商截止时间前须完成电子响应文件的上传，同时供应商须使用制作在线磋商响应文件时所用的CA锁，供应商在使用系统进行磋商的过程中遇到涉及平台使用的任何问题，可致电政采云平台技术支持热线咨询，联系方式：400-881-7190。其中数据电子备份响应文件（U盘）在磋商截止时间前以密封、包装的形式提供。</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2、潜在供应商已依法获取其可质疑的磋商文件的，可以对该文件提出质疑。未按照规定方式依法获取磋商文件的，不得对磋商文件提起质疑投诉。</w:t>
      </w:r>
    </w:p>
    <w:p>
      <w:pPr>
        <w:snapToGrid w:val="0"/>
        <w:spacing w:line="440" w:lineRule="exact"/>
        <w:ind w:firstLine="480" w:firstLineChars="200"/>
        <w:jc w:val="left"/>
        <w:rPr>
          <w:rFonts w:ascii="宋体" w:hAnsi="宋体" w:cs="宋体"/>
          <w:kern w:val="0"/>
          <w:sz w:val="24"/>
        </w:rPr>
      </w:pPr>
      <w:r>
        <w:rPr>
          <w:rFonts w:hint="eastAsia" w:ascii="宋体" w:hAnsi="宋体" w:cs="宋体"/>
          <w:sz w:val="24"/>
        </w:rPr>
        <w:t>3、</w:t>
      </w:r>
      <w:r>
        <w:rPr>
          <w:rFonts w:hint="eastAsia" w:ascii="宋体" w:hAnsi="宋体" w:cs="宋体"/>
          <w:kern w:val="0"/>
          <w:sz w:val="24"/>
        </w:rPr>
        <w:t>供应商对磋商文件有异议的、认为磋商文件使自己的权益受到损害的，应当在依法获取磋商文件或磋商公告期届满后1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未按规定要求提出的，则视同认可磋商文件，但法律法规及规范性文件有明确规定的除外。</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4、答疑内容是磋商文件的组成部分，并将在网上发布补充（答疑、澄清）文件，潜在供应商应自行关注网站公告，采购人不再一一通知，供应商因自身贻误行为导致磋商失效的，责任自负。</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5、参与政府采购项目的注册供应商，需登录浙江政府采购云平台（http://www.zcygov.cn）进行网上报名，尚未注册的供应商应当先在浙江政府采购云平台上申请注册，注册终审通过后再进行网上报名。</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为有效破解当前中小微企业面临的“融资难、融资贵”困局，充分发挥好政府采购扶持小微企业发展的政策功能，本项目成交供应商可凭成交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7、本项目是否专门面向中小企业采购：否。</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8、本次磋商有关信息刊登在：</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浙江政府采购网：http://zfcg.czt.zj.gov.cn/</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湖州市公共资源交易信息网：http://ggzy.huzhou.gov.cn/HZfront/-“政府采购”-“分散采购”模块。</w:t>
      </w:r>
    </w:p>
    <w:p>
      <w:pPr>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十、告知事项：</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b/>
          <w:sz w:val="24"/>
        </w:rPr>
        <w:t>现场防疫方案：</w:t>
      </w:r>
      <w:r>
        <w:rPr>
          <w:rFonts w:hint="eastAsia" w:asciiTheme="minorEastAsia" w:hAnsiTheme="minorEastAsia" w:eastAsiaTheme="minorEastAsia" w:cstheme="minorEastAsia"/>
          <w:sz w:val="24"/>
        </w:rPr>
        <w:t>做好现场防疫措施，加强采购活动场所防护：一是建立登记问询制度。采购人会同交易中心按照疫情防控一级响应的有关要求，做好开磋商活动现场人员信息登记、体温检测、口罩佩戴手部卫生消毒等各项工作，并询问近14 天内的旅行史特别是湖北及较重疫区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参加磋商的人员，请自觉做好个人防护工作，必须全程佩戴口罩（自备），听从交易中心工作人员引导，必须提供“一证一码”，即：身份证、“湖州健康码”（个人支付宝或浙里办APP中申领），主动配合做好体温测量等各项疫情防控措施。供应商若为省外的，供应商代表在持有“湖州健康码”的同时，须在支付宝APP在线申请入浙通行申报。</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3、“湖州健康码”显示为绿色可进入交易中心，“湖州健康码”显示为黄色、红色或者现场测量体温高于37.2℃且不符合防控管理要求的人员，一律谢绝进入交易中心参加开标活动；</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4、所有进入湖州市公共资源交易中心的相关人员应自觉遵守国家以及省、市、区有关疫情防控的其他规定。</w:t>
      </w:r>
    </w:p>
    <w:p>
      <w:pPr>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十一、业务咨询：</w:t>
      </w:r>
    </w:p>
    <w:p>
      <w:pPr>
        <w:spacing w:line="440" w:lineRule="exact"/>
        <w:ind w:firstLine="480" w:firstLineChars="200"/>
        <w:outlineLvl w:val="1"/>
        <w:rPr>
          <w:rFonts w:hint="eastAsia" w:asciiTheme="minorEastAsia" w:hAnsiTheme="minorEastAsia" w:eastAsiaTheme="minorEastAsia" w:cstheme="minorEastAsia"/>
          <w:sz w:val="24"/>
          <w:lang w:eastAsia="zh-CN"/>
        </w:rPr>
      </w:pPr>
      <w:bookmarkStart w:id="3" w:name="_Toc18946"/>
      <w:r>
        <w:rPr>
          <w:rFonts w:hint="eastAsia" w:asciiTheme="minorEastAsia" w:hAnsiTheme="minorEastAsia" w:eastAsiaTheme="minorEastAsia" w:cstheme="minorEastAsia"/>
          <w:sz w:val="24"/>
        </w:rPr>
        <w:t>1、采购代理机构名称：</w:t>
      </w:r>
      <w:bookmarkEnd w:id="3"/>
      <w:r>
        <w:rPr>
          <w:rFonts w:hint="eastAsia" w:asciiTheme="minorEastAsia" w:hAnsiTheme="minorEastAsia" w:eastAsiaTheme="minorEastAsia" w:cstheme="minorEastAsia"/>
          <w:sz w:val="24"/>
          <w:lang w:eastAsia="zh-CN"/>
        </w:rPr>
        <w:t>浙江同欣工程管理有限公司</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联系人：敖鑫              联系电话：</w:t>
      </w:r>
      <w:r>
        <w:rPr>
          <w:rFonts w:hint="eastAsia" w:asciiTheme="minorEastAsia" w:hAnsiTheme="minorEastAsia" w:eastAsiaTheme="minorEastAsia" w:cstheme="minorEastAsia"/>
          <w:sz w:val="24"/>
          <w:lang w:eastAsia="zh-CN"/>
        </w:rPr>
        <w:t>0572-2751688</w:t>
      </w:r>
      <w:r>
        <w:rPr>
          <w:rFonts w:hint="eastAsia" w:asciiTheme="minorEastAsia" w:hAnsiTheme="minorEastAsia" w:eastAsiaTheme="minorEastAsia" w:cstheme="minorEastAsia"/>
          <w:sz w:val="24"/>
        </w:rPr>
        <w:t>、18767201818</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质疑函接收人：陆丽娟      联系电话：13867299941</w:t>
      </w:r>
    </w:p>
    <w:p>
      <w:pPr>
        <w:spacing w:line="440" w:lineRule="exact"/>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lang w:eastAsia="zh-CN"/>
        </w:rPr>
        <w:t>湖州市腊山路298号天蓝大厦4楼408室</w:t>
      </w:r>
    </w:p>
    <w:p>
      <w:pPr>
        <w:snapToGrid w:val="0"/>
        <w:spacing w:line="440" w:lineRule="exact"/>
        <w:ind w:firstLine="480" w:firstLineChars="200"/>
        <w:outlineLvl w:val="1"/>
        <w:rPr>
          <w:rFonts w:asciiTheme="minorEastAsia" w:hAnsiTheme="minorEastAsia" w:eastAsiaTheme="minorEastAsia" w:cstheme="minorEastAsia"/>
          <w:sz w:val="24"/>
        </w:rPr>
      </w:pPr>
      <w:bookmarkStart w:id="4" w:name="_Toc6531"/>
      <w:r>
        <w:rPr>
          <w:rFonts w:hint="eastAsia" w:asciiTheme="minorEastAsia" w:hAnsiTheme="minorEastAsia" w:eastAsiaTheme="minorEastAsia" w:cstheme="minorEastAsia"/>
          <w:sz w:val="24"/>
        </w:rPr>
        <w:t>2、采购人名称：湖州市吴兴区人民政府环渚街道办事处</w:t>
      </w:r>
      <w:bookmarkEnd w:id="4"/>
      <w:r>
        <w:rPr>
          <w:rFonts w:hint="eastAsia" w:asciiTheme="minorEastAsia" w:hAnsiTheme="minorEastAsia" w:eastAsiaTheme="minorEastAsia" w:cstheme="minorEastAsia"/>
          <w:sz w:val="24"/>
        </w:rPr>
        <w:t xml:space="preserve">                    </w:t>
      </w:r>
    </w:p>
    <w:p>
      <w:pPr>
        <w:snapToGrid w:val="0"/>
        <w:spacing w:line="440" w:lineRule="exact"/>
        <w:ind w:firstLine="480" w:firstLineChars="200"/>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highlight w:val="none"/>
          <w:lang w:val="en-US" w:eastAsia="zh-CN"/>
        </w:rPr>
        <w:t>李秀明</w:t>
      </w:r>
      <w:r>
        <w:rPr>
          <w:rFonts w:hint="eastAsia" w:asciiTheme="minorEastAsia" w:hAnsiTheme="minorEastAsia" w:eastAsiaTheme="minorEastAsia" w:cstheme="minorEastAsia"/>
          <w:sz w:val="24"/>
          <w:highlight w:val="none"/>
        </w:rPr>
        <w:t xml:space="preserve">             联系电话：</w:t>
      </w:r>
      <w:r>
        <w:rPr>
          <w:rFonts w:hint="eastAsia" w:asciiTheme="minorEastAsia" w:hAnsiTheme="minorEastAsia" w:eastAsiaTheme="minorEastAsia" w:cstheme="minorEastAsia"/>
          <w:sz w:val="24"/>
          <w:highlight w:val="none"/>
          <w:lang w:val="en-US" w:eastAsia="zh-CN"/>
        </w:rPr>
        <w:t>13905827744</w:t>
      </w:r>
    </w:p>
    <w:p>
      <w:pPr>
        <w:snapToGrid w:val="0"/>
        <w:spacing w:line="440" w:lineRule="exact"/>
        <w:ind w:firstLine="480" w:firstLineChars="200"/>
        <w:outlineLvl w:val="1"/>
        <w:rPr>
          <w:rFonts w:asciiTheme="minorEastAsia" w:hAnsiTheme="minorEastAsia" w:eastAsiaTheme="minorEastAsia" w:cstheme="minorEastAsia"/>
          <w:sz w:val="24"/>
        </w:rPr>
      </w:pPr>
      <w:bookmarkStart w:id="5" w:name="_Toc9638"/>
      <w:r>
        <w:rPr>
          <w:rFonts w:hint="eastAsia" w:asciiTheme="minorEastAsia" w:hAnsiTheme="minorEastAsia" w:eastAsiaTheme="minorEastAsia" w:cstheme="minorEastAsia"/>
          <w:sz w:val="24"/>
        </w:rPr>
        <w:t>3、政府采购行政监管及投诉受理部门：湖州市吴兴区财政局</w:t>
      </w:r>
      <w:bookmarkEnd w:id="5"/>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联系人：沈超               联系电话：0572-2289702</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地址：湖州市吴兴区吴兴大道1号</w:t>
      </w:r>
    </w:p>
    <w:p>
      <w:pPr>
        <w:snapToGrid w:val="0"/>
        <w:spacing w:line="440" w:lineRule="exact"/>
        <w:ind w:left="359" w:leftChars="171" w:firstLine="480" w:firstLineChars="200"/>
        <w:rPr>
          <w:rFonts w:asciiTheme="minorEastAsia" w:hAnsiTheme="minorEastAsia" w:eastAsiaTheme="minorEastAsia" w:cstheme="minorEastAsia"/>
          <w:sz w:val="24"/>
        </w:rPr>
      </w:pPr>
    </w:p>
    <w:p>
      <w:pPr>
        <w:snapToGrid w:val="0"/>
        <w:spacing w:line="440" w:lineRule="exact"/>
        <w:ind w:firstLine="780" w:firstLineChars="325"/>
        <w:rPr>
          <w:rFonts w:asciiTheme="minorEastAsia" w:hAnsiTheme="minorEastAsia" w:eastAsiaTheme="minorEastAsia" w:cstheme="minorEastAsia"/>
          <w:sz w:val="24"/>
        </w:rPr>
      </w:pPr>
    </w:p>
    <w:p>
      <w:pPr>
        <w:snapToGrid w:val="0"/>
        <w:spacing w:line="440" w:lineRule="exact"/>
        <w:ind w:firstLine="780" w:firstLineChars="325"/>
        <w:jc w:val="right"/>
        <w:rPr>
          <w:rFonts w:asciiTheme="minorEastAsia" w:hAnsiTheme="minorEastAsia" w:eastAsiaTheme="minorEastAsia" w:cstheme="minorEastAsia"/>
          <w:sz w:val="24"/>
        </w:rPr>
      </w:pPr>
    </w:p>
    <w:p>
      <w:pPr>
        <w:snapToGrid w:val="0"/>
        <w:spacing w:line="440" w:lineRule="exact"/>
        <w:ind w:left="238" w:right="480"/>
        <w:jc w:val="righ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湖州市吴兴区人民政府环渚街道办事处</w:t>
      </w:r>
    </w:p>
    <w:p>
      <w:pPr>
        <w:snapToGrid w:val="0"/>
        <w:spacing w:line="440" w:lineRule="exact"/>
        <w:ind w:left="238" w:right="480"/>
        <w:jc w:val="right"/>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lang w:eastAsia="zh-CN"/>
        </w:rPr>
        <w:t>浙江同欣工程管理有限公司</w:t>
      </w:r>
    </w:p>
    <w:p>
      <w:pPr>
        <w:wordWrap w:val="0"/>
        <w:snapToGrid w:val="0"/>
        <w:spacing w:line="440" w:lineRule="exact"/>
        <w:ind w:left="238" w:right="480"/>
        <w:jc w:val="right"/>
        <w:rPr>
          <w:rFonts w:asciiTheme="minorEastAsia" w:hAnsiTheme="minorEastAsia" w:eastAsiaTheme="minorEastAsia" w:cstheme="minorEastAsia"/>
          <w:bCs/>
          <w:sz w:val="30"/>
          <w:szCs w:val="30"/>
        </w:rPr>
        <w:sectPr>
          <w:footerReference r:id="rId5" w:type="first"/>
          <w:headerReference r:id="rId3" w:type="default"/>
          <w:footerReference r:id="rId4" w:type="default"/>
          <w:pgSz w:w="11906" w:h="16838"/>
          <w:pgMar w:top="1134" w:right="1247" w:bottom="1134" w:left="1247" w:header="113" w:footer="737" w:gutter="0"/>
          <w:cols w:space="720" w:num="1"/>
          <w:titlePg/>
          <w:docGrid w:linePitch="312" w:charSpace="0"/>
        </w:sectPr>
      </w:pPr>
      <w:r>
        <w:rPr>
          <w:rFonts w:hint="eastAsia" w:asciiTheme="minorEastAsia" w:hAnsiTheme="minorEastAsia" w:eastAsiaTheme="minorEastAsia" w:cstheme="minorEastAsia"/>
          <w:bCs/>
          <w:sz w:val="24"/>
        </w:rPr>
        <w:t>2022年1月</w:t>
      </w:r>
      <w:r>
        <w:rPr>
          <w:rFonts w:hint="eastAsia" w:asciiTheme="minorEastAsia" w:hAnsiTheme="minorEastAsia" w:eastAsiaTheme="minorEastAsia" w:cstheme="minorEastAsia"/>
          <w:bCs/>
          <w:sz w:val="24"/>
          <w:highlight w:val="yellow"/>
          <w:lang w:val="en-US" w:eastAsia="zh-CN"/>
        </w:rPr>
        <w:t>27</w:t>
      </w:r>
      <w:r>
        <w:rPr>
          <w:rFonts w:hint="eastAsia" w:asciiTheme="minorEastAsia" w:hAnsiTheme="minorEastAsia" w:eastAsiaTheme="minorEastAsia" w:cstheme="minorEastAsia"/>
          <w:bCs/>
          <w:sz w:val="24"/>
          <w:highlight w:val="yellow"/>
        </w:rPr>
        <w:t>日</w:t>
      </w:r>
    </w:p>
    <w:p>
      <w:pPr>
        <w:pStyle w:val="7"/>
        <w:spacing w:line="460" w:lineRule="exact"/>
        <w:jc w:val="center"/>
        <w:rPr>
          <w:rFonts w:asciiTheme="minorEastAsia" w:hAnsiTheme="minorEastAsia" w:eastAsiaTheme="minorEastAsia" w:cstheme="minorEastAsia"/>
          <w:sz w:val="36"/>
          <w:szCs w:val="36"/>
        </w:rPr>
      </w:pPr>
      <w:bookmarkStart w:id="6" w:name="_Toc5241"/>
      <w:bookmarkStart w:id="7" w:name="_Toc452995894"/>
      <w:r>
        <w:rPr>
          <w:rFonts w:hint="eastAsia" w:asciiTheme="minorEastAsia" w:hAnsiTheme="minorEastAsia" w:eastAsiaTheme="minorEastAsia" w:cstheme="minorEastAsia"/>
          <w:sz w:val="36"/>
          <w:szCs w:val="36"/>
        </w:rPr>
        <w:t>第二章  磋商项目采购需求</w:t>
      </w:r>
      <w:bookmarkEnd w:id="6"/>
    </w:p>
    <w:p>
      <w:pPr>
        <w:spacing w:line="460" w:lineRule="exact"/>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sz w:val="24"/>
        </w:rPr>
        <w:t>一、项目编号：</w:t>
      </w:r>
      <w:r>
        <w:rPr>
          <w:rFonts w:hint="eastAsia" w:asciiTheme="minorEastAsia" w:hAnsiTheme="minorEastAsia" w:eastAsiaTheme="minorEastAsia" w:cstheme="minorEastAsia"/>
          <w:b/>
          <w:bCs/>
          <w:sz w:val="24"/>
          <w:lang w:eastAsia="zh-CN"/>
        </w:rPr>
        <w:t>同欣采字[2022]-002号</w:t>
      </w:r>
    </w:p>
    <w:p>
      <w:pPr>
        <w:spacing w:line="46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二、采购人名称：湖州市吴兴区人民政府环渚街道办事处</w:t>
      </w:r>
    </w:p>
    <w:p>
      <w:pPr>
        <w:spacing w:line="46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三、采购项目：2022-2023年度环渚街道幸福邻里中心运营社会组织采购项目 </w:t>
      </w:r>
    </w:p>
    <w:p>
      <w:pPr>
        <w:spacing w:line="46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四、采购预算：58万元每年，两年116万元</w:t>
      </w:r>
    </w:p>
    <w:p>
      <w:pPr>
        <w:spacing w:line="46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五、采购内容：</w:t>
      </w:r>
    </w:p>
    <w:p>
      <w:pPr>
        <w:spacing w:line="440" w:lineRule="exact"/>
        <w:ind w:firstLine="480" w:firstLineChars="200"/>
        <w:jc w:val="left"/>
        <w:outlineLvl w:val="0"/>
        <w:rPr>
          <w:rFonts w:ascii="宋体" w:hAnsi="宋体" w:cs="宋体"/>
          <w:sz w:val="24"/>
        </w:rPr>
      </w:pPr>
      <w:r>
        <w:rPr>
          <w:rFonts w:hint="eastAsia" w:ascii="宋体" w:hAnsi="宋体" w:cs="宋体"/>
          <w:bCs/>
          <w:sz w:val="24"/>
        </w:rPr>
        <w:t>1、幸福邻里中心开展的服务要遵循社会工作专业理论和方法，服务内容分为基本服务和个性化服务两个方面。其中，基本服务是指服务居民、协商议事、组织培育三大类，具体为：链接辖区资源、激发社会活力，运用社工方法开展老年人服务、青少年服务、妇女儿童服务、新居民服务、残障康复服务、家庭服务、文化服务等各类服务，重点关注并服务区域内的困难家庭、边缘家庭、单亲家庭；配合有关方面，对城乡社区的公共事务、公益事业、涉及社区发展和群众利益的事项，引导居民有序参与协商议事，做到每半个月开展一次参于社区议事，每季度做一次专题课件，并形成成功案例；培育发展社会组织，组建3-4个各类志愿服务队伍，组织居民开展自助互助服务。个性化服务是指通过承接项目的形式，做好合约以外的走访、宣传、调查摸底、活动组织策划等工作。社区级幸福邻里中心运营主体应制定社会组织情况统计表及来访居民城需求信息表，每年建立社会组织及居民需求信息档案不少于200份。</w:t>
      </w:r>
    </w:p>
    <w:p>
      <w:pPr>
        <w:rPr>
          <w:rFonts w:ascii="宋体" w:hAnsi="宋体" w:cs="宋体"/>
          <w:bCs/>
          <w:sz w:val="24"/>
        </w:rPr>
      </w:pPr>
      <w:r>
        <w:rPr>
          <w:rFonts w:hint="eastAsia" w:ascii="宋体" w:hAnsi="宋体" w:cs="宋体"/>
          <w:sz w:val="24"/>
        </w:rPr>
        <w:t xml:space="preserve">   </w:t>
      </w:r>
      <w:r>
        <w:rPr>
          <w:rFonts w:hint="eastAsia" w:ascii="宋体" w:hAnsi="宋体" w:cs="宋体"/>
          <w:bCs/>
          <w:sz w:val="24"/>
        </w:rPr>
        <w:t xml:space="preserve"> 1.1日常管理和维护</w:t>
      </w:r>
    </w:p>
    <w:p>
      <w:pPr>
        <w:pStyle w:val="3"/>
        <w:snapToGrid w:val="0"/>
        <w:spacing w:line="396" w:lineRule="exact"/>
        <w:ind w:firstLine="480"/>
        <w:rPr>
          <w:rFonts w:ascii="宋体" w:eastAsia="宋体" w:cs="宋体"/>
          <w:bCs/>
          <w:sz w:val="24"/>
        </w:rPr>
      </w:pPr>
      <w:r>
        <w:rPr>
          <w:rFonts w:hint="eastAsia" w:ascii="宋体" w:eastAsia="宋体" w:cs="宋体"/>
          <w:bCs/>
          <w:sz w:val="24"/>
        </w:rPr>
        <w:t>管理和维护服务设施。保持环境整洁、美观。</w:t>
      </w:r>
    </w:p>
    <w:p>
      <w:pPr>
        <w:pStyle w:val="3"/>
        <w:snapToGrid w:val="0"/>
        <w:spacing w:line="396" w:lineRule="exact"/>
        <w:ind w:firstLine="480"/>
        <w:rPr>
          <w:rFonts w:ascii="宋体" w:eastAsia="宋体" w:cs="宋体"/>
          <w:bCs/>
          <w:sz w:val="24"/>
        </w:rPr>
      </w:pPr>
      <w:r>
        <w:rPr>
          <w:rFonts w:hint="eastAsia" w:ascii="宋体" w:eastAsia="宋体" w:cs="宋体"/>
          <w:bCs/>
          <w:sz w:val="24"/>
        </w:rPr>
        <w:t>1.2资讯提供与转介服务</w:t>
      </w:r>
    </w:p>
    <w:p>
      <w:pPr>
        <w:pStyle w:val="3"/>
        <w:snapToGrid w:val="0"/>
        <w:spacing w:line="396" w:lineRule="exact"/>
        <w:ind w:firstLine="480"/>
        <w:rPr>
          <w:rFonts w:ascii="宋体" w:eastAsia="宋体" w:cs="宋体"/>
          <w:bCs/>
          <w:sz w:val="24"/>
        </w:rPr>
      </w:pPr>
      <w:r>
        <w:rPr>
          <w:rFonts w:hint="eastAsia" w:ascii="宋体" w:eastAsia="宋体" w:cs="宋体"/>
          <w:bCs/>
          <w:sz w:val="24"/>
        </w:rPr>
        <w:t>提供资讯接待、咨询服务，对前来寻求服务或帮助的居民提供接待、指引服务。对于本中心暂未能承担的专业服务需求，提供联络、指引其到相应部门或专业机构等转介服务。</w:t>
      </w:r>
    </w:p>
    <w:p>
      <w:pPr>
        <w:pStyle w:val="4"/>
        <w:spacing w:line="460" w:lineRule="exact"/>
        <w:ind w:firstLine="480" w:firstLineChars="200"/>
        <w:rPr>
          <w:rFonts w:cs="宋体"/>
          <w:sz w:val="24"/>
        </w:rPr>
      </w:pPr>
      <w:r>
        <w:rPr>
          <w:rFonts w:hint="eastAsia" w:cs="宋体"/>
          <w:bCs/>
          <w:sz w:val="24"/>
        </w:rPr>
        <w:t>1.3老年人服务：开展多元化老年人活动。引导老年人积极参与群体生活及区域内事务，促进老年人与社会的联系、提供老年人心理健康服务。</w:t>
      </w:r>
    </w:p>
    <w:p>
      <w:pPr>
        <w:pStyle w:val="4"/>
        <w:spacing w:line="460" w:lineRule="exact"/>
        <w:ind w:firstLine="480" w:firstLineChars="200"/>
        <w:rPr>
          <w:rFonts w:cs="宋体"/>
          <w:bCs/>
          <w:sz w:val="24"/>
        </w:rPr>
      </w:pPr>
      <w:r>
        <w:rPr>
          <w:rFonts w:hint="eastAsia" w:cs="宋体"/>
          <w:bCs/>
          <w:sz w:val="24"/>
        </w:rPr>
        <w:t>1.4青少年服务：为青少年提供心理评估、发展性心理辅导、专业心理咨询、行为训练、职业规划辅导、亲子关系支持、人际关系协调及危机干预等服务；学习辅导。</w:t>
      </w:r>
    </w:p>
    <w:p>
      <w:pPr>
        <w:pStyle w:val="4"/>
        <w:spacing w:line="460" w:lineRule="exact"/>
        <w:ind w:firstLine="480" w:firstLineChars="200"/>
        <w:rPr>
          <w:rFonts w:cs="宋体"/>
          <w:sz w:val="24"/>
        </w:rPr>
      </w:pPr>
      <w:r>
        <w:rPr>
          <w:rFonts w:hint="eastAsia" w:cs="宋体"/>
          <w:bCs/>
          <w:sz w:val="24"/>
        </w:rPr>
        <w:t>1.5残障康复服务：为残疾人士提供康复服务、就业及职业培训、文体活动、心理评估、心理咨询、社会融入、资源链接等支援服务，为有条件的残障人士提供学业服务、就业及劳动空间。对重度残疾人每月走访一次，其他残疾人每季组织一次活动，做到全年每位残疾人都享受一次关爱。</w:t>
      </w:r>
    </w:p>
    <w:p>
      <w:pPr>
        <w:pStyle w:val="4"/>
        <w:spacing w:line="460" w:lineRule="exact"/>
        <w:ind w:firstLine="480" w:firstLineChars="200"/>
        <w:rPr>
          <w:rFonts w:cs="宋体"/>
          <w:bCs/>
          <w:sz w:val="24"/>
        </w:rPr>
      </w:pPr>
      <w:r>
        <w:rPr>
          <w:rFonts w:hint="eastAsia" w:cs="宋体"/>
          <w:bCs/>
          <w:sz w:val="24"/>
        </w:rPr>
        <w:t>1.6家庭服务：提供危机介入、婚姻家庭关系调处、亲子教育、妇女儿童服务、家暴防治宣传、健康生活管理等服务。</w:t>
      </w:r>
    </w:p>
    <w:p>
      <w:pPr>
        <w:spacing w:line="400" w:lineRule="exact"/>
        <w:ind w:firstLine="480" w:firstLineChars="200"/>
        <w:rPr>
          <w:rFonts w:ascii="宋体" w:hAnsi="宋体" w:cs="宋体"/>
          <w:sz w:val="24"/>
        </w:rPr>
      </w:pPr>
      <w:r>
        <w:rPr>
          <w:rFonts w:hint="eastAsia" w:ascii="宋体" w:hAnsi="宋体" w:cs="宋体"/>
          <w:bCs/>
          <w:sz w:val="24"/>
        </w:rPr>
        <w:t>1.7文化服务：培育和践行社会主义核心价值观，大力弘扬优秀传统文化，保护和传承城市社区的文化遗产和城市记忆，挖掘传统文化和历史人文资源，塑造心口相传的城乡社区精神。发现和宣传服务区域内的道德模范、好人好事，营造崇德向善的风尚。</w:t>
      </w:r>
      <w:r>
        <w:rPr>
          <w:rFonts w:hint="eastAsia" w:ascii="宋体" w:hAnsi="宋体" w:cs="宋体"/>
          <w:sz w:val="24"/>
        </w:rPr>
        <w:t>每年至少开展一次道德模范、好人好事等相关评比，文化活动每年至少开展一次大型的邻里运动会和文艺晚会。</w:t>
      </w:r>
    </w:p>
    <w:p>
      <w:pPr>
        <w:pStyle w:val="19"/>
        <w:ind w:firstLine="480"/>
        <w:rPr>
          <w:rFonts w:ascii="宋体" w:hAnsi="宋体" w:cs="宋体"/>
          <w:sz w:val="24"/>
        </w:rPr>
      </w:pPr>
    </w:p>
    <w:p>
      <w:pPr>
        <w:pStyle w:val="3"/>
        <w:snapToGrid w:val="0"/>
        <w:spacing w:line="396" w:lineRule="exact"/>
        <w:ind w:firstLine="480"/>
        <w:rPr>
          <w:rFonts w:ascii="宋体" w:eastAsia="宋体" w:cs="宋体"/>
          <w:bCs/>
          <w:sz w:val="24"/>
        </w:rPr>
      </w:pPr>
      <w:r>
        <w:rPr>
          <w:rFonts w:hint="eastAsia" w:ascii="宋体" w:eastAsia="宋体" w:cs="宋体"/>
          <w:bCs/>
          <w:sz w:val="24"/>
        </w:rPr>
        <w:t>1.8社区治理：每季度至少开展一次社区治理协商议事会，并根据社区建设发展需要，适时牵头组织专题民情协商会。</w:t>
      </w:r>
    </w:p>
    <w:p>
      <w:pPr>
        <w:pStyle w:val="3"/>
        <w:snapToGrid w:val="0"/>
        <w:spacing w:line="396" w:lineRule="exact"/>
        <w:ind w:firstLine="480"/>
        <w:rPr>
          <w:rFonts w:ascii="宋体" w:eastAsia="宋体" w:cs="宋体"/>
          <w:bCs/>
          <w:sz w:val="24"/>
        </w:rPr>
      </w:pPr>
      <w:r>
        <w:rPr>
          <w:rFonts w:hint="eastAsia" w:ascii="宋体" w:eastAsia="宋体" w:cs="宋体"/>
          <w:bCs/>
          <w:sz w:val="24"/>
        </w:rPr>
        <w:t>1.9培育社会组织</w:t>
      </w:r>
    </w:p>
    <w:p>
      <w:pPr>
        <w:pStyle w:val="3"/>
        <w:snapToGrid w:val="0"/>
        <w:spacing w:line="396" w:lineRule="exact"/>
        <w:ind w:firstLine="480"/>
        <w:rPr>
          <w:rFonts w:ascii="宋体" w:eastAsia="宋体" w:cs="宋体"/>
          <w:bCs/>
          <w:sz w:val="24"/>
        </w:rPr>
      </w:pPr>
      <w:r>
        <w:rPr>
          <w:rFonts w:hint="eastAsia" w:ascii="宋体" w:eastAsia="宋体" w:cs="宋体"/>
          <w:bCs/>
          <w:sz w:val="24"/>
        </w:rPr>
        <w:t>通过多种形式开展社区调查，立足服务区域的实际和需求，培育和发展社会组织和志愿服务队伍， 组织居民开展自助、互助服务活动，丰富居民生活，提高居民素质，形成良好的社区服务氛围，营造和谐的社区生活环境。每年培育社会组织不少于2个。</w:t>
      </w:r>
    </w:p>
    <w:p>
      <w:pPr>
        <w:pStyle w:val="3"/>
        <w:snapToGrid w:val="0"/>
        <w:spacing w:line="396" w:lineRule="exact"/>
        <w:ind w:firstLine="480"/>
        <w:rPr>
          <w:rFonts w:ascii="宋体" w:eastAsia="宋体" w:cs="宋体"/>
          <w:bCs/>
          <w:sz w:val="24"/>
        </w:rPr>
      </w:pPr>
      <w:r>
        <w:rPr>
          <w:rFonts w:hint="eastAsia" w:ascii="宋体" w:eastAsia="宋体" w:cs="宋体"/>
          <w:bCs/>
          <w:sz w:val="24"/>
        </w:rPr>
        <w:t>1.10定点预定送餐服务</w:t>
      </w:r>
    </w:p>
    <w:p>
      <w:pPr>
        <w:pStyle w:val="3"/>
        <w:snapToGrid w:val="0"/>
        <w:spacing w:line="396" w:lineRule="exact"/>
        <w:ind w:firstLine="480"/>
        <w:rPr>
          <w:rFonts w:ascii="宋体" w:eastAsia="宋体" w:cs="宋体"/>
          <w:bCs/>
          <w:sz w:val="24"/>
        </w:rPr>
      </w:pPr>
      <w:r>
        <w:rPr>
          <w:rFonts w:hint="eastAsia" w:ascii="宋体" w:eastAsia="宋体" w:cs="宋体"/>
          <w:bCs/>
          <w:sz w:val="24"/>
        </w:rPr>
        <w:t>通过与具有餐饮资质单位合作模式，对需要订餐居民，实行按周订餐服务。</w:t>
      </w:r>
    </w:p>
    <w:p>
      <w:pPr>
        <w:spacing w:line="440" w:lineRule="exact"/>
        <w:ind w:firstLine="480" w:firstLineChars="200"/>
        <w:jc w:val="left"/>
        <w:outlineLvl w:val="0"/>
        <w:rPr>
          <w:rFonts w:ascii="宋体" w:hAnsi="宋体" w:cs="宋体"/>
          <w:bCs/>
          <w:sz w:val="24"/>
        </w:rPr>
      </w:pPr>
      <w:r>
        <w:rPr>
          <w:rFonts w:hint="eastAsia" w:ascii="宋体" w:hAnsi="宋体" w:cs="宋体"/>
          <w:sz w:val="24"/>
        </w:rPr>
        <w:t>1.11便民服务：每月开展一次广场便民服务活动，为居民提供理发、小家电维修等便民服务。</w:t>
      </w:r>
    </w:p>
    <w:p>
      <w:pPr>
        <w:spacing w:line="440" w:lineRule="exact"/>
        <w:jc w:val="left"/>
        <w:outlineLvl w:val="0"/>
        <w:rPr>
          <w:rFonts w:ascii="宋体" w:hAnsi="宋体" w:cs="宋体"/>
          <w:sz w:val="24"/>
        </w:rPr>
      </w:pPr>
      <w:r>
        <w:rPr>
          <w:rFonts w:hint="eastAsia" w:ascii="宋体" w:hAnsi="宋体" w:cs="宋体"/>
          <w:b/>
          <w:bCs/>
          <w:sz w:val="24"/>
        </w:rPr>
        <w:t>具体服务内容按照湖州市《幸福邻里中心建设与服务管理规范》地方标准（DB3305/T57-2018）执行。</w:t>
      </w:r>
    </w:p>
    <w:p>
      <w:pPr>
        <w:pStyle w:val="4"/>
        <w:spacing w:line="460" w:lineRule="exact"/>
        <w:ind w:firstLine="240"/>
        <w:rPr>
          <w:rFonts w:cs="宋体"/>
          <w:bCs/>
          <w:sz w:val="24"/>
        </w:rPr>
      </w:pPr>
    </w:p>
    <w:p>
      <w:pPr>
        <w:pStyle w:val="4"/>
        <w:spacing w:line="460" w:lineRule="exact"/>
        <w:ind w:firstLine="240"/>
        <w:rPr>
          <w:rFonts w:cs="宋体"/>
          <w:bCs/>
          <w:sz w:val="24"/>
        </w:rPr>
      </w:pPr>
      <w:r>
        <w:rPr>
          <w:rFonts w:hint="eastAsia" w:cs="宋体"/>
          <w:bCs/>
          <w:sz w:val="24"/>
        </w:rPr>
        <w:t>2.儿童之家：为不断健全留守儿童、困境儿童关爱服务体系，搭建社会力量参与儿童关爱服务平台，打通社区为儿童和家庭服务的“最后一公里”，整合政府和社会资源，因地制宜，循序渐进，推动全市示范型“儿童之家”建设和服务管理，保障儿童生存、发展和受保护权利的有效实现，促进儿童健康成长和家庭幸福和谐。具体服务内容为：</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2.1组织游戏和活动。组织开展游戏、娱乐、体育、文化、艺术、阅读、社会实践等活动。</w:t>
      </w:r>
    </w:p>
    <w:p>
      <w:pPr>
        <w:spacing w:line="440" w:lineRule="exact"/>
        <w:ind w:firstLine="465"/>
        <w:jc w:val="left"/>
        <w:outlineLvl w:val="0"/>
        <w:rPr>
          <w:rFonts w:ascii="宋体" w:hAnsi="宋体" w:cs="宋体"/>
          <w:sz w:val="24"/>
        </w:rPr>
      </w:pPr>
      <w:r>
        <w:rPr>
          <w:rFonts w:hint="eastAsia" w:ascii="宋体" w:hAnsi="宋体" w:cs="宋体"/>
          <w:bCs/>
          <w:kern w:val="0"/>
          <w:sz w:val="24"/>
        </w:rPr>
        <w:t>2.2临时照料和课后托管。</w:t>
      </w:r>
      <w:r>
        <w:rPr>
          <w:rFonts w:hint="eastAsia" w:ascii="宋体" w:hAnsi="宋体" w:cs="宋体"/>
          <w:sz w:val="24"/>
        </w:rPr>
        <w:t>开展儿童日间临时照料、中小学课后、寒暑假托管和课业辅导服务。</w:t>
      </w:r>
    </w:p>
    <w:p>
      <w:pPr>
        <w:spacing w:line="440" w:lineRule="exact"/>
        <w:ind w:firstLine="465"/>
        <w:jc w:val="left"/>
        <w:outlineLvl w:val="0"/>
        <w:rPr>
          <w:rFonts w:ascii="宋体" w:hAnsi="宋体" w:cs="宋体"/>
          <w:sz w:val="24"/>
        </w:rPr>
      </w:pPr>
      <w:r>
        <w:rPr>
          <w:rFonts w:hint="eastAsia" w:ascii="宋体" w:hAnsi="宋体" w:cs="宋体"/>
          <w:bCs/>
          <w:kern w:val="0"/>
          <w:sz w:val="24"/>
        </w:rPr>
        <w:t>2.3健康教育。</w:t>
      </w:r>
      <w:r>
        <w:rPr>
          <w:rFonts w:hint="eastAsia" w:ascii="宋体" w:hAnsi="宋体" w:cs="宋体"/>
          <w:sz w:val="24"/>
        </w:rPr>
        <w:t>面向儿童及家长开展疾病预防、卫生习惯、伤害防控和自我保护、急救知识等宣传教育和技能指导。</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2.4.品德教育与行为指导。配合学校和家庭开展社会主义核心价值观教育、公民意识教育、法治教育，培养儿童良好的品德和行为习惯，指导儿童科学合理使用互联网和新媒体。协助社区做好未成年人不良行为的预防和矫治工作。</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2.5心理社会支持。为儿童及其家庭提供基本心理健康指导服务。</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2.6儿童保护。协助社区建立儿童档案，为识别困境儿童和留守儿童提供力所能及的支持和服务。</w:t>
      </w:r>
    </w:p>
    <w:p>
      <w:pPr>
        <w:spacing w:line="440" w:lineRule="exact"/>
        <w:ind w:firstLine="465"/>
        <w:jc w:val="left"/>
        <w:outlineLvl w:val="0"/>
        <w:rPr>
          <w:rFonts w:ascii="宋体" w:hAnsi="宋体" w:cs="宋体"/>
          <w:sz w:val="24"/>
        </w:rPr>
      </w:pPr>
      <w:r>
        <w:rPr>
          <w:rFonts w:hint="eastAsia" w:ascii="宋体" w:hAnsi="宋体" w:cs="宋体"/>
          <w:bCs/>
          <w:kern w:val="0"/>
          <w:sz w:val="24"/>
        </w:rPr>
        <w:t>2.7家庭教育指导。</w:t>
      </w:r>
    </w:p>
    <w:p>
      <w:pPr>
        <w:ind w:firstLine="482" w:firstLineChars="200"/>
        <w:rPr>
          <w:rFonts w:ascii="宋体" w:hAnsi="宋体" w:cs="宋体"/>
          <w:b/>
          <w:bCs/>
          <w:sz w:val="24"/>
        </w:rPr>
      </w:pPr>
      <w:r>
        <w:rPr>
          <w:rFonts w:hint="eastAsia" w:ascii="宋体" w:hAnsi="宋体" w:cs="宋体"/>
          <w:b/>
          <w:bCs/>
          <w:sz w:val="24"/>
        </w:rPr>
        <w:t>具体服务内容及运营标准按照湖州市民政局、湖州市妇女联合会关于在全市开展示范性“儿童之家”建设和服务管理工作的实施意见（湖民〔2020〕8号）和湖州市民政局、湖州市财政局、湖州市妇女联合会关于进一步加强示范性儿童之家建设工作的通知（湖民〔2021〕4号）的文件要求执行。</w:t>
      </w:r>
    </w:p>
    <w:p>
      <w:pPr>
        <w:spacing w:line="440" w:lineRule="exact"/>
        <w:ind w:firstLine="424" w:firstLineChars="177"/>
        <w:jc w:val="left"/>
        <w:outlineLvl w:val="0"/>
        <w:rPr>
          <w:rFonts w:ascii="宋体" w:hAnsi="宋体" w:cs="宋体"/>
          <w:bCs/>
          <w:kern w:val="0"/>
          <w:sz w:val="24"/>
        </w:rPr>
      </w:pPr>
      <w:r>
        <w:rPr>
          <w:rFonts w:hint="eastAsia" w:ascii="宋体" w:hAnsi="宋体" w:cs="宋体"/>
          <w:bCs/>
          <w:kern w:val="0"/>
          <w:sz w:val="24"/>
        </w:rPr>
        <w:t>3.社会工作服务站：社会工作者在乡镇（街道）开展社会工作的基层综合性服务平台，包括专业服务、人才培育、资源统筹等服务内容。服务内容为：</w:t>
      </w:r>
    </w:p>
    <w:p>
      <w:pPr>
        <w:spacing w:line="440" w:lineRule="exact"/>
        <w:ind w:firstLine="480" w:firstLineChars="200"/>
        <w:jc w:val="left"/>
        <w:outlineLvl w:val="0"/>
        <w:rPr>
          <w:rFonts w:ascii="宋体" w:hAnsi="宋体" w:cs="宋体"/>
          <w:bCs/>
          <w:kern w:val="0"/>
          <w:sz w:val="24"/>
        </w:rPr>
      </w:pPr>
      <w:r>
        <w:rPr>
          <w:rFonts w:hint="eastAsia" w:ascii="宋体" w:hAnsi="宋体" w:cs="宋体"/>
          <w:bCs/>
          <w:kern w:val="0"/>
          <w:sz w:val="24"/>
        </w:rPr>
        <w:t xml:space="preserve">3.1 专业服务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3.1.1 社会工作站应利用数字化、信息化技术建立本区域服务对象基础数据库，并按不同需求分层分类。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3.1.2 社会工作者应根据实际情况，综合运用个案工作、小组工作、社区工作等方法，为辖区内的居民，特别是困难、弱势群体以及其他有需要的人员提供服务。其中个案工作案件每月不少于4个，小组工作案件每2个月不少于1个，社区工作案件每半年不少于 1 个。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3.1.3 承接运营的社会组织应与接受社会工作服务的服务对象签订服务协议，包括但不限于以下服务内容：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a) 社会组织的名称、办公地址、主要服务的社会工作者、联系方式；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b) 服务对象及家属（监护人）或指定经常联系人的姓名、住址、身份证明、联系方式；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c) 服务对象所在社区的有关联系人；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d) 服务内容和服务方式，服务期限和主要服务地点；当事人的权利和义务；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e) 违约责任、意外伤害责任认定和争议解决方式；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f) 协议变更、解除、终止的条件；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g) 当事人协商一致的其他内容。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3.1.4 社会工作者制订服务计划时，应按照服务对象进行分类分级，差别化、针对性地开展服务：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a) 老年人服务应符合 MZ/T 064 的规定。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b) 儿童服务应符合 MZ/T 058 规定。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c) 残疾人服务应符合 DB 50/T 695 规定。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d) 社区矫正人员服务应符合 DB 3305/T 124 规定。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e) 流动人口服务应提供资源链接、能力提升技能培训，促进社区融入。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3.1.5 社会工作站可根据所在区域的实际需求、发挥当地优势资源，发展不同领域的社会工作专项服务，如企业社会工作、医务社会工作、学校社会工作等具有本土特色的专业社会工作。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5.1.6 社会工作站应建立社会工作服务的转介机制，转介途径包括：行政主管部门、医疗卫生机构、 教育机构、心理咨询机构和其他社会工作站等。</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3.2 人才培育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3.2.1 培育要求 </w:t>
      </w:r>
    </w:p>
    <w:p>
      <w:pPr>
        <w:widowControl/>
        <w:jc w:val="left"/>
        <w:rPr>
          <w:rFonts w:ascii="宋体" w:hAnsi="宋体" w:cs="宋体"/>
          <w:bCs/>
          <w:kern w:val="0"/>
          <w:sz w:val="24"/>
        </w:rPr>
      </w:pPr>
      <w:r>
        <w:rPr>
          <w:rFonts w:hint="eastAsia" w:ascii="宋体" w:hAnsi="宋体" w:cs="宋体"/>
          <w:bCs/>
          <w:kern w:val="0"/>
          <w:sz w:val="24"/>
        </w:rPr>
        <w:t>3.2.1.1 社会工作站应建立区域范围内的社会工作人才信息库，协助主管部门和行业协会做好社会工作人才的登记工作。</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3.2.1.2 社会工作站应支持站内专职工作人员接受继续教育，全年应完成社会工作专业科目继续教育时间不少于 90个学时。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3.2.1.3 社会工作站应根据需求制定辖区内社会工作人才培育年度计划，每年组织专业培训不少于 2场。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3.2.1.4 培训内容应包括但不限于下列内容：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a) 社会工作服务相关的法律法规和政策文件；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b) 社会工作者的伦理守则；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c) 社会工作的理论和实务知识；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d) 社会组织的规范化管理；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e) 社会工作服务项目的研发和管理。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3.2.2 培育对象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培育对象应包括但不限于下列人员：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a) 社会组织专（兼）职从业人员和志愿者；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b) 专职社区工作者和网格员；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c) 辖区内其他与社会工作有关的工作人员。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3.3 支持服务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3.3.1 社会工作站应为辖区内的党群服务中心、幸福邻里中心、社会组织服务中心、养老服务中心等。 </w:t>
      </w:r>
    </w:p>
    <w:p>
      <w:pPr>
        <w:spacing w:line="440" w:lineRule="exact"/>
        <w:ind w:firstLine="465"/>
        <w:jc w:val="left"/>
        <w:outlineLvl w:val="0"/>
        <w:rPr>
          <w:rFonts w:ascii="宋体" w:hAnsi="宋体" w:cs="宋体"/>
          <w:bCs/>
          <w:kern w:val="0"/>
          <w:sz w:val="24"/>
        </w:rPr>
      </w:pPr>
      <w:r>
        <w:rPr>
          <w:rFonts w:hint="eastAsia" w:ascii="宋体" w:hAnsi="宋体" w:cs="宋体"/>
          <w:bCs/>
          <w:kern w:val="0"/>
          <w:sz w:val="24"/>
        </w:rPr>
        <w:t xml:space="preserve">3.3.2 社会工作站应遵循“三社联动”理念，引导社会力量参与基层社会治理，支持社区社会组织、 志愿者和居民开展社区服务。 </w:t>
      </w:r>
    </w:p>
    <w:p>
      <w:pPr>
        <w:autoSpaceDE w:val="0"/>
        <w:autoSpaceDN w:val="0"/>
        <w:adjustRightInd w:val="0"/>
        <w:spacing w:line="440" w:lineRule="exact"/>
        <w:jc w:val="left"/>
        <w:rPr>
          <w:rFonts w:cs="仿宋_GB2312" w:asciiTheme="minorEastAsia" w:hAnsiTheme="minorEastAsia"/>
          <w:kern w:val="0"/>
          <w:sz w:val="24"/>
        </w:rPr>
      </w:pPr>
    </w:p>
    <w:p>
      <w:pPr>
        <w:spacing w:line="440" w:lineRule="exact"/>
        <w:rPr>
          <w:rFonts w:asciiTheme="minorEastAsia" w:hAnsiTheme="minorEastAsia"/>
          <w:sz w:val="24"/>
        </w:rPr>
      </w:pPr>
      <w:r>
        <w:rPr>
          <w:rFonts w:hint="eastAsia" w:cs="仿宋_GB2312" w:asciiTheme="minorEastAsia" w:hAnsiTheme="minorEastAsia"/>
          <w:kern w:val="0"/>
          <w:sz w:val="24"/>
        </w:rPr>
        <w:t>4</w:t>
      </w:r>
      <w:r>
        <w:rPr>
          <w:rFonts w:hint="eastAsia" w:cs="仿宋_GB2312" w:asciiTheme="minorEastAsia" w:hAnsiTheme="minorEastAsia" w:eastAsiaTheme="minorEastAsia"/>
          <w:kern w:val="0"/>
          <w:sz w:val="24"/>
        </w:rPr>
        <w:t>、残疾人之家：是指主要为劳动年龄段智力、精神和其他重度残疾人提供日间生活照料、</w:t>
      </w:r>
      <w:r>
        <w:rPr>
          <w:rFonts w:hint="eastAsia" w:asciiTheme="minorEastAsia" w:hAnsiTheme="minorEastAsia"/>
          <w:sz w:val="24"/>
        </w:rPr>
        <w:t>技能培训、康复服务、文体服务和辅助性就业等服务的专门机构。本项目要求残疾人之家达到四星等级标准。具体要求如下：</w:t>
      </w:r>
    </w:p>
    <w:p>
      <w:pPr>
        <w:spacing w:line="440" w:lineRule="exact"/>
        <w:rPr>
          <w:rFonts w:asciiTheme="minorEastAsia" w:hAnsiTheme="minorEastAsia"/>
          <w:sz w:val="24"/>
        </w:rPr>
      </w:pPr>
      <w:r>
        <w:rPr>
          <w:rFonts w:hint="eastAsia" w:asciiTheme="minorEastAsia" w:hAnsiTheme="minorEastAsia"/>
          <w:sz w:val="24"/>
        </w:rPr>
        <w:t>4.1基本要求</w:t>
      </w:r>
    </w:p>
    <w:p>
      <w:pPr>
        <w:spacing w:line="440" w:lineRule="exact"/>
        <w:rPr>
          <w:rFonts w:asciiTheme="minorEastAsia" w:hAnsiTheme="minorEastAsia"/>
          <w:sz w:val="24"/>
        </w:rPr>
      </w:pPr>
      <w:r>
        <w:rPr>
          <w:rFonts w:hint="eastAsia" w:asciiTheme="minorEastAsia" w:hAnsiTheme="minorEastAsia"/>
          <w:sz w:val="24"/>
        </w:rPr>
        <w:t>4.1.1有合法的主体：机构须依法登记注册（残疾人集中就业企业创办的机构除外）。</w:t>
      </w:r>
    </w:p>
    <w:p>
      <w:pPr>
        <w:spacing w:line="440" w:lineRule="exact"/>
        <w:rPr>
          <w:rFonts w:asciiTheme="minorEastAsia" w:hAnsiTheme="minorEastAsia"/>
          <w:sz w:val="24"/>
        </w:rPr>
      </w:pPr>
      <w:r>
        <w:rPr>
          <w:rFonts w:hint="eastAsia" w:asciiTheme="minorEastAsia" w:hAnsiTheme="minorEastAsia"/>
          <w:sz w:val="24"/>
        </w:rPr>
        <w:t>4.1.2有统一的标识标牌：机构主要出入口和建筑主体有清</w:t>
      </w:r>
    </w:p>
    <w:p>
      <w:pPr>
        <w:spacing w:line="440" w:lineRule="exact"/>
        <w:rPr>
          <w:rFonts w:asciiTheme="minorEastAsia" w:hAnsiTheme="minorEastAsia"/>
          <w:sz w:val="24"/>
        </w:rPr>
      </w:pPr>
      <w:r>
        <w:rPr>
          <w:rFonts w:hint="eastAsia" w:asciiTheme="minorEastAsia" w:hAnsiTheme="minorEastAsia"/>
          <w:sz w:val="24"/>
        </w:rPr>
        <w:t>晰醒目的机构名称和残疾人之家标识标牌。</w:t>
      </w:r>
    </w:p>
    <w:p>
      <w:pPr>
        <w:spacing w:line="440" w:lineRule="exact"/>
        <w:rPr>
          <w:rFonts w:asciiTheme="minorEastAsia" w:hAnsiTheme="minorEastAsia"/>
          <w:sz w:val="24"/>
        </w:rPr>
      </w:pPr>
      <w:r>
        <w:rPr>
          <w:rFonts w:hint="eastAsia" w:asciiTheme="minorEastAsia" w:hAnsiTheme="minorEastAsia"/>
          <w:sz w:val="24"/>
        </w:rPr>
        <w:t>4.1.3有稳定的服务对象：服务对象以劳动年龄段智力、精神和其他重度残疾人为主，且人数一般不少于</w:t>
      </w:r>
      <w:r>
        <w:rPr>
          <w:rFonts w:asciiTheme="minorEastAsia" w:hAnsiTheme="minorEastAsia"/>
          <w:sz w:val="24"/>
        </w:rPr>
        <w:t xml:space="preserve">5 </w:t>
      </w:r>
      <w:r>
        <w:rPr>
          <w:rFonts w:hint="eastAsia" w:asciiTheme="minorEastAsia" w:hAnsiTheme="minorEastAsia"/>
          <w:sz w:val="24"/>
        </w:rPr>
        <w:t>人，每周在机构接受服务时间不少于</w:t>
      </w:r>
      <w:r>
        <w:rPr>
          <w:rFonts w:asciiTheme="minorEastAsia" w:hAnsiTheme="minorEastAsia"/>
          <w:sz w:val="24"/>
        </w:rPr>
        <w:t xml:space="preserve">20 </w:t>
      </w:r>
      <w:r>
        <w:rPr>
          <w:rFonts w:hint="eastAsia" w:asciiTheme="minorEastAsia" w:hAnsiTheme="minorEastAsia"/>
          <w:sz w:val="24"/>
        </w:rPr>
        <w:t>小时（一般不少于</w:t>
      </w:r>
      <w:r>
        <w:rPr>
          <w:rFonts w:asciiTheme="minorEastAsia" w:hAnsiTheme="minorEastAsia"/>
          <w:sz w:val="24"/>
        </w:rPr>
        <w:t xml:space="preserve">5 </w:t>
      </w:r>
      <w:r>
        <w:rPr>
          <w:rFonts w:hint="eastAsia" w:asciiTheme="minorEastAsia" w:hAnsiTheme="minorEastAsia"/>
          <w:sz w:val="24"/>
        </w:rPr>
        <w:t>天），并签订服务（就业）协议。</w:t>
      </w:r>
    </w:p>
    <w:p>
      <w:pPr>
        <w:spacing w:line="440" w:lineRule="exact"/>
        <w:rPr>
          <w:rFonts w:asciiTheme="minorEastAsia" w:hAnsiTheme="minorEastAsia"/>
          <w:sz w:val="24"/>
        </w:rPr>
      </w:pPr>
      <w:r>
        <w:rPr>
          <w:rFonts w:hint="eastAsia" w:asciiTheme="minorEastAsia" w:hAnsiTheme="minorEastAsia"/>
          <w:sz w:val="24"/>
        </w:rPr>
        <w:t>4.1.4有适宜的服务场所：机构选址应方便残疾人就近就便接受服务。房屋建筑质量符合国家标准，场所达到消防、安全管理要求。建筑总面积应不少于</w:t>
      </w:r>
      <w:r>
        <w:rPr>
          <w:rFonts w:asciiTheme="minorEastAsia" w:hAnsiTheme="minorEastAsia"/>
          <w:sz w:val="24"/>
        </w:rPr>
        <w:t xml:space="preserve">100 </w:t>
      </w:r>
      <w:r>
        <w:rPr>
          <w:rFonts w:hint="eastAsia" w:asciiTheme="minorEastAsia" w:hAnsiTheme="minorEastAsia"/>
          <w:sz w:val="24"/>
        </w:rPr>
        <w:t>㎡，并具备必要的室外活动场地。</w:t>
      </w:r>
    </w:p>
    <w:p>
      <w:pPr>
        <w:spacing w:line="440" w:lineRule="exact"/>
        <w:rPr>
          <w:rFonts w:asciiTheme="minorEastAsia" w:hAnsiTheme="minorEastAsia"/>
          <w:sz w:val="24"/>
        </w:rPr>
      </w:pPr>
      <w:r>
        <w:rPr>
          <w:rFonts w:hint="eastAsia" w:asciiTheme="minorEastAsia" w:hAnsiTheme="minorEastAsia"/>
          <w:sz w:val="24"/>
        </w:rPr>
        <w:t>4.1.5有配套的设施设备：包括用于办公、后勤服务等的基本设施设备，与服务内容相适应的功能设施设备以及用于消防、防盗、门卫等基本安全设施设备和无障碍设施设备，有数字化考勤设备。</w:t>
      </w:r>
    </w:p>
    <w:p>
      <w:pPr>
        <w:spacing w:line="440" w:lineRule="exact"/>
        <w:rPr>
          <w:rFonts w:asciiTheme="minorEastAsia" w:hAnsiTheme="minorEastAsia"/>
          <w:sz w:val="24"/>
        </w:rPr>
      </w:pPr>
      <w:r>
        <w:rPr>
          <w:rFonts w:hint="eastAsia" w:asciiTheme="minorEastAsia" w:hAnsiTheme="minorEastAsia"/>
          <w:sz w:val="24"/>
        </w:rPr>
        <w:t>4.1.6有完善的服务功能：生活照料、技能培训、康复服务、文体服务和辅助性就业等服务功能齐全，能够提供中餐和午休服务。</w:t>
      </w:r>
    </w:p>
    <w:p>
      <w:pPr>
        <w:spacing w:line="440" w:lineRule="exact"/>
        <w:rPr>
          <w:rFonts w:asciiTheme="minorEastAsia" w:hAnsiTheme="minorEastAsia"/>
          <w:sz w:val="24"/>
        </w:rPr>
      </w:pPr>
      <w:r>
        <w:rPr>
          <w:rFonts w:hint="eastAsia" w:asciiTheme="minorEastAsia" w:hAnsiTheme="minorEastAsia"/>
          <w:sz w:val="24"/>
        </w:rPr>
        <w:t>4.1.7有专业的服务团队：岗位设置合理，专职管理服务人员与残疾人比例不低于</w:t>
      </w:r>
      <w:r>
        <w:rPr>
          <w:rFonts w:asciiTheme="minorEastAsia" w:hAnsiTheme="minorEastAsia"/>
          <w:sz w:val="24"/>
        </w:rPr>
        <w:t>1:10,</w:t>
      </w:r>
      <w:r>
        <w:rPr>
          <w:rFonts w:hint="eastAsia" w:asciiTheme="minorEastAsia" w:hAnsiTheme="minorEastAsia"/>
          <w:sz w:val="24"/>
        </w:rPr>
        <w:t>专职和兼职人员不少于</w:t>
      </w:r>
      <w:r>
        <w:rPr>
          <w:rFonts w:asciiTheme="minorEastAsia" w:hAnsiTheme="minorEastAsia"/>
          <w:sz w:val="24"/>
        </w:rPr>
        <w:t xml:space="preserve">2 </w:t>
      </w:r>
      <w:r>
        <w:rPr>
          <w:rFonts w:hint="eastAsia" w:asciiTheme="minorEastAsia" w:hAnsiTheme="minorEastAsia"/>
          <w:sz w:val="24"/>
        </w:rPr>
        <w:t>人，并聘有专（兼）职医护人员。机构负责人、管理服务人员经过专业培训，熟悉残疾人相关法规和专业服务知识。</w:t>
      </w:r>
    </w:p>
    <w:p>
      <w:pPr>
        <w:spacing w:line="440" w:lineRule="exact"/>
        <w:rPr>
          <w:rFonts w:asciiTheme="minorEastAsia" w:hAnsiTheme="minorEastAsia"/>
          <w:sz w:val="24"/>
        </w:rPr>
      </w:pPr>
      <w:r>
        <w:rPr>
          <w:rFonts w:hint="eastAsia" w:asciiTheme="minorEastAsia" w:hAnsiTheme="minorEastAsia"/>
          <w:sz w:val="24"/>
        </w:rPr>
        <w:t>4.1.8有健全的管理制度：建立健全开展服务所必需的服务规范和管理制度，包括基础管理制度、服务管理制度和安全管理制度等。实行个人实名制信息管理，做到“一人一档”；推行日常服务台帐管理，做到“一日一志”。</w:t>
      </w:r>
    </w:p>
    <w:p>
      <w:pPr>
        <w:spacing w:line="440" w:lineRule="exact"/>
        <w:rPr>
          <w:rFonts w:asciiTheme="minorEastAsia" w:hAnsiTheme="minorEastAsia"/>
          <w:sz w:val="24"/>
        </w:rPr>
      </w:pPr>
      <w:r>
        <w:rPr>
          <w:rFonts w:hint="eastAsia" w:asciiTheme="minorEastAsia" w:hAnsiTheme="minorEastAsia"/>
          <w:sz w:val="24"/>
        </w:rPr>
        <w:t>4.2四星级残疾人之家要求</w:t>
      </w:r>
    </w:p>
    <w:p>
      <w:pPr>
        <w:spacing w:line="440" w:lineRule="exact"/>
        <w:rPr>
          <w:rFonts w:asciiTheme="minorEastAsia" w:hAnsiTheme="minorEastAsia"/>
          <w:sz w:val="24"/>
        </w:rPr>
      </w:pPr>
      <w:r>
        <w:rPr>
          <w:rFonts w:hint="eastAsia" w:asciiTheme="minorEastAsia" w:hAnsiTheme="minorEastAsia"/>
          <w:sz w:val="24"/>
        </w:rPr>
        <w:t>4.2.1室内实用面积应达到</w:t>
      </w:r>
      <w:r>
        <w:rPr>
          <w:rFonts w:asciiTheme="minorEastAsia" w:hAnsiTheme="minorEastAsia"/>
          <w:sz w:val="24"/>
        </w:rPr>
        <w:t xml:space="preserve">300 </w:t>
      </w:r>
      <w:r>
        <w:rPr>
          <w:rFonts w:hint="eastAsia" w:asciiTheme="minorEastAsia" w:hAnsiTheme="minorEastAsia"/>
          <w:sz w:val="24"/>
        </w:rPr>
        <w:t>㎡以上；</w:t>
      </w:r>
    </w:p>
    <w:p>
      <w:pPr>
        <w:spacing w:line="440" w:lineRule="exact"/>
        <w:rPr>
          <w:rFonts w:asciiTheme="minorEastAsia" w:hAnsiTheme="minorEastAsia"/>
          <w:sz w:val="24"/>
        </w:rPr>
      </w:pPr>
      <w:r>
        <w:rPr>
          <w:rFonts w:hint="eastAsia" w:asciiTheme="minorEastAsia" w:hAnsiTheme="minorEastAsia"/>
          <w:sz w:val="24"/>
        </w:rPr>
        <w:t>4.2.2机构服务残疾人数不少于</w:t>
      </w:r>
      <w:r>
        <w:rPr>
          <w:rFonts w:asciiTheme="minorEastAsia" w:hAnsiTheme="minorEastAsia"/>
          <w:sz w:val="24"/>
        </w:rPr>
        <w:t xml:space="preserve">15 </w:t>
      </w:r>
      <w:r>
        <w:rPr>
          <w:rFonts w:hint="eastAsia" w:asciiTheme="minorEastAsia" w:hAnsiTheme="minorEastAsia"/>
          <w:sz w:val="24"/>
        </w:rPr>
        <w:t>人；</w:t>
      </w:r>
    </w:p>
    <w:p>
      <w:pPr>
        <w:spacing w:line="440" w:lineRule="exact"/>
        <w:rPr>
          <w:rFonts w:asciiTheme="minorEastAsia" w:hAnsiTheme="minorEastAsia"/>
          <w:sz w:val="24"/>
        </w:rPr>
      </w:pPr>
      <w:r>
        <w:rPr>
          <w:rFonts w:hint="eastAsia" w:asciiTheme="minorEastAsia" w:hAnsiTheme="minorEastAsia"/>
          <w:sz w:val="24"/>
        </w:rPr>
        <w:t>4.2.3负责人参加过省（市）级培训并取得合格证书；</w:t>
      </w:r>
    </w:p>
    <w:p>
      <w:pPr>
        <w:spacing w:line="440" w:lineRule="exact"/>
        <w:rPr>
          <w:rFonts w:asciiTheme="minorEastAsia" w:hAnsiTheme="minorEastAsia"/>
          <w:sz w:val="24"/>
        </w:rPr>
      </w:pPr>
      <w:r>
        <w:rPr>
          <w:rFonts w:hint="eastAsia" w:asciiTheme="minorEastAsia" w:hAnsiTheme="minorEastAsia"/>
          <w:sz w:val="24"/>
        </w:rPr>
        <w:t>4.2.4管理服务达到《浙江省残疾人之家管理与服务规范》要求，并在某些领域较有特色；</w:t>
      </w:r>
    </w:p>
    <w:p>
      <w:pPr>
        <w:spacing w:line="440" w:lineRule="exact"/>
        <w:rPr>
          <w:rFonts w:asciiTheme="minorEastAsia" w:hAnsiTheme="minorEastAsia"/>
          <w:sz w:val="24"/>
        </w:rPr>
      </w:pPr>
      <w:r>
        <w:rPr>
          <w:rFonts w:hint="eastAsia" w:asciiTheme="minorEastAsia" w:hAnsiTheme="minorEastAsia"/>
          <w:sz w:val="24"/>
        </w:rPr>
        <w:t>4.2.5建成运营满二年且获评三星级残疾人之家满一年；</w:t>
      </w:r>
    </w:p>
    <w:p>
      <w:pPr>
        <w:spacing w:line="440" w:lineRule="exact"/>
        <w:rPr>
          <w:rFonts w:hint="eastAsia" w:asciiTheme="minorEastAsia" w:hAnsiTheme="minorEastAsia"/>
          <w:sz w:val="24"/>
        </w:rPr>
      </w:pPr>
      <w:r>
        <w:rPr>
          <w:rFonts w:hint="eastAsia" w:asciiTheme="minorEastAsia" w:hAnsiTheme="minorEastAsia"/>
          <w:sz w:val="24"/>
        </w:rPr>
        <w:t>4.2.6星级评定得分达到</w:t>
      </w:r>
      <w:r>
        <w:rPr>
          <w:rFonts w:asciiTheme="minorEastAsia" w:hAnsiTheme="minorEastAsia"/>
          <w:sz w:val="24"/>
        </w:rPr>
        <w:t xml:space="preserve">160 </w:t>
      </w:r>
      <w:r>
        <w:rPr>
          <w:rFonts w:hint="eastAsia" w:asciiTheme="minorEastAsia" w:hAnsiTheme="minorEastAsia"/>
          <w:sz w:val="24"/>
        </w:rPr>
        <w:t>分。</w:t>
      </w:r>
    </w:p>
    <w:p>
      <w:pPr>
        <w:spacing w:line="440" w:lineRule="exact"/>
        <w:rPr>
          <w:rFonts w:asciiTheme="minorEastAsia" w:hAnsiTheme="minorEastAsia"/>
          <w:sz w:val="24"/>
        </w:rPr>
      </w:pPr>
      <w:r>
        <w:rPr>
          <w:rFonts w:hint="eastAsia" w:asciiTheme="minorEastAsia" w:hAnsiTheme="minorEastAsia"/>
          <w:sz w:val="24"/>
        </w:rPr>
        <w:t>4.3</w:t>
      </w:r>
      <w:r>
        <w:rPr>
          <w:rFonts w:asciiTheme="minorEastAsia" w:hAnsiTheme="minorEastAsia"/>
          <w:sz w:val="24"/>
        </w:rPr>
        <w:t>浙江省残疾人之家标识样式设置</w:t>
      </w:r>
      <w:r>
        <w:rPr>
          <w:rFonts w:hint="eastAsia" w:asciiTheme="minorEastAsia" w:hAnsiTheme="minorEastAsia"/>
          <w:sz w:val="24"/>
        </w:rPr>
        <w:t>要求</w:t>
      </w:r>
    </w:p>
    <w:p>
      <w:pPr>
        <w:spacing w:line="440" w:lineRule="exact"/>
        <w:rPr>
          <w:rFonts w:hint="eastAsia" w:asciiTheme="minorEastAsia" w:hAnsiTheme="minorEastAsia"/>
          <w:sz w:val="24"/>
        </w:rPr>
      </w:pPr>
      <w:r>
        <w:rPr>
          <w:rFonts w:asciiTheme="minorEastAsia" w:hAnsiTheme="minorEastAsia"/>
          <w:sz w:val="24"/>
        </w:rPr>
        <w:t>设置要求：浙江省残疾人之家标识可与××残疾人之家名称一同设置（一般应置于名称前端或上端，尺寸应与名称大小相近），也可单独设置于残疾人之家建筑物主体醒目位置（尺寸大小应与 建筑物主体协调一致）。格式如下。</w:t>
      </w:r>
    </w:p>
    <w:p>
      <w:pPr>
        <w:pStyle w:val="2"/>
        <w:rPr>
          <w:rFonts w:hint="eastAsia"/>
        </w:rPr>
      </w:pPr>
    </w:p>
    <w:p>
      <w:pPr>
        <w:pStyle w:val="4"/>
        <w:ind w:firstLine="0"/>
        <w:jc w:val="center"/>
        <w:rPr>
          <w:rFonts w:hint="eastAsia"/>
          <w:b/>
        </w:rPr>
      </w:pPr>
      <w:r>
        <w:rPr>
          <w:b/>
        </w:rPr>
        <w:t>浙江省残疾人之家标识</w:t>
      </w:r>
    </w:p>
    <w:p>
      <w:pPr>
        <w:pStyle w:val="2"/>
        <w:ind w:left="0" w:leftChars="0" w:firstLine="0" w:firstLineChars="0"/>
        <w:jc w:val="center"/>
        <w:rPr>
          <w:rFonts w:hint="eastAsia"/>
        </w:rPr>
      </w:pPr>
      <w:r>
        <w:rPr>
          <w:rFonts w:ascii="Arial Unicode MS"/>
          <w:sz w:val="20"/>
        </w:rPr>
        <w:drawing>
          <wp:inline distT="0" distB="0" distL="0" distR="0">
            <wp:extent cx="2459990" cy="257302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12" cstate="print"/>
                    <a:stretch>
                      <a:fillRect/>
                    </a:stretch>
                  </pic:blipFill>
                  <pic:spPr>
                    <a:xfrm>
                      <a:off x="0" y="0"/>
                      <a:ext cx="2460307" cy="2573654"/>
                    </a:xfrm>
                    <a:prstGeom prst="rect">
                      <a:avLst/>
                    </a:prstGeom>
                  </pic:spPr>
                </pic:pic>
              </a:graphicData>
            </a:graphic>
          </wp:inline>
        </w:drawing>
      </w:r>
    </w:p>
    <w:p>
      <w:pPr>
        <w:pStyle w:val="4"/>
        <w:ind w:firstLine="0"/>
        <w:jc w:val="center"/>
        <w:rPr>
          <w:rFonts w:hint="eastAsia"/>
          <w:b/>
        </w:rPr>
      </w:pPr>
      <w:r>
        <w:rPr>
          <w:b/>
        </w:rPr>
        <w:t>浙江省残疾人之家四星级标牌标牌样式</w:t>
      </w:r>
    </w:p>
    <w:p>
      <w:pPr>
        <w:jc w:val="center"/>
        <w:rPr>
          <w:rFonts w:hint="eastAsia" w:ascii="宋体" w:hAnsi="宋体" w:cs="宋体"/>
          <w:b/>
          <w:bCs/>
          <w:sz w:val="24"/>
        </w:rPr>
      </w:pPr>
      <w:r>
        <w:rPr>
          <w:rFonts w:ascii="宋体" w:hAnsi="宋体" w:cs="宋体"/>
          <w:b/>
          <w:bCs/>
          <w:sz w:val="24"/>
        </w:rPr>
        <w:drawing>
          <wp:inline distT="0" distB="0" distL="0" distR="0">
            <wp:extent cx="2066925" cy="154876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66925" cy="1548765"/>
                    </a:xfrm>
                    <a:prstGeom prst="rect">
                      <a:avLst/>
                    </a:prstGeom>
                    <a:noFill/>
                  </pic:spPr>
                </pic:pic>
              </a:graphicData>
            </a:graphic>
          </wp:inline>
        </w:drawing>
      </w:r>
    </w:p>
    <w:p>
      <w:pPr>
        <w:ind w:firstLine="482" w:firstLineChars="200"/>
        <w:rPr>
          <w:rFonts w:hint="eastAsia" w:ascii="宋体" w:hAnsi="宋体" w:cs="宋体"/>
          <w:b/>
          <w:bCs/>
          <w:sz w:val="24"/>
        </w:rPr>
      </w:pPr>
    </w:p>
    <w:p>
      <w:pPr>
        <w:ind w:firstLine="482" w:firstLineChars="200"/>
      </w:pPr>
      <w:r>
        <w:rPr>
          <w:rFonts w:hint="eastAsia" w:ascii="宋体" w:hAnsi="宋体" w:cs="宋体"/>
          <w:b/>
          <w:bCs/>
          <w:sz w:val="24"/>
        </w:rPr>
        <w:t>具体服务内容及运营标准按照浙江省残疾人联合会关于印发《浙江省残疾人之家星级评定办法》的通知《浙残联发〔</w:t>
      </w:r>
      <w:r>
        <w:rPr>
          <w:rFonts w:ascii="宋体" w:hAnsi="宋体" w:cs="宋体"/>
          <w:b/>
          <w:bCs/>
          <w:sz w:val="24"/>
        </w:rPr>
        <w:t>2021</w:t>
      </w:r>
      <w:r>
        <w:rPr>
          <w:rFonts w:hint="eastAsia" w:ascii="宋体" w:hAnsi="宋体" w:cs="宋体"/>
          <w:b/>
          <w:bCs/>
          <w:sz w:val="24"/>
        </w:rPr>
        <w:t>〕</w:t>
      </w:r>
      <w:r>
        <w:rPr>
          <w:rFonts w:ascii="宋体" w:hAnsi="宋体" w:cs="宋体"/>
          <w:b/>
          <w:bCs/>
          <w:sz w:val="24"/>
        </w:rPr>
        <w:t xml:space="preserve">41 </w:t>
      </w:r>
      <w:r>
        <w:rPr>
          <w:rFonts w:hint="eastAsia" w:ascii="宋体" w:hAnsi="宋体" w:cs="宋体"/>
          <w:b/>
          <w:bCs/>
          <w:sz w:val="24"/>
        </w:rPr>
        <w:t>号》文件要求执行。</w:t>
      </w:r>
    </w:p>
    <w:p>
      <w:pPr>
        <w:pStyle w:val="4"/>
      </w:pPr>
    </w:p>
    <w:p>
      <w:pPr>
        <w:spacing w:line="440" w:lineRule="exact"/>
        <w:ind w:firstLine="482" w:firstLineChars="200"/>
        <w:jc w:val="left"/>
        <w:outlineLvl w:val="0"/>
        <w:rPr>
          <w:rFonts w:ascii="宋体" w:hAnsi="宋体" w:cs="宋体"/>
          <w:b/>
          <w:bCs/>
          <w:kern w:val="0"/>
          <w:sz w:val="24"/>
        </w:rPr>
      </w:pPr>
      <w:r>
        <w:rPr>
          <w:rFonts w:hint="eastAsia" w:ascii="宋体" w:hAnsi="宋体" w:cs="宋体"/>
          <w:b/>
          <w:bCs/>
          <w:kern w:val="0"/>
          <w:sz w:val="24"/>
        </w:rPr>
        <w:t>供应商必须是中国境内注册的法人机构或事业单位或在民政部门登记的从事社会工作服务的民办非企业单位。业务范围涵盖社会工作服务领域、方法和内容；负责人及管理人员需持有《中华人民共和国社会工作者职业资格水平证书》。</w:t>
      </w:r>
    </w:p>
    <w:p>
      <w:pPr>
        <w:numPr>
          <w:ilvl w:val="0"/>
          <w:numId w:val="2"/>
        </w:numPr>
        <w:spacing w:line="440" w:lineRule="exact"/>
        <w:ind w:left="210"/>
        <w:outlineLvl w:val="0"/>
        <w:rPr>
          <w:rFonts w:ascii="宋体" w:hAnsi="宋体" w:cs="宋体"/>
          <w:b/>
          <w:bCs/>
          <w:kern w:val="0"/>
          <w:sz w:val="24"/>
        </w:rPr>
      </w:pPr>
      <w:r>
        <w:rPr>
          <w:rFonts w:hint="eastAsia" w:ascii="宋体" w:hAnsi="宋体" w:cs="宋体"/>
          <w:b/>
          <w:bCs/>
          <w:kern w:val="0"/>
          <w:sz w:val="24"/>
        </w:rPr>
        <w:t>服务时间及地点：</w:t>
      </w:r>
    </w:p>
    <w:p>
      <w:pPr>
        <w:numPr>
          <w:ilvl w:val="0"/>
          <w:numId w:val="3"/>
        </w:numPr>
        <w:spacing w:line="440" w:lineRule="exact"/>
        <w:outlineLvl w:val="0"/>
        <w:rPr>
          <w:rFonts w:ascii="宋体" w:hAnsi="宋体" w:cs="宋体"/>
          <w:kern w:val="0"/>
          <w:sz w:val="24"/>
        </w:rPr>
      </w:pPr>
      <w:r>
        <w:rPr>
          <w:rFonts w:hint="eastAsia" w:ascii="宋体" w:hAnsi="宋体" w:cs="宋体"/>
          <w:kern w:val="0"/>
          <w:sz w:val="24"/>
        </w:rPr>
        <w:t>服务期：2年（具体以合同签订时间为准）</w:t>
      </w:r>
    </w:p>
    <w:p>
      <w:pPr>
        <w:numPr>
          <w:ilvl w:val="0"/>
          <w:numId w:val="3"/>
        </w:numPr>
        <w:spacing w:line="440" w:lineRule="exact"/>
        <w:outlineLvl w:val="0"/>
        <w:rPr>
          <w:rFonts w:ascii="宋体" w:hAnsi="宋体" w:cs="宋体"/>
          <w:kern w:val="0"/>
          <w:sz w:val="24"/>
        </w:rPr>
      </w:pPr>
      <w:r>
        <w:rPr>
          <w:rFonts w:hint="eastAsia" w:ascii="宋体" w:hAnsi="宋体" w:cs="宋体"/>
          <w:kern w:val="0"/>
          <w:sz w:val="24"/>
        </w:rPr>
        <w:t>实施地点:环渚街道幸福邻里中心</w:t>
      </w:r>
    </w:p>
    <w:p>
      <w:pPr>
        <w:pStyle w:val="4"/>
        <w:numPr>
          <w:ilvl w:val="0"/>
          <w:numId w:val="2"/>
        </w:numPr>
        <w:spacing w:after="120" w:line="440" w:lineRule="exact"/>
        <w:ind w:left="210" w:firstLine="0"/>
        <w:rPr>
          <w:rFonts w:cs="宋体"/>
          <w:bCs/>
          <w:sz w:val="24"/>
          <w:lang w:eastAsia="zh-Hans"/>
        </w:rPr>
      </w:pPr>
      <w:r>
        <w:rPr>
          <w:rFonts w:hint="eastAsia" w:cs="宋体"/>
          <w:bCs/>
          <w:sz w:val="24"/>
          <w:lang w:eastAsia="zh-Hans"/>
        </w:rPr>
        <w:t>根据《保障中小企业款项支付条例》、省财政厅《关于坚决打赢疫情防控阻击战进一步做好政府采购资金支持企业发展工作的通知》（浙财采监【2020】3号）要求，制定如下付款方式：</w:t>
      </w:r>
    </w:p>
    <w:p>
      <w:pPr>
        <w:pStyle w:val="4"/>
        <w:numPr>
          <w:ilvl w:val="0"/>
          <w:numId w:val="2"/>
        </w:numPr>
        <w:spacing w:after="120" w:line="440" w:lineRule="exact"/>
        <w:ind w:left="210" w:firstLine="0"/>
        <w:rPr>
          <w:rFonts w:cs="宋体"/>
          <w:bCs/>
          <w:sz w:val="24"/>
        </w:rPr>
      </w:pPr>
      <w:r>
        <w:rPr>
          <w:rFonts w:hint="eastAsia" w:cs="宋体"/>
          <w:bCs/>
          <w:sz w:val="24"/>
        </w:rPr>
        <w:t>幸福邻里中心、儿童之家、社会工作站、残疾人之家一年</w:t>
      </w:r>
      <w:r>
        <w:rPr>
          <w:rFonts w:hint="eastAsia" w:cs="宋体"/>
          <w:bCs/>
          <w:sz w:val="24"/>
          <w:lang w:eastAsia="zh-Hans"/>
        </w:rPr>
        <w:t>运行经费：合同生效以及</w:t>
      </w:r>
      <w:r>
        <w:rPr>
          <w:rFonts w:hint="eastAsia" w:cs="宋体"/>
          <w:bCs/>
          <w:sz w:val="24"/>
        </w:rPr>
        <w:t>上级资金拨款到位后30</w:t>
      </w:r>
      <w:r>
        <w:rPr>
          <w:rFonts w:hint="eastAsia" w:cs="宋体"/>
          <w:bCs/>
          <w:sz w:val="24"/>
          <w:lang w:eastAsia="zh-Hans"/>
        </w:rPr>
        <w:t>日内</w:t>
      </w:r>
      <w:r>
        <w:rPr>
          <w:rFonts w:hint="eastAsia" w:cs="宋体"/>
          <w:bCs/>
          <w:sz w:val="24"/>
        </w:rPr>
        <w:t>支付中标金额的40%</w:t>
      </w:r>
      <w:r>
        <w:rPr>
          <w:rFonts w:hint="eastAsia" w:cs="宋体"/>
          <w:bCs/>
          <w:sz w:val="24"/>
          <w:lang w:eastAsia="zh-Hans"/>
        </w:rPr>
        <w:t>，</w:t>
      </w:r>
      <w:r>
        <w:rPr>
          <w:rFonts w:hint="eastAsia" w:cs="宋体"/>
          <w:bCs/>
          <w:sz w:val="24"/>
        </w:rPr>
        <w:t>中期评估合格后再支付中标金额的30%，中标金额的30%作为期末评估考核资金</w:t>
      </w:r>
      <w:r>
        <w:rPr>
          <w:rFonts w:hint="eastAsia" w:cs="宋体"/>
          <w:bCs/>
          <w:sz w:val="24"/>
          <w:lang w:eastAsia="zh-Hans"/>
        </w:rPr>
        <w:t>，</w:t>
      </w:r>
      <w:r>
        <w:rPr>
          <w:rFonts w:hint="eastAsia" w:cs="宋体"/>
          <w:bCs/>
          <w:sz w:val="24"/>
        </w:rPr>
        <w:t>按实际期末考核评估结果进行最终尾款的结算</w:t>
      </w:r>
      <w:r>
        <w:rPr>
          <w:rFonts w:hint="eastAsia" w:cs="宋体"/>
          <w:bCs/>
          <w:sz w:val="24"/>
          <w:lang w:eastAsia="zh-Hans"/>
        </w:rPr>
        <w:t>。</w:t>
      </w:r>
      <w:r>
        <w:rPr>
          <w:rFonts w:hint="eastAsia" w:cs="宋体"/>
          <w:bCs/>
          <w:sz w:val="24"/>
        </w:rPr>
        <w:t>（第二年结算参照第一年标准）</w:t>
      </w:r>
    </w:p>
    <w:p>
      <w:pPr>
        <w:pStyle w:val="4"/>
        <w:numPr>
          <w:ilvl w:val="0"/>
          <w:numId w:val="2"/>
        </w:numPr>
        <w:spacing w:after="120" w:line="440" w:lineRule="exact"/>
        <w:ind w:left="210" w:firstLine="0"/>
        <w:rPr>
          <w:rFonts w:cs="宋体"/>
          <w:bCs/>
          <w:sz w:val="24"/>
          <w:lang w:eastAsia="zh-Hans"/>
        </w:rPr>
      </w:pPr>
      <w:r>
        <w:rPr>
          <w:rFonts w:hint="eastAsia" w:cs="宋体"/>
          <w:bCs/>
          <w:sz w:val="24"/>
        </w:rPr>
        <w:t>如两年内遇新政策及文件调整，按照最新文件及上级下拨资金为准。</w:t>
      </w:r>
    </w:p>
    <w:p>
      <w:pPr>
        <w:pStyle w:val="4"/>
        <w:numPr>
          <w:ilvl w:val="0"/>
          <w:numId w:val="2"/>
        </w:numPr>
        <w:spacing w:after="120" w:line="440" w:lineRule="exact"/>
        <w:ind w:left="210" w:firstLine="0"/>
        <w:rPr>
          <w:rFonts w:cs="宋体"/>
          <w:bCs/>
          <w:sz w:val="24"/>
          <w:lang w:eastAsia="zh-Hans"/>
        </w:rPr>
      </w:pPr>
      <w:r>
        <w:rPr>
          <w:rFonts w:hint="eastAsia" w:cs="宋体"/>
          <w:bCs/>
          <w:sz w:val="24"/>
          <w:lang w:eastAsia="zh-Hans"/>
        </w:rPr>
        <w:t>注：若中标供应商明确表示无需预付款或者主动要求降低预付款比例的，采购人可不适用前述规定。付款详情详见备注。</w:t>
      </w:r>
    </w:p>
    <w:p>
      <w:pPr>
        <w:pStyle w:val="4"/>
        <w:numPr>
          <w:ilvl w:val="0"/>
          <w:numId w:val="2"/>
        </w:numPr>
        <w:spacing w:after="120" w:line="440" w:lineRule="exact"/>
        <w:ind w:left="210" w:firstLine="0"/>
        <w:rPr>
          <w:rFonts w:cs="宋体"/>
        </w:rPr>
      </w:pPr>
      <w:r>
        <w:rPr>
          <w:rFonts w:hint="eastAsia" w:cs="宋体"/>
          <w:bCs/>
          <w:sz w:val="24"/>
          <w:lang w:eastAsia="zh-Hans"/>
        </w:rPr>
        <w:t>备注：</w:t>
      </w:r>
      <w:r>
        <w:rPr>
          <w:rFonts w:hint="eastAsia" w:cs="宋体"/>
          <w:bCs/>
          <w:sz w:val="24"/>
        </w:rPr>
        <w:t>幸福邻里中心、儿童之家、社会工作站、残疾人之家</w:t>
      </w:r>
      <w:r>
        <w:rPr>
          <w:rFonts w:hint="eastAsia" w:cs="宋体"/>
          <w:bCs/>
          <w:sz w:val="24"/>
          <w:lang w:eastAsia="zh-Hans"/>
        </w:rPr>
        <w:t>运行经费年度费用支付时，参照湖州市民政局作出的考核评估等次</w:t>
      </w:r>
      <w:r>
        <w:rPr>
          <w:rFonts w:hint="eastAsia" w:cs="宋体"/>
          <w:bCs/>
          <w:sz w:val="24"/>
        </w:rPr>
        <w:t>及上级拨付资金</w:t>
      </w:r>
      <w:r>
        <w:rPr>
          <w:rFonts w:hint="eastAsia" w:cs="宋体"/>
          <w:bCs/>
          <w:sz w:val="24"/>
          <w:lang w:eastAsia="zh-Hans"/>
        </w:rPr>
        <w:t>作为支付依据，考核标准和运营经费参考湖州市民政局最新文件执行</w:t>
      </w:r>
      <w:r>
        <w:rPr>
          <w:rFonts w:hint="eastAsia" w:cs="宋体"/>
          <w:bCs/>
          <w:sz w:val="24"/>
        </w:rPr>
        <w:t>，</w:t>
      </w:r>
      <w:r>
        <w:rPr>
          <w:rFonts w:hint="eastAsia" w:cs="宋体"/>
          <w:bCs/>
          <w:sz w:val="24"/>
          <w:lang w:eastAsia="zh-Hans"/>
        </w:rPr>
        <w:t>支付时按照中标金额和实际完成的工作（根据考核文件和确定的服务内容，开展服务，建立服务台账，</w:t>
      </w:r>
      <w:r>
        <w:rPr>
          <w:rFonts w:hint="eastAsia" w:cs="宋体"/>
          <w:bCs/>
          <w:sz w:val="24"/>
        </w:rPr>
        <w:t>考核不合格的经费不予以支付</w:t>
      </w:r>
      <w:r>
        <w:rPr>
          <w:rFonts w:hint="eastAsia" w:cs="宋体"/>
          <w:bCs/>
          <w:sz w:val="24"/>
          <w:lang w:eastAsia="zh-Hans"/>
        </w:rPr>
        <w:t>）</w:t>
      </w:r>
    </w:p>
    <w:p>
      <w:pPr>
        <w:spacing w:line="440" w:lineRule="exact"/>
        <w:jc w:val="center"/>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湖州市幸福邻里中心星级评定标准（试行）</w:t>
      </w:r>
    </w:p>
    <w:p>
      <w:pPr>
        <w:pStyle w:val="4"/>
        <w:spacing w:line="460" w:lineRule="exact"/>
        <w:ind w:firstLine="0"/>
        <w:jc w:val="center"/>
        <w:rPr>
          <w:rFonts w:cs="宋体" w:asciiTheme="minorEastAsia" w:hAnsiTheme="minorEastAsia" w:eastAsiaTheme="minorEastAsia"/>
          <w:b/>
          <w:kern w:val="0"/>
          <w:sz w:val="24"/>
        </w:rPr>
      </w:pPr>
      <w:r>
        <w:rPr>
          <w:rFonts w:asciiTheme="minorEastAsia" w:hAnsiTheme="minorEastAsia" w:eastAsiaTheme="minorEastAsia"/>
          <w:b/>
          <w:color w:val="000000" w:themeColor="text1"/>
          <w:sz w:val="24"/>
          <w14:textFill>
            <w14:solidFill>
              <w14:schemeClr w14:val="tx1"/>
            </w14:solidFill>
          </w14:textFill>
        </w:rPr>
        <w:t>乡镇（街道）级</w:t>
      </w:r>
    </w:p>
    <w:tbl>
      <w:tblPr>
        <w:tblStyle w:val="22"/>
        <w:tblpPr w:leftFromText="180" w:rightFromText="180" w:vertAnchor="text" w:horzAnchor="page" w:tblpXSpec="center" w:tblpY="373"/>
        <w:tblOverlap w:val="never"/>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2"/>
        <w:gridCol w:w="1276"/>
        <w:gridCol w:w="567"/>
        <w:gridCol w:w="6379"/>
        <w:gridCol w:w="567"/>
        <w:gridCol w:w="1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39" w:type="dxa"/>
          <w:trHeight w:val="288" w:hRule="atLeast"/>
          <w:tblHeader/>
          <w:jc w:val="center"/>
        </w:trPr>
        <w:tc>
          <w:tcPr>
            <w:tcW w:w="1162" w:type="dxa"/>
            <w:tcMar>
              <w:top w:w="0" w:type="dxa"/>
              <w:left w:w="28" w:type="dxa"/>
              <w:bottom w:w="0" w:type="dxa"/>
              <w:right w:w="28" w:type="dxa"/>
            </w:tcMar>
            <w:vAlign w:val="center"/>
          </w:tcPr>
          <w:p>
            <w:pPr>
              <w:snapToGrid w:val="0"/>
              <w:jc w:val="center"/>
              <w:rPr>
                <w:rFonts w:asciiTheme="minorEastAsia" w:hAnsiTheme="minorEastAsia" w:eastAsiaTheme="minorEastAsia"/>
                <w:b/>
                <w:bCs/>
                <w:sz w:val="24"/>
              </w:rPr>
            </w:pPr>
            <w:r>
              <w:rPr>
                <w:rFonts w:asciiTheme="minorEastAsia" w:hAnsiTheme="minorEastAsia" w:eastAsiaTheme="minorEastAsia"/>
                <w:b/>
                <w:bCs/>
                <w:sz w:val="24"/>
              </w:rPr>
              <w:t>内容</w:t>
            </w:r>
          </w:p>
        </w:tc>
        <w:tc>
          <w:tcPr>
            <w:tcW w:w="1276" w:type="dxa"/>
            <w:tcMar>
              <w:top w:w="0" w:type="dxa"/>
              <w:left w:w="28" w:type="dxa"/>
              <w:bottom w:w="0" w:type="dxa"/>
              <w:right w:w="28" w:type="dxa"/>
            </w:tcMar>
            <w:vAlign w:val="center"/>
          </w:tcPr>
          <w:p>
            <w:pPr>
              <w:snapToGrid w:val="0"/>
              <w:jc w:val="center"/>
              <w:rPr>
                <w:rFonts w:asciiTheme="minorEastAsia" w:hAnsiTheme="minorEastAsia" w:eastAsiaTheme="minorEastAsia"/>
                <w:b/>
                <w:bCs/>
                <w:sz w:val="24"/>
              </w:rPr>
            </w:pPr>
            <w:r>
              <w:rPr>
                <w:rFonts w:asciiTheme="minorEastAsia" w:hAnsiTheme="minorEastAsia" w:eastAsiaTheme="minorEastAsia"/>
                <w:b/>
                <w:bCs/>
                <w:sz w:val="24"/>
              </w:rPr>
              <w:t>标准</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b/>
                <w:bCs/>
                <w:sz w:val="24"/>
              </w:rPr>
            </w:pPr>
            <w:r>
              <w:rPr>
                <w:rFonts w:asciiTheme="minorEastAsia" w:hAnsiTheme="minorEastAsia" w:eastAsiaTheme="minorEastAsia"/>
                <w:b/>
                <w:bCs/>
                <w:sz w:val="24"/>
              </w:rPr>
              <w:t>分值</w:t>
            </w:r>
          </w:p>
        </w:tc>
        <w:tc>
          <w:tcPr>
            <w:tcW w:w="6379" w:type="dxa"/>
            <w:vAlign w:val="center"/>
          </w:tcPr>
          <w:p>
            <w:pPr>
              <w:snapToGrid w:val="0"/>
              <w:jc w:val="center"/>
              <w:rPr>
                <w:rFonts w:asciiTheme="minorEastAsia" w:hAnsiTheme="minorEastAsia" w:eastAsiaTheme="minorEastAsia"/>
                <w:b/>
                <w:kern w:val="0"/>
                <w:sz w:val="24"/>
              </w:rPr>
            </w:pPr>
            <w:r>
              <w:rPr>
                <w:rFonts w:asciiTheme="minorEastAsia" w:hAnsiTheme="minorEastAsia" w:eastAsiaTheme="minorEastAsia"/>
                <w:b/>
                <w:kern w:val="0"/>
                <w:sz w:val="24"/>
              </w:rPr>
              <w:t>评分规则</w:t>
            </w:r>
          </w:p>
        </w:tc>
        <w:tc>
          <w:tcPr>
            <w:tcW w:w="567" w:type="dxa"/>
            <w:vAlign w:val="center"/>
          </w:tcPr>
          <w:p>
            <w:pPr>
              <w:snapToGrid w:val="0"/>
              <w:jc w:val="center"/>
              <w:rPr>
                <w:rFonts w:asciiTheme="minorEastAsia" w:hAnsiTheme="minorEastAsia" w:eastAsiaTheme="minorEastAsia"/>
                <w:b/>
                <w:kern w:val="0"/>
                <w:sz w:val="24"/>
              </w:rPr>
            </w:pPr>
            <w:r>
              <w:rPr>
                <w:rFonts w:asciiTheme="minorEastAsia" w:hAnsiTheme="minorEastAsia" w:eastAsiaTheme="minorEastAsia"/>
                <w:b/>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39" w:type="dxa"/>
          <w:trHeight w:val="288"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党建引领</w:t>
            </w:r>
          </w:p>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（10分）</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坚持党组织领导</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运营组织负责人坚持党的领导，政治意识坚定，建立党组织得</w:t>
            </w:r>
            <w:r>
              <w:rPr>
                <w:rFonts w:asciiTheme="minorEastAsia" w:hAnsiTheme="minorEastAsia" w:eastAsiaTheme="minorEastAsia"/>
                <w:color w:val="000000" w:themeColor="text1"/>
                <w:sz w:val="24"/>
                <w14:textFill>
                  <w14:solidFill>
                    <w14:schemeClr w14:val="tx1"/>
                  </w14:solidFill>
                </w14:textFill>
              </w:rPr>
              <w:t>2分</w:t>
            </w:r>
            <w:r>
              <w:rPr>
                <w:rFonts w:asciiTheme="minorEastAsia" w:hAnsiTheme="minorEastAsia" w:eastAsiaTheme="minorEastAsia"/>
                <w:color w:val="000000" w:themeColor="text1"/>
                <w:sz w:val="24"/>
                <w:lang w:val="zh-CN"/>
                <w14:textFill>
                  <w14:solidFill>
                    <w14:schemeClr w14:val="tx1"/>
                  </w14:solidFill>
                </w14:textFill>
              </w:rPr>
              <w:t>，未建立党组织但有党建工作联络员得</w:t>
            </w:r>
            <w:r>
              <w:rPr>
                <w:rFonts w:asciiTheme="minorEastAsia" w:hAnsiTheme="minorEastAsia" w:eastAsiaTheme="minorEastAsia"/>
                <w:color w:val="000000" w:themeColor="text1"/>
                <w:sz w:val="24"/>
                <w14:textFill>
                  <w14:solidFill>
                    <w14:schemeClr w14:val="tx1"/>
                  </w14:solidFill>
                </w14:textFill>
              </w:rPr>
              <w:t>1分</w:t>
            </w:r>
            <w:r>
              <w:rPr>
                <w:rFonts w:asciiTheme="minorEastAsia" w:hAnsiTheme="minorEastAsia" w:eastAsiaTheme="minorEastAsia"/>
                <w:color w:val="000000" w:themeColor="text1"/>
                <w:sz w:val="24"/>
                <w:lang w:val="zh-CN"/>
                <w14:textFill>
                  <w14:solidFill>
                    <w14:schemeClr w14:val="tx1"/>
                  </w14:solidFill>
                </w14:textFill>
              </w:rPr>
              <w:t>。</w:t>
            </w:r>
          </w:p>
        </w:tc>
        <w:tc>
          <w:tcPr>
            <w:tcW w:w="567" w:type="dxa"/>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39" w:type="dxa"/>
          <w:trHeight w:val="288"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工作有计划有总结</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w:t>
            </w:r>
          </w:p>
        </w:tc>
        <w:tc>
          <w:tcPr>
            <w:tcW w:w="6379" w:type="dxa"/>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积极主动与乡镇（街道）进行对接联系，年度对接商定工作计划得</w:t>
            </w:r>
            <w:r>
              <w:rPr>
                <w:rFonts w:asciiTheme="minorEastAsia" w:hAnsiTheme="minorEastAsia" w:eastAsiaTheme="minorEastAsia"/>
                <w:color w:val="000000" w:themeColor="text1"/>
                <w:sz w:val="24"/>
                <w14:textFill>
                  <w14:solidFill>
                    <w14:schemeClr w14:val="tx1"/>
                  </w14:solidFill>
                </w14:textFill>
              </w:rPr>
              <w:t>1分</w:t>
            </w:r>
            <w:r>
              <w:rPr>
                <w:rFonts w:asciiTheme="minorEastAsia" w:hAnsiTheme="minorEastAsia" w:eastAsiaTheme="minorEastAsia"/>
                <w:color w:val="000000" w:themeColor="text1"/>
                <w:sz w:val="24"/>
                <w:lang w:val="zh-CN"/>
                <w14:textFill>
                  <w14:solidFill>
                    <w14:schemeClr w14:val="tx1"/>
                  </w14:solidFill>
                </w14:textFill>
              </w:rPr>
              <w:t>，月度对接商定工作计划得</w:t>
            </w:r>
            <w:r>
              <w:rPr>
                <w:rFonts w:asciiTheme="minorEastAsia" w:hAnsiTheme="minorEastAsia" w:eastAsiaTheme="minorEastAsia"/>
                <w:color w:val="000000" w:themeColor="text1"/>
                <w:sz w:val="24"/>
                <w14:textFill>
                  <w14:solidFill>
                    <w14:schemeClr w14:val="tx1"/>
                  </w14:solidFill>
                </w14:textFill>
              </w:rPr>
              <w:t>1分</w:t>
            </w:r>
            <w:r>
              <w:rPr>
                <w:rFonts w:asciiTheme="minorEastAsia" w:hAnsiTheme="minorEastAsia" w:eastAsiaTheme="minorEastAsia"/>
                <w:color w:val="000000" w:themeColor="text1"/>
                <w:sz w:val="24"/>
                <w:lang w:val="zh-CN"/>
                <w14:textFill>
                  <w14:solidFill>
                    <w14:schemeClr w14:val="tx1"/>
                  </w14:solidFill>
                </w14:textFill>
              </w:rPr>
              <w:t>，少</w:t>
            </w:r>
            <w:r>
              <w:rPr>
                <w:rFonts w:asciiTheme="minorEastAsia" w:hAnsiTheme="minorEastAsia" w:eastAsiaTheme="minorEastAsia"/>
                <w:color w:val="000000" w:themeColor="text1"/>
                <w:sz w:val="24"/>
                <w14:textFill>
                  <w14:solidFill>
                    <w14:schemeClr w14:val="tx1"/>
                  </w14:solidFill>
                </w14:textFill>
              </w:rPr>
              <w:t>1次扣0.2分；</w:t>
            </w:r>
            <w:r>
              <w:rPr>
                <w:rFonts w:asciiTheme="minorEastAsia" w:hAnsiTheme="minorEastAsia" w:eastAsiaTheme="minorEastAsia"/>
                <w:color w:val="000000" w:themeColor="text1"/>
                <w:sz w:val="24"/>
                <w:lang w:val="zh-CN"/>
                <w14:textFill>
                  <w14:solidFill>
                    <w14:schemeClr w14:val="tx1"/>
                  </w14:solidFill>
                </w14:textFill>
              </w:rPr>
              <w:t>年中年末均进行工作总结得</w:t>
            </w:r>
            <w:r>
              <w:rPr>
                <w:rFonts w:asciiTheme="minorEastAsia" w:hAnsiTheme="minorEastAsia" w:eastAsiaTheme="minorEastAsia"/>
                <w:color w:val="000000" w:themeColor="text1"/>
                <w:sz w:val="24"/>
                <w14:textFill>
                  <w14:solidFill>
                    <w14:schemeClr w14:val="tx1"/>
                  </w14:solidFill>
                </w14:textFill>
              </w:rPr>
              <w:t>2分，少一次扣1分</w:t>
            </w:r>
            <w:r>
              <w:rPr>
                <w:rFonts w:asciiTheme="minorEastAsia" w:hAnsiTheme="minorEastAsia" w:eastAsiaTheme="minorEastAsia"/>
                <w:color w:val="000000" w:themeColor="text1"/>
                <w:sz w:val="24"/>
                <w:lang w:val="zh-CN"/>
                <w14:textFill>
                  <w14:solidFill>
                    <w14:schemeClr w14:val="tx1"/>
                  </w14:solidFill>
                </w14:textFill>
              </w:rPr>
              <w:t>。</w:t>
            </w:r>
          </w:p>
        </w:tc>
        <w:tc>
          <w:tcPr>
            <w:tcW w:w="567" w:type="dxa"/>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39" w:type="dxa"/>
          <w:trHeight w:val="31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主动参与基层党建活动</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与乡镇（街道）共同讨论制订基层党建活动计划得</w:t>
            </w:r>
            <w:r>
              <w:rPr>
                <w:rFonts w:asciiTheme="minorEastAsia" w:hAnsiTheme="minorEastAsia" w:eastAsiaTheme="minorEastAsia"/>
                <w:color w:val="000000" w:themeColor="text1"/>
                <w:sz w:val="24"/>
                <w14:textFill>
                  <w14:solidFill>
                    <w14:schemeClr w14:val="tx1"/>
                  </w14:solidFill>
                </w14:textFill>
              </w:rPr>
              <w:t>1分</w:t>
            </w:r>
            <w:r>
              <w:rPr>
                <w:rFonts w:asciiTheme="minorEastAsia" w:hAnsiTheme="minorEastAsia" w:eastAsiaTheme="minorEastAsia"/>
                <w:color w:val="000000" w:themeColor="text1"/>
                <w:sz w:val="24"/>
                <w:lang w:val="zh-CN"/>
                <w14:textFill>
                  <w14:solidFill>
                    <w14:schemeClr w14:val="tx1"/>
                  </w14:solidFill>
                </w14:textFill>
              </w:rPr>
              <w:t>，开展党建活动每年不少于</w:t>
            </w:r>
            <w:r>
              <w:rPr>
                <w:rFonts w:asciiTheme="minorEastAsia" w:hAnsiTheme="minorEastAsia" w:eastAsiaTheme="minorEastAsia"/>
                <w:color w:val="000000" w:themeColor="text1"/>
                <w:sz w:val="24"/>
                <w14:textFill>
                  <w14:solidFill>
                    <w14:schemeClr w14:val="tx1"/>
                  </w14:solidFill>
                </w14:textFill>
              </w:rPr>
              <w:t>4次得2分，少1次扣0.25分</w:t>
            </w:r>
            <w:r>
              <w:rPr>
                <w:rFonts w:asciiTheme="minorEastAsia" w:hAnsiTheme="minorEastAsia" w:eastAsiaTheme="minorEastAsia"/>
                <w:color w:val="000000" w:themeColor="text1"/>
                <w:sz w:val="24"/>
                <w:lang w:val="zh-CN"/>
                <w14:textFill>
                  <w14:solidFill>
                    <w14:schemeClr w14:val="tx1"/>
                  </w14:solidFill>
                </w14:textFill>
              </w:rPr>
              <w:t>。</w:t>
            </w:r>
          </w:p>
        </w:tc>
        <w:tc>
          <w:tcPr>
            <w:tcW w:w="567" w:type="dxa"/>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39" w:type="dxa"/>
          <w:trHeight w:val="240"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环境设施</w:t>
            </w:r>
          </w:p>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（10分）</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场地面积、功能设施和标识标牌</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邻里中心空间布局合理，建筑总面积不少于800㎡得1分；标识标牌要有辨识度，符合标准规定得0.5分；邻里中心文化特色鲜明，常态化宣传推广市、区县、乡镇（街道）特色工作和邻里中心工作得0.5分；功能设施完好得0.5分，破损且影响使用的发现一处扣0.2分；功能室全部对外开放得0.5分，发现没开放一处扣0.1分；</w:t>
            </w:r>
          </w:p>
        </w:tc>
        <w:tc>
          <w:tcPr>
            <w:tcW w:w="567"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39" w:type="dxa"/>
          <w:trHeight w:val="28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资源整合</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有效统筹整合乡镇（街道）辖区内的平台阵地、公共服务类资源，搭建服务网络，建立资源库，并用于具体服务活动中。资源整合好的得3分，整合不到位酌情扣分。</w:t>
            </w:r>
          </w:p>
        </w:tc>
        <w:tc>
          <w:tcPr>
            <w:tcW w:w="567"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39" w:type="dxa"/>
          <w:trHeight w:val="288"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环境卫生</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落实垃圾分类管理制度得2分，未落实不得分。室内环境卫生整洁，地面无烟蒂、纸屑等垃圾和积水现象，墙体没有乱涂乱画、污质和脱落现象，得1分，发现一处扣0.2分；室外周边环境整洁，无乱堆乱放、乱停车等现象，得1分，发现一处扣0.2分。</w:t>
            </w:r>
          </w:p>
        </w:tc>
        <w:tc>
          <w:tcPr>
            <w:tcW w:w="567"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300"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制度建设</w:t>
            </w:r>
          </w:p>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（15分）</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管理制度</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建立社会工作者管理制度、岗位职责和工作守则，建立完善得1分。通过资料查阅和人员访谈考查制度落实情况，严格</w:t>
            </w:r>
            <w:r>
              <w:rPr>
                <w:rFonts w:asciiTheme="minorEastAsia" w:hAnsiTheme="minorEastAsia" w:eastAsiaTheme="minorEastAsia"/>
                <w:color w:val="000000" w:themeColor="text1"/>
                <w:sz w:val="24"/>
                <w14:textFill>
                  <w14:solidFill>
                    <w14:schemeClr w14:val="tx1"/>
                  </w14:solidFill>
                </w14:textFill>
              </w:rPr>
              <w:t>按制度规定执行，得1分；存在部分不一致之处，得0.5分；大部分未落实或者完全不落实，得0分。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30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财务制度</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运营组织根据实际情况建立各项较为完善的财务管理制度，并严格按制度执行，得2分。运营经费独立核算，资金使用规范得1分。账目记录清晰，账务处理及时，票据使用规范，凭证档案装订整齐得1分。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56"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档案制度</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建立档案管理制度，制度建立完善得1分，比较完善得0.5分。通过检查档案，</w:t>
            </w:r>
            <w:r>
              <w:rPr>
                <w:rFonts w:asciiTheme="minorEastAsia" w:hAnsiTheme="minorEastAsia" w:eastAsiaTheme="minorEastAsia"/>
                <w:color w:val="000000" w:themeColor="text1"/>
                <w:sz w:val="24"/>
                <w14:textFill>
                  <w14:solidFill>
                    <w14:schemeClr w14:val="tx1"/>
                  </w14:solidFill>
                </w14:textFill>
              </w:rPr>
              <w:t>按制度执行，得1分；存在部分不一致之处，得0.5分；大部分未落实或者完全不落实，得0分。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88"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运营制度</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建立场地及功能室使用制度等管理制度</w:t>
            </w:r>
            <w:r>
              <w:rPr>
                <w:rFonts w:asciiTheme="minorEastAsia" w:hAnsiTheme="minorEastAsia" w:eastAsiaTheme="minorEastAsia"/>
                <w:color w:val="000000" w:themeColor="text1"/>
                <w:kern w:val="0"/>
                <w:sz w:val="24"/>
                <w14:textFill>
                  <w14:solidFill>
                    <w14:schemeClr w14:val="tx1"/>
                  </w14:solidFill>
                </w14:textFill>
              </w:rPr>
              <w:t>，建立完善得1分，比较完善得0.5分。通过资料查阅和人员访谈考查制度落实情况，</w:t>
            </w:r>
            <w:r>
              <w:rPr>
                <w:rFonts w:asciiTheme="minorEastAsia" w:hAnsiTheme="minorEastAsia" w:eastAsiaTheme="minorEastAsia"/>
                <w:color w:val="000000" w:themeColor="text1"/>
                <w:sz w:val="24"/>
                <w14:textFill>
                  <w14:solidFill>
                    <w14:schemeClr w14:val="tx1"/>
                  </w14:solidFill>
                </w14:textFill>
              </w:rPr>
              <w:t>按制度执行，得1分；存在部分不一致之处，得0.5分；大部分未落实或者完全不落实，得0分。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62"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安全制度</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各项消防安全制度建立完善得1分，比较完善得0.5分。</w:t>
            </w:r>
            <w:r>
              <w:rPr>
                <w:rFonts w:asciiTheme="minorEastAsia" w:hAnsiTheme="minorEastAsia" w:eastAsiaTheme="minorEastAsia"/>
                <w:color w:val="000000" w:themeColor="text1"/>
                <w:sz w:val="24"/>
                <w14:textFill>
                  <w14:solidFill>
                    <w14:schemeClr w14:val="tx1"/>
                  </w14:solidFill>
                </w14:textFill>
              </w:rPr>
              <w:t>经常性开展消防安全教育培训得1分，教育培训记录不完整扣0.5分，未开展教育培训，得0分。定期开展消防安全巡查，发现安全隐患立即消除，得1分；发现隐患未能及时整改，每处扣0.2分；巡查记录不完备，扣0.2分；未定期开展巡查，得0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4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监督制度</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建立监督评议制度，建立完善得1分，比较完善得0.5分。</w:t>
            </w:r>
            <w:r>
              <w:rPr>
                <w:rFonts w:asciiTheme="minorEastAsia" w:hAnsiTheme="minorEastAsia" w:eastAsiaTheme="minorEastAsia"/>
                <w:color w:val="000000" w:themeColor="text1"/>
                <w:sz w:val="24"/>
                <w14:textFill>
                  <w14:solidFill>
                    <w14:schemeClr w14:val="tx1"/>
                  </w14:solidFill>
                </w14:textFill>
              </w:rPr>
              <w:t>通过查阅服务记录、电话核实及人员访谈的形式，严格按制度执行得1分；存在部分不一致之处，得0.5分；大部分未落实或者完全不落实，得0分。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55"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人员配置</w:t>
            </w:r>
          </w:p>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（10分）</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专职人员配备</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符合相关文件和合同协议的要求，配备</w:t>
            </w:r>
            <w:r>
              <w:rPr>
                <w:rFonts w:asciiTheme="minorEastAsia" w:hAnsiTheme="minorEastAsia" w:eastAsiaTheme="minorEastAsia"/>
                <w:color w:val="000000" w:themeColor="text1"/>
                <w:sz w:val="24"/>
                <w14:textFill>
                  <w14:solidFill>
                    <w14:schemeClr w14:val="tx1"/>
                  </w14:solidFill>
                </w14:textFill>
              </w:rPr>
              <w:t>3名专职工作人员(</w:t>
            </w:r>
            <w:r>
              <w:rPr>
                <w:rFonts w:asciiTheme="minorEastAsia" w:hAnsiTheme="minorEastAsia" w:eastAsiaTheme="minorEastAsia"/>
                <w:bCs/>
                <w:color w:val="000000" w:themeColor="text1"/>
                <w:sz w:val="24"/>
                <w14:textFill>
                  <w14:solidFill>
                    <w14:schemeClr w14:val="tx1"/>
                  </w14:solidFill>
                </w14:textFill>
              </w:rPr>
              <w:t>以签订合同和社保为准)，专职工作人员须统一着装，不符合要求不得分。（如有退休返聘人员，需签订服务合同，每个中心最多1人，须持有社会工作者职业水平证书，凭工资流水、证书和合同三者俱全才能核定为专职工作人员）</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33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持证社工配备</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中心专职工作人员须有</w:t>
            </w:r>
            <w:r>
              <w:rPr>
                <w:rFonts w:asciiTheme="minorEastAsia" w:hAnsiTheme="minorEastAsia" w:eastAsiaTheme="minorEastAsia"/>
                <w:color w:val="000000" w:themeColor="text1"/>
                <w:sz w:val="24"/>
                <w14:textFill>
                  <w14:solidFill>
                    <w14:schemeClr w14:val="tx1"/>
                  </w14:solidFill>
                </w14:textFill>
              </w:rPr>
              <w:t>50%以上</w:t>
            </w:r>
            <w:r>
              <w:rPr>
                <w:rFonts w:asciiTheme="minorEastAsia" w:hAnsiTheme="minorEastAsia" w:eastAsiaTheme="minorEastAsia"/>
                <w:color w:val="000000" w:themeColor="text1"/>
                <w:sz w:val="24"/>
                <w:lang w:val="zh-CN"/>
                <w14:textFill>
                  <w14:solidFill>
                    <w14:schemeClr w14:val="tx1"/>
                  </w14:solidFill>
                </w14:textFill>
              </w:rPr>
              <w:t>取得社会工作者职业水平证书</w:t>
            </w:r>
            <w:r>
              <w:rPr>
                <w:rFonts w:asciiTheme="minorEastAsia" w:hAnsiTheme="minorEastAsia" w:eastAsiaTheme="minorEastAsia"/>
                <w:color w:val="000000" w:themeColor="text1"/>
                <w:sz w:val="24"/>
                <w14:textFill>
                  <w14:solidFill>
                    <w14:schemeClr w14:val="tx1"/>
                  </w14:solidFill>
                </w14:textFill>
              </w:rPr>
              <w:t>，少一个扣1分，扣完为止。</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36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社会工作服务经验</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全体专职工作人员都有一年以上社会工作服务经验的，得</w:t>
            </w:r>
            <w:r>
              <w:rPr>
                <w:rFonts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lang w:val="zh-CN"/>
                <w14:textFill>
                  <w14:solidFill>
                    <w14:schemeClr w14:val="tx1"/>
                  </w14:solidFill>
                </w14:textFill>
              </w:rPr>
              <w:t>分；</w:t>
            </w:r>
            <w:r>
              <w:rPr>
                <w:rFonts w:asciiTheme="minorEastAsia" w:hAnsiTheme="minorEastAsia" w:eastAsiaTheme="minorEastAsia"/>
                <w:color w:val="000000" w:themeColor="text1"/>
                <w:sz w:val="24"/>
                <w14:textFill>
                  <w14:solidFill>
                    <w14:schemeClr w14:val="tx1"/>
                  </w14:solidFill>
                </w14:textFill>
              </w:rPr>
              <w:t>1—2人有</w:t>
            </w:r>
            <w:r>
              <w:rPr>
                <w:rFonts w:asciiTheme="minorEastAsia" w:hAnsiTheme="minorEastAsia" w:eastAsiaTheme="minorEastAsia"/>
                <w:color w:val="000000" w:themeColor="text1"/>
                <w:sz w:val="24"/>
                <w:lang w:val="zh-CN"/>
                <w14:textFill>
                  <w14:solidFill>
                    <w14:schemeClr w14:val="tx1"/>
                  </w14:solidFill>
                </w14:textFill>
              </w:rPr>
              <w:t>一年以上社会工作服务经验的得</w:t>
            </w:r>
            <w:r>
              <w:rPr>
                <w:rFonts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lang w:val="zh-CN"/>
                <w14:textFill>
                  <w14:solidFill>
                    <w14:schemeClr w14:val="tx1"/>
                  </w14:solidFill>
                </w14:textFill>
              </w:rPr>
              <w:t>分；没有不得分。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34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接受培训督导</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每个专职工作人员接受内外部相关教育培训时数不少于</w:t>
            </w:r>
            <w:r>
              <w:rPr>
                <w:rFonts w:asciiTheme="minorEastAsia" w:hAnsiTheme="minorEastAsia" w:eastAsiaTheme="minorEastAsia"/>
                <w:color w:val="000000" w:themeColor="text1"/>
                <w:sz w:val="24"/>
                <w14:textFill>
                  <w14:solidFill>
                    <w14:schemeClr w14:val="tx1"/>
                  </w14:solidFill>
                </w14:textFill>
              </w:rPr>
              <w:t>50课时（每课时为40分钟，需提供培训通知、培训记录、培训图片等证明），按规定执行得1.5分，教育培训少于规定课时的，少一个课时扣0.2分；</w:t>
            </w:r>
            <w:r>
              <w:rPr>
                <w:rFonts w:asciiTheme="minorEastAsia" w:hAnsiTheme="minorEastAsia" w:eastAsiaTheme="minorEastAsia"/>
                <w:color w:val="000000" w:themeColor="text1"/>
                <w:sz w:val="24"/>
                <w:lang w:val="zh-CN"/>
                <w14:textFill>
                  <w14:solidFill>
                    <w14:schemeClr w14:val="tx1"/>
                  </w14:solidFill>
                </w14:textFill>
              </w:rPr>
              <w:t>运营组织须建有督导制度，对专职工作人员每月至少开展</w:t>
            </w:r>
            <w:r>
              <w:rPr>
                <w:rFonts w:asciiTheme="minorEastAsia" w:hAnsiTheme="minorEastAsia" w:eastAsiaTheme="minorEastAsia"/>
                <w:color w:val="000000" w:themeColor="text1"/>
                <w:sz w:val="24"/>
                <w14:textFill>
                  <w14:solidFill>
                    <w14:schemeClr w14:val="tx1"/>
                  </w14:solidFill>
                </w14:textFill>
              </w:rPr>
              <w:t>1次</w:t>
            </w:r>
            <w:r>
              <w:rPr>
                <w:rFonts w:asciiTheme="minorEastAsia" w:hAnsiTheme="minorEastAsia" w:eastAsiaTheme="minorEastAsia"/>
                <w:color w:val="000000" w:themeColor="text1"/>
                <w:sz w:val="24"/>
                <w:lang w:val="zh-CN"/>
                <w14:textFill>
                  <w14:solidFill>
                    <w14:schemeClr w14:val="tx1"/>
                  </w14:solidFill>
                </w14:textFill>
              </w:rPr>
              <w:t>督导服务，督导资质以政府部门的文件为准（国家、省督导和南太湖社会工作领军人才，且须持有助理社会工作师证书并从事社会工作满</w:t>
            </w:r>
            <w:r>
              <w:rPr>
                <w:rFonts w:asciiTheme="minorEastAsia" w:hAnsiTheme="minorEastAsia" w:eastAsiaTheme="minorEastAsia"/>
                <w:color w:val="000000" w:themeColor="text1"/>
                <w:sz w:val="24"/>
                <w14:textFill>
                  <w14:solidFill>
                    <w14:schemeClr w14:val="tx1"/>
                  </w14:solidFill>
                </w14:textFill>
              </w:rPr>
              <w:t>3年以上</w:t>
            </w:r>
            <w:r>
              <w:rPr>
                <w:rFonts w:asciiTheme="minorEastAsia" w:hAnsiTheme="minorEastAsia" w:eastAsiaTheme="minorEastAsia"/>
                <w:color w:val="000000" w:themeColor="text1"/>
                <w:sz w:val="24"/>
                <w:lang w:val="zh-CN"/>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按规定执行得1.5分，少一次扣0.2分。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70"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服务开展</w:t>
            </w:r>
          </w:p>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（47分）</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正常开放服务</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每月须提前制定月度活动安排，并告之服务对象，得1分，未制定活动安排或未告之服务对象不得分。每天开放时间不少于8小时，开放天数每周不少于5天，</w:t>
            </w:r>
            <w:r>
              <w:rPr>
                <w:rFonts w:asciiTheme="minorEastAsia" w:hAnsiTheme="minorEastAsia" w:eastAsiaTheme="minorEastAsia"/>
                <w:bCs/>
                <w:color w:val="000000" w:themeColor="text1"/>
                <w:sz w:val="24"/>
                <w14:textFill>
                  <w14:solidFill>
                    <w14:schemeClr w14:val="tx1"/>
                  </w14:solidFill>
                </w14:textFill>
              </w:rPr>
              <w:t>周末须有一天必须对外开放，开放时间须对外公告，得3分，没有对外公告扣0.5分，少对外开放一天扣0.5分，周末未对外开放扣0.5分。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30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开展需求调查</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对辖区内各方面情况</w:t>
            </w:r>
            <w:r>
              <w:rPr>
                <w:rFonts w:asciiTheme="minorEastAsia" w:hAnsiTheme="minorEastAsia" w:eastAsiaTheme="minorEastAsia"/>
                <w:color w:val="000000" w:themeColor="text1"/>
                <w:sz w:val="24"/>
                <w:lang w:val="zh-CN"/>
                <w14:textFill>
                  <w14:solidFill>
                    <w14:schemeClr w14:val="tx1"/>
                  </w14:solidFill>
                </w14:textFill>
              </w:rPr>
              <w:t>进行全面了解和掌握，得1分，</w:t>
            </w:r>
            <w:r>
              <w:rPr>
                <w:rFonts w:asciiTheme="minorEastAsia" w:hAnsiTheme="minorEastAsia" w:eastAsiaTheme="minorEastAsia"/>
                <w:color w:val="000000" w:themeColor="text1"/>
                <w:kern w:val="0"/>
                <w:sz w:val="24"/>
                <w14:textFill>
                  <w14:solidFill>
                    <w14:schemeClr w14:val="tx1"/>
                  </w14:solidFill>
                </w14:textFill>
              </w:rPr>
              <w:t>通过资料查阅和人员访谈，情况掌握不清的酌情扣分。</w:t>
            </w:r>
            <w:r>
              <w:rPr>
                <w:rFonts w:asciiTheme="minorEastAsia" w:hAnsiTheme="minorEastAsia" w:eastAsiaTheme="minorEastAsia"/>
                <w:color w:val="000000" w:themeColor="text1"/>
                <w:sz w:val="24"/>
                <w:lang w:val="zh-CN"/>
                <w14:textFill>
                  <w14:solidFill>
                    <w14:schemeClr w14:val="tx1"/>
                  </w14:solidFill>
                </w14:textFill>
              </w:rPr>
              <w:t>对辖区内老年人、儿童青少年、社会救助对象</w:t>
            </w:r>
            <w:r>
              <w:rPr>
                <w:rFonts w:asciiTheme="minorEastAsia" w:hAnsiTheme="minorEastAsia" w:eastAsiaTheme="minorEastAsia"/>
                <w:color w:val="000000" w:themeColor="text1"/>
                <w:sz w:val="24"/>
                <w14:textFill>
                  <w14:solidFill>
                    <w14:schemeClr w14:val="tx1"/>
                  </w14:solidFill>
                </w14:textFill>
              </w:rPr>
              <w:t>等群体开展需求调查，根据需求制定针对性服务方案，得3分；未开展调查的不得分，未制定针对性服务方案，扣2分。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2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组织居民活动</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15</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有</w:t>
            </w:r>
            <w:r>
              <w:rPr>
                <w:rFonts w:asciiTheme="minorEastAsia" w:hAnsiTheme="minorEastAsia" w:eastAsiaTheme="minorEastAsia"/>
                <w:color w:val="000000" w:themeColor="text1"/>
                <w:kern w:val="0"/>
                <w:sz w:val="24"/>
                <w14:textFill>
                  <w14:solidFill>
                    <w14:schemeClr w14:val="tx1"/>
                  </w14:solidFill>
                </w14:textFill>
              </w:rPr>
              <w:t>组织性开展各类主题文化活动，每月不少于5场，其中50人—100人全年不少于8场，100人以上不少于2场（活动记录、通知、手写签到表、照片），得15分，少1场扣1分。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5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专业小组服务</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6</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根据</w:t>
            </w:r>
            <w:r>
              <w:rPr>
                <w:rFonts w:asciiTheme="minorEastAsia" w:hAnsiTheme="minorEastAsia" w:eastAsiaTheme="minorEastAsia"/>
                <w:color w:val="000000" w:themeColor="text1"/>
                <w:sz w:val="24"/>
                <w14:textFill>
                  <w14:solidFill>
                    <w14:schemeClr w14:val="tx1"/>
                  </w14:solidFill>
                </w14:textFill>
              </w:rPr>
              <w:t>针对性服务方案，</w:t>
            </w:r>
            <w:r>
              <w:rPr>
                <w:rFonts w:asciiTheme="minorEastAsia" w:hAnsiTheme="minorEastAsia" w:eastAsiaTheme="minorEastAsia"/>
                <w:bCs/>
                <w:color w:val="000000" w:themeColor="text1"/>
                <w:sz w:val="24"/>
                <w14:textFill>
                  <w14:solidFill>
                    <w14:schemeClr w14:val="tx1"/>
                  </w14:solidFill>
                </w14:textFill>
              </w:rPr>
              <w:t>设立专业小组，</w:t>
            </w:r>
            <w:r>
              <w:rPr>
                <w:rFonts w:asciiTheme="minorEastAsia" w:hAnsiTheme="minorEastAsia" w:eastAsiaTheme="minorEastAsia"/>
                <w:color w:val="000000" w:themeColor="text1"/>
                <w:sz w:val="24"/>
                <w14:textFill>
                  <w14:solidFill>
                    <w14:schemeClr w14:val="tx1"/>
                  </w14:solidFill>
                </w14:textFill>
              </w:rPr>
              <w:t>为</w:t>
            </w:r>
            <w:r>
              <w:rPr>
                <w:rFonts w:asciiTheme="minorEastAsia" w:hAnsiTheme="minorEastAsia" w:eastAsiaTheme="minorEastAsia"/>
                <w:color w:val="000000" w:themeColor="text1"/>
                <w:sz w:val="24"/>
                <w:lang w:val="zh-CN"/>
                <w14:textFill>
                  <w14:solidFill>
                    <w14:schemeClr w14:val="tx1"/>
                  </w14:solidFill>
                </w14:textFill>
              </w:rPr>
              <w:t>辖区内老年人、儿童青少年、社会救助对象</w:t>
            </w:r>
            <w:r>
              <w:rPr>
                <w:rFonts w:asciiTheme="minorEastAsia" w:hAnsiTheme="minorEastAsia" w:eastAsiaTheme="minorEastAsia"/>
                <w:color w:val="000000" w:themeColor="text1"/>
                <w:sz w:val="24"/>
                <w14:textFill>
                  <w14:solidFill>
                    <w14:schemeClr w14:val="tx1"/>
                  </w14:solidFill>
                </w14:textFill>
              </w:rPr>
              <w:t>等群体开展专项服务活动，小组每年开展专项活动不少于4次，提供完整资料（活动记录、通知、手写签到表、照片）</w:t>
            </w:r>
            <w:r>
              <w:rPr>
                <w:rFonts w:asciiTheme="minorEastAsia" w:hAnsiTheme="minorEastAsia" w:eastAsiaTheme="minorEastAsia"/>
                <w:bCs/>
                <w:color w:val="000000" w:themeColor="text1"/>
                <w:sz w:val="24"/>
                <w14:textFill>
                  <w14:solidFill>
                    <w14:schemeClr w14:val="tx1"/>
                  </w14:solidFill>
                </w14:textFill>
              </w:rPr>
              <w:t>，未开展专业活动不得分，少1次活动扣1分，缺少资料酌情扣分。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8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培育社区社会组织</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6</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每年培育社会组织累计不少于2 个，</w:t>
            </w:r>
            <w:r>
              <w:rPr>
                <w:rFonts w:asciiTheme="minorEastAsia" w:hAnsiTheme="minorEastAsia" w:eastAsiaTheme="minorEastAsia"/>
                <w:bCs/>
                <w:color w:val="000000" w:themeColor="text1"/>
                <w:sz w:val="24"/>
                <w14:textFill>
                  <w14:solidFill>
                    <w14:schemeClr w14:val="tx1"/>
                  </w14:solidFill>
                </w14:textFill>
              </w:rPr>
              <w:t>少完成1个扣1分（须提供社会组织组织架构、人员名单、服务领域、章程、工作计划和备案表等），材料不全酌情扣分。回应社会组织需求和问题，有年度指导和培训工作计划的得1分，</w:t>
            </w:r>
            <w:r>
              <w:rPr>
                <w:rFonts w:asciiTheme="minorEastAsia" w:hAnsiTheme="minorEastAsia" w:eastAsiaTheme="minorEastAsia"/>
                <w:color w:val="000000" w:themeColor="text1"/>
                <w:sz w:val="24"/>
                <w14:textFill>
                  <w14:solidFill>
                    <w14:schemeClr w14:val="tx1"/>
                  </w14:solidFill>
                </w14:textFill>
              </w:rPr>
              <w:t>每年组织培训及交流活动不少于 2 次，每次得</w:t>
            </w:r>
            <w:r>
              <w:rPr>
                <w:rFonts w:hint="eastAsia" w:asciiTheme="minorEastAsia" w:hAnsiTheme="minorEastAsia" w:eastAsiaTheme="minorEastAsia"/>
                <w:color w:val="000000" w:themeColor="text1"/>
                <w:sz w:val="24"/>
                <w14:textFill>
                  <w14:solidFill>
                    <w14:schemeClr w14:val="tx1"/>
                  </w14:solidFill>
                </w14:textFill>
              </w:rPr>
              <w:t>0.5</w:t>
            </w:r>
            <w:r>
              <w:rPr>
                <w:rFonts w:asciiTheme="minorEastAsia" w:hAnsiTheme="minorEastAsia" w:eastAsiaTheme="minorEastAsia"/>
                <w:color w:val="000000" w:themeColor="text1"/>
                <w:sz w:val="24"/>
                <w14:textFill>
                  <w14:solidFill>
                    <w14:schemeClr w14:val="tx1"/>
                  </w14:solidFill>
                </w14:textFill>
              </w:rPr>
              <w:t>分</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提供完整</w:t>
            </w:r>
            <w:r>
              <w:rPr>
                <w:rFonts w:asciiTheme="minorEastAsia" w:hAnsiTheme="minorEastAsia" w:eastAsiaTheme="minorEastAsia"/>
                <w:bCs/>
                <w:color w:val="000000" w:themeColor="text1"/>
                <w:sz w:val="24"/>
                <w14:textFill>
                  <w14:solidFill>
                    <w14:schemeClr w14:val="tx1"/>
                  </w14:solidFill>
                </w14:textFill>
              </w:rPr>
              <w:t>资料</w:t>
            </w:r>
            <w:r>
              <w:rPr>
                <w:rFonts w:asciiTheme="minorEastAsia" w:hAnsiTheme="minorEastAsia" w:eastAsiaTheme="minorEastAsia"/>
                <w:color w:val="000000" w:themeColor="text1"/>
                <w:sz w:val="24"/>
                <w14:textFill>
                  <w14:solidFill>
                    <w14:schemeClr w14:val="tx1"/>
                  </w14:solidFill>
                </w14:textFill>
              </w:rPr>
              <w:t>（活动记录、通知、手写签到表、照片）</w:t>
            </w:r>
            <w:r>
              <w:rPr>
                <w:rFonts w:asciiTheme="minorEastAsia" w:hAnsiTheme="minorEastAsia" w:eastAsiaTheme="minorEastAsia"/>
                <w:bCs/>
                <w:color w:val="000000" w:themeColor="text1"/>
                <w:sz w:val="24"/>
                <w14:textFill>
                  <w14:solidFill>
                    <w14:schemeClr w14:val="tx1"/>
                  </w14:solidFill>
                </w14:textFill>
              </w:rPr>
              <w:t>，资料不全酌情扣分。开展社区社会组织活跃度体检，确保社区社会组织常态化可持续性发展，得2分。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4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化解基层矛盾</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联动乡镇（街道）和村社区建立矛盾纠纷调解工作机制，积极协助化解基层矛盾纠纷，主动参与基层社会治理。有制度、有参与得4分，没参与不得分。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7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组织民主协商</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8</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聚焦社区治理问题和服务对象的利益诉求，有目的、有组织性的开展民主协商，确定议事规则，形成议事结果，监测决议执行。每年开展民主协商不少于4次，每次得2分，提供记录完整、清晰，资料（通知、签到表、相关过程资料和照片等），资料不全酌情扣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315"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服务成效</w:t>
            </w:r>
          </w:p>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（8分）</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党委政府测评</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各级党委政府对幸福邻里中心运营管理及成效进行综合评价。满意度90分以上的，得3分，满意度得分每下降5分扣除0.5分。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24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群众满意测评</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服务对象对幸福邻里中心所开展服务的满意度（内容、形式、安排、社工的服务态度、专业能力等）以及服务效果等方面的综合评价。满意度80%以上的，得3分，满意度百分比每下降5个百分点扣除0.5分。以实际访谈或通话为有效评价。</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27" w:type="dxa"/>
          <w:trHeight w:val="18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媒体宣传报道</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县级以上公共媒体对服务工作进行过2次或2次以上的正面报导的，得2分，1次得1分，无报导此项不得分。</w:t>
            </w:r>
          </w:p>
        </w:tc>
        <w:tc>
          <w:tcPr>
            <w:tcW w:w="579" w:type="dxa"/>
            <w:gridSpan w:val="2"/>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加分项</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创建品牌亮点</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在辖区范围内策划并实施特色或品牌服务项目，积极推动项目实施，形成一定效应和影响力，视情况给分。结合乡镇（街道）实际，在社区治理方面成效明显并在市级以上媒体报道有体系支撑的，视情况给分。</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邻里中心食堂</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有专门的邻里食堂，签有协议并正常运营，工作人员均持有健康证的，加2分，没有设立专门的食堂只签订送餐服务的，或工作人员健康证不齐全的不列入加分范围。</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场地面积（1</w:t>
            </w:r>
            <w:r>
              <w:rPr>
                <w:rFonts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lang w:val="zh-CN"/>
                <w14:textFill>
                  <w14:solidFill>
                    <w14:schemeClr w14:val="tx1"/>
                  </w14:solidFill>
                </w14:textFill>
              </w:rPr>
              <w:t>00平米以上）</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1-2</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场地建筑面积在1200平米（增加50%）以上的加1分，在1600平米（增加100%）以上的加2分。</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80"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扣分项</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存在安全风险隐患</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-10</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参评中心有发现存在消防、食品卫生等方面安全风险隐患，且拒不整改的，一经查证，将酌情扣分，扣完为止除当事中心总分1</w:t>
            </w:r>
            <w:r>
              <w:rPr>
                <w:rFonts w:asciiTheme="minorEastAsia" w:hAnsiTheme="minorEastAsia" w:eastAsiaTheme="minorEastAsia"/>
                <w:color w:val="000000" w:themeColor="text1"/>
                <w:sz w:val="24"/>
                <w14:textFill>
                  <w14:solidFill>
                    <w14:schemeClr w14:val="tx1"/>
                  </w14:solidFill>
                </w14:textFill>
              </w:rPr>
              <w:t>-10分</w:t>
            </w:r>
            <w:r>
              <w:rPr>
                <w:rFonts w:hint="eastAsia" w:asciiTheme="minorEastAsia" w:hAnsiTheme="minorEastAsia" w:eastAsiaTheme="minorEastAsia"/>
                <w:color w:val="000000" w:themeColor="text1"/>
                <w:sz w:val="24"/>
                <w14:textFill>
                  <w14:solidFill>
                    <w14:schemeClr w14:val="tx1"/>
                  </w14:solidFill>
                </w14:textFill>
              </w:rPr>
              <w:t>。</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存在弄虚作假行为</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1-10</w:t>
            </w: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参评中心必须提供客观、真实的资料和数据。如以欺诈、隐瞒、提供不实数据等手段参与评估的中心，一经查证，将扣除当事中心总分1-10分。</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jc w:val="center"/>
        </w:trPr>
        <w:tc>
          <w:tcPr>
            <w:tcW w:w="1162" w:type="dxa"/>
            <w:vMerge w:val="restart"/>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否决项</w:t>
            </w: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发生安全责任事故</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在当年运营周期内，发生安全责任事故造成人员伤亡的，终止运营合同，</w:t>
            </w:r>
            <w:r>
              <w:rPr>
                <w:rFonts w:asciiTheme="minorEastAsia" w:hAnsiTheme="minorEastAsia" w:eastAsiaTheme="minorEastAsia"/>
                <w:color w:val="000000" w:themeColor="text1"/>
                <w:sz w:val="24"/>
                <w14:textFill>
                  <w14:solidFill>
                    <w14:schemeClr w14:val="tx1"/>
                  </w14:solidFill>
                </w14:textFill>
              </w:rPr>
              <w:t>依法撤销其运营服务的资格，并向社会公告。</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拒绝行政管理部门监督检查</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有发现参评中心在运营中拒绝配合行政管理部门监督检查的，不得进行当年度星级参评，并摘掉已评到的星牌。</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jc w:val="center"/>
        </w:trPr>
        <w:tc>
          <w:tcPr>
            <w:tcW w:w="1162" w:type="dxa"/>
            <w:vMerge w:val="continue"/>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14:textFill>
                  <w14:solidFill>
                    <w14:schemeClr w14:val="tx1"/>
                  </w14:solidFill>
                </w14:textFill>
              </w:rPr>
            </w:pPr>
          </w:p>
        </w:tc>
        <w:tc>
          <w:tcPr>
            <w:tcW w:w="1276" w:type="dxa"/>
            <w:tcMar>
              <w:top w:w="0" w:type="dxa"/>
              <w:left w:w="28" w:type="dxa"/>
              <w:bottom w:w="0" w:type="dxa"/>
              <w:right w:w="28" w:type="dxa"/>
            </w:tcMar>
            <w:vAlign w:val="center"/>
          </w:tcPr>
          <w:p>
            <w:pPr>
              <w:snapToGrid w:val="0"/>
              <w:jc w:val="left"/>
              <w:rPr>
                <w:rFonts w:asciiTheme="minorEastAsia" w:hAnsiTheme="minorEastAsia" w:eastAsiaTheme="minorEastAsia"/>
                <w:color w:val="000000" w:themeColor="text1"/>
                <w:sz w:val="24"/>
                <w:lang w:val="zh-CN"/>
                <w14:textFill>
                  <w14:solidFill>
                    <w14:schemeClr w14:val="tx1"/>
                  </w14:solidFill>
                </w14:textFill>
              </w:rPr>
            </w:pPr>
            <w:r>
              <w:rPr>
                <w:rFonts w:asciiTheme="minorEastAsia" w:hAnsiTheme="minorEastAsia" w:eastAsiaTheme="minorEastAsia"/>
                <w:color w:val="000000" w:themeColor="text1"/>
                <w:sz w:val="24"/>
                <w:lang w:val="zh-CN"/>
                <w14:textFill>
                  <w14:solidFill>
                    <w14:schemeClr w14:val="tx1"/>
                  </w14:solidFill>
                </w14:textFill>
              </w:rPr>
              <w:t>存在违法违规行为</w:t>
            </w:r>
          </w:p>
        </w:tc>
        <w:tc>
          <w:tcPr>
            <w:tcW w:w="567" w:type="dxa"/>
            <w:tcMar>
              <w:top w:w="0" w:type="dxa"/>
              <w:left w:w="28" w:type="dxa"/>
              <w:bottom w:w="0" w:type="dxa"/>
              <w:right w:w="28" w:type="dxa"/>
            </w:tcMar>
            <w:vAlign w:val="center"/>
          </w:tcPr>
          <w:p>
            <w:pPr>
              <w:snapToGrid w:val="0"/>
              <w:jc w:val="center"/>
              <w:rPr>
                <w:rFonts w:asciiTheme="minorEastAsia" w:hAnsiTheme="minorEastAsia" w:eastAsiaTheme="minorEastAsia"/>
                <w:color w:val="000000" w:themeColor="text1"/>
                <w:sz w:val="24"/>
                <w14:textFill>
                  <w14:solidFill>
                    <w14:schemeClr w14:val="tx1"/>
                  </w14:solidFill>
                </w14:textFill>
              </w:rPr>
            </w:pPr>
          </w:p>
        </w:tc>
        <w:tc>
          <w:tcPr>
            <w:tcW w:w="6379" w:type="dxa"/>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在运营过程中，参评中心存在</w:t>
            </w:r>
            <w:r>
              <w:rPr>
                <w:rFonts w:asciiTheme="minorEastAsia" w:hAnsiTheme="minorEastAsia" w:eastAsiaTheme="minorEastAsia"/>
                <w:color w:val="000000" w:themeColor="text1"/>
                <w:sz w:val="24"/>
                <w:lang w:val="zh-CN"/>
                <w14:textFill>
                  <w14:solidFill>
                    <w14:schemeClr w14:val="tx1"/>
                  </w14:solidFill>
                </w14:textFill>
              </w:rPr>
              <w:t>违法违规行为，一经查证，</w:t>
            </w:r>
            <w:r>
              <w:rPr>
                <w:rFonts w:asciiTheme="minorEastAsia" w:hAnsiTheme="minorEastAsia" w:eastAsiaTheme="minorEastAsia"/>
                <w:color w:val="000000" w:themeColor="text1"/>
                <w:kern w:val="0"/>
                <w:sz w:val="24"/>
                <w14:textFill>
                  <w14:solidFill>
                    <w14:schemeClr w14:val="tx1"/>
                  </w14:solidFill>
                </w14:textFill>
              </w:rPr>
              <w:t>不得进行当年度星级参评，并摘掉已评到的星牌，终止运营合同，</w:t>
            </w:r>
            <w:r>
              <w:rPr>
                <w:rFonts w:asciiTheme="minorEastAsia" w:hAnsiTheme="minorEastAsia" w:eastAsiaTheme="minorEastAsia"/>
                <w:color w:val="000000" w:themeColor="text1"/>
                <w:sz w:val="24"/>
                <w14:textFill>
                  <w14:solidFill>
                    <w14:schemeClr w14:val="tx1"/>
                  </w14:solidFill>
                </w14:textFill>
              </w:rPr>
              <w:t>依法撤销其运营服务的资格，并向社会公告。</w:t>
            </w:r>
          </w:p>
        </w:tc>
        <w:tc>
          <w:tcPr>
            <w:tcW w:w="606" w:type="dxa"/>
            <w:gridSpan w:val="3"/>
            <w:vAlign w:val="center"/>
          </w:tcPr>
          <w:p>
            <w:pPr>
              <w:snapToGrid w:val="0"/>
              <w:jc w:val="left"/>
              <w:rPr>
                <w:rFonts w:asciiTheme="minorEastAsia" w:hAnsiTheme="minorEastAsia" w:eastAsiaTheme="minorEastAsia"/>
                <w:color w:val="000000" w:themeColor="text1"/>
                <w:kern w:val="0"/>
                <w:sz w:val="24"/>
                <w14:textFill>
                  <w14:solidFill>
                    <w14:schemeClr w14:val="tx1"/>
                  </w14:solidFill>
                </w14:textFill>
              </w:rPr>
            </w:pPr>
          </w:p>
        </w:tc>
      </w:tr>
    </w:tbl>
    <w:p>
      <w:pPr>
        <w:spacing w:line="460" w:lineRule="exact"/>
        <w:ind w:left="105" w:leftChars="50" w:firstLine="480" w:firstLineChars="200"/>
        <w:rPr>
          <w:rFonts w:ascii="宋体" w:hAnsi="宋体"/>
          <w:sz w:val="24"/>
        </w:rPr>
      </w:pPr>
      <w:r>
        <w:rPr>
          <w:rFonts w:hint="eastAsia" w:ascii="宋体" w:hAnsi="宋体" w:cs="宋体"/>
          <w:bCs/>
          <w:kern w:val="0"/>
          <w:sz w:val="24"/>
        </w:rPr>
        <w:t>注：总分100分，90分（含90分）以上为“优秀”、80分（含80分）以上为“良好”、70分（含70分）以上为“合格”、70分以下为“不合格”。</w:t>
      </w:r>
      <w:r>
        <w:rPr>
          <w:rFonts w:hint="eastAsia" w:ascii="宋体" w:hAnsi="宋体"/>
          <w:sz w:val="24"/>
        </w:rPr>
        <w:t>期末评估结果为“优秀”的，“项目承接方”可获得项目全额考核资金（考核资金即项目合同的30%尾款）。评估结果为“良好”的，可获得90%的考核资金。评估结果为“合格”的，可获得80%的考核资金。评估结果为“不合格”的，不拨付资金。</w:t>
      </w:r>
    </w:p>
    <w:p>
      <w:pPr>
        <w:spacing w:line="500" w:lineRule="exact"/>
        <w:rPr>
          <w:rFonts w:ascii="宋体" w:hAnsi="宋体" w:cs="宋体"/>
          <w:b/>
          <w:sz w:val="24"/>
        </w:rPr>
      </w:pPr>
      <w:r>
        <w:rPr>
          <w:rFonts w:hint="eastAsia" w:ascii="宋体" w:hAnsi="宋体" w:cs="宋体"/>
          <w:bCs/>
          <w:kern w:val="0"/>
          <w:szCs w:val="21"/>
        </w:rPr>
        <w:t>（该考核要求，根据湖州市民政局的最新考核要求做相应调整。）</w:t>
      </w:r>
      <w:r>
        <w:rPr>
          <w:rFonts w:hint="eastAsia" w:ascii="宋体" w:hAnsi="宋体" w:cs="宋体"/>
          <w:b/>
          <w:kern w:val="0"/>
          <w:szCs w:val="21"/>
        </w:rPr>
        <w:t>连续两个季度考核不合格将直接终止合同。</w:t>
      </w:r>
    </w:p>
    <w:p>
      <w:pPr>
        <w:rPr>
          <w:rFonts w:ascii="宋体" w:hAnsi="宋体" w:cs="宋体"/>
          <w:b/>
          <w:sz w:val="24"/>
        </w:rPr>
      </w:pPr>
      <w:r>
        <w:rPr>
          <w:rFonts w:hint="eastAsia" w:ascii="宋体" w:hAnsi="宋体" w:cs="宋体"/>
          <w:b/>
          <w:sz w:val="24"/>
        </w:rPr>
        <w:t>六、其他说明：</w:t>
      </w:r>
    </w:p>
    <w:p>
      <w:pPr>
        <w:pStyle w:val="4"/>
        <w:spacing w:line="460" w:lineRule="exact"/>
        <w:ind w:firstLine="240"/>
        <w:rPr>
          <w:rFonts w:cs="宋体"/>
          <w:bCs/>
          <w:sz w:val="24"/>
        </w:rPr>
      </w:pPr>
      <w:r>
        <w:rPr>
          <w:rFonts w:hint="eastAsia" w:cs="宋体"/>
          <w:bCs/>
          <w:sz w:val="24"/>
        </w:rPr>
        <w:t>1、中标供应商中标后，不得将本项目的服务内容全部或部分转让、转包给他人经营。中标供应商独立承担运营过程中的债权债务和经济、安全、法律等责任，接受采购人和相关政府部门的监管。</w:t>
      </w:r>
    </w:p>
    <w:p>
      <w:pPr>
        <w:pStyle w:val="4"/>
        <w:spacing w:line="460" w:lineRule="exact"/>
        <w:ind w:firstLine="240"/>
        <w:rPr>
          <w:rFonts w:cs="宋体"/>
        </w:rPr>
      </w:pPr>
      <w:r>
        <w:rPr>
          <w:rFonts w:hint="eastAsia" w:cs="宋体"/>
          <w:bCs/>
          <w:sz w:val="24"/>
        </w:rPr>
        <w:t>2、中标供应商在服务期内，应负责对服务区域所有物品的保管与维护，并承担日常的维修及保洁费用。</w:t>
      </w:r>
    </w:p>
    <w:p>
      <w:pPr>
        <w:pStyle w:val="4"/>
        <w:spacing w:line="460" w:lineRule="exact"/>
        <w:ind w:firstLine="240"/>
        <w:rPr>
          <w:rFonts w:cs="宋体"/>
          <w:bCs/>
          <w:sz w:val="24"/>
        </w:rPr>
      </w:pPr>
      <w:r>
        <w:rPr>
          <w:rFonts w:hint="eastAsia" w:cs="宋体"/>
          <w:bCs/>
          <w:sz w:val="24"/>
        </w:rPr>
        <w:t>3、中标供应商在服务期内，自行负责参加所有活动人员的安全工作，如发生意外的一切责任与费用由中标供应商负责，采购人不承担任何责任。</w:t>
      </w:r>
    </w:p>
    <w:p>
      <w:pPr>
        <w:pStyle w:val="4"/>
        <w:spacing w:line="460" w:lineRule="exact"/>
        <w:ind w:firstLine="240"/>
        <w:rPr>
          <w:rFonts w:cs="宋体"/>
          <w:bCs/>
          <w:sz w:val="24"/>
        </w:rPr>
      </w:pPr>
      <w:r>
        <w:rPr>
          <w:rFonts w:hint="eastAsia" w:cs="宋体"/>
          <w:bCs/>
          <w:sz w:val="24"/>
        </w:rPr>
        <w:t>4、接受定期考核。运营期间，采购人及民政部门将会同有关部门对服务中心的管理、经费投入、收费标准、工作人员待遇、养老服务质量、公众评议等内容开展考核，中标人需无条件接受考核并积极配合。具体考核标准将根据有关行业规范以及中标人竞标时所提交的运营管理方案制订，并适时根据各级政府、部门新出台的文件和规范进行完善。</w:t>
      </w:r>
    </w:p>
    <w:p>
      <w:pPr>
        <w:pStyle w:val="4"/>
        <w:spacing w:line="460" w:lineRule="exact"/>
        <w:ind w:firstLine="240"/>
        <w:rPr>
          <w:rFonts w:cs="宋体"/>
          <w:bCs/>
          <w:sz w:val="24"/>
        </w:rPr>
      </w:pPr>
      <w:r>
        <w:rPr>
          <w:rFonts w:hint="eastAsia" w:cs="宋体"/>
          <w:bCs/>
          <w:sz w:val="24"/>
        </w:rPr>
        <w:t>5、运营中涉及的有偿服务按照不高于市场价的原则定价，并报吴兴区民政局备案同意后实施。该中心运营中除水电外产生的运营费用均由中标供应商承担，运营中的老年人安全、生产安全、食品安全等各项安全管理工作和职责由运营方承担。</w:t>
      </w:r>
    </w:p>
    <w:p>
      <w:pPr>
        <w:pStyle w:val="4"/>
        <w:spacing w:line="460" w:lineRule="exact"/>
        <w:ind w:firstLine="240"/>
        <w:rPr>
          <w:rFonts w:cs="宋体"/>
          <w:bCs/>
          <w:sz w:val="24"/>
        </w:rPr>
      </w:pPr>
      <w:r>
        <w:rPr>
          <w:rFonts w:hint="eastAsia" w:cs="宋体"/>
          <w:bCs/>
          <w:sz w:val="24"/>
        </w:rPr>
        <w:t>6、</w:t>
      </w:r>
      <w:r>
        <w:rPr>
          <w:rFonts w:cs="宋体"/>
          <w:bCs/>
          <w:sz w:val="24"/>
        </w:rPr>
        <w:t>服务中供应商需要</w:t>
      </w:r>
      <w:r>
        <w:rPr>
          <w:rFonts w:hint="eastAsia" w:cs="宋体"/>
          <w:bCs/>
          <w:sz w:val="24"/>
        </w:rPr>
        <w:t>派驻专职工作人员不少于4名，管理人员1名，开展服务活动。委派人员不与采购人产生劳动合同关系，素质过硬，有事业心、责任心，能够克服紧急任务时加班等困难。</w:t>
      </w:r>
    </w:p>
    <w:p>
      <w:pPr>
        <w:pStyle w:val="4"/>
        <w:spacing w:line="460" w:lineRule="exact"/>
        <w:ind w:firstLine="240"/>
        <w:rPr>
          <w:rFonts w:cs="宋体"/>
          <w:bCs/>
          <w:sz w:val="24"/>
        </w:rPr>
      </w:pPr>
      <w:r>
        <w:rPr>
          <w:rFonts w:hint="eastAsia" w:cs="宋体"/>
          <w:bCs/>
          <w:sz w:val="24"/>
        </w:rPr>
        <w:t>7、采购人有权根据中标供应商委派人员的工作情况，要求中标供应商及时调整委派人员。</w:t>
      </w:r>
    </w:p>
    <w:p>
      <w:pPr>
        <w:pStyle w:val="4"/>
        <w:spacing w:line="460" w:lineRule="exact"/>
        <w:ind w:firstLine="240"/>
        <w:rPr>
          <w:rFonts w:cs="宋体"/>
          <w:bCs/>
          <w:sz w:val="24"/>
        </w:rPr>
      </w:pPr>
      <w:r>
        <w:rPr>
          <w:rFonts w:hint="eastAsia" w:cs="宋体"/>
          <w:bCs/>
          <w:sz w:val="24"/>
        </w:rPr>
        <w:t>8、中标供应商的工作人员在上班期间必须常驻采购人提供的上班地点，办公用品、日常消耗品、水电费、交通工具、办公网络等均由中标供应商自行负责；</w:t>
      </w:r>
    </w:p>
    <w:p>
      <w:pPr>
        <w:pStyle w:val="4"/>
        <w:spacing w:line="460" w:lineRule="exact"/>
        <w:ind w:firstLine="240"/>
        <w:rPr>
          <w:rFonts w:cs="宋体"/>
          <w:bCs/>
          <w:sz w:val="24"/>
        </w:rPr>
      </w:pPr>
      <w:r>
        <w:rPr>
          <w:rFonts w:hint="eastAsia" w:cs="宋体"/>
          <w:bCs/>
          <w:sz w:val="24"/>
        </w:rPr>
        <w:t>9、中标供应商须按照采购人上班作息时间进行，如有加班等情况另行通知，如涉及到加班费均由中标供应商负责；</w:t>
      </w:r>
    </w:p>
    <w:p>
      <w:pPr>
        <w:pStyle w:val="4"/>
        <w:spacing w:line="460" w:lineRule="exact"/>
        <w:ind w:firstLine="241"/>
        <w:rPr>
          <w:rFonts w:cs="宋体"/>
          <w:b/>
          <w:sz w:val="24"/>
        </w:rPr>
      </w:pPr>
      <w:r>
        <w:rPr>
          <w:rFonts w:hint="eastAsia" w:cs="宋体"/>
          <w:b/>
          <w:sz w:val="24"/>
        </w:rPr>
        <w:t>10、其中社工服务站增补金额以区里考核结果并下拨金额为准。</w:t>
      </w:r>
    </w:p>
    <w:p>
      <w:pPr>
        <w:autoSpaceDE w:val="0"/>
        <w:autoSpaceDN w:val="0"/>
        <w:adjustRightInd w:val="0"/>
        <w:snapToGrid w:val="0"/>
        <w:spacing w:line="380" w:lineRule="exact"/>
        <w:ind w:firstLine="482" w:firstLineChars="200"/>
        <w:textAlignment w:val="bottom"/>
      </w:pPr>
      <w:r>
        <w:rPr>
          <w:rFonts w:hint="eastAsia" w:ascii="宋体" w:hAnsi="宋体" w:cs="宋体"/>
          <w:b/>
          <w:bCs/>
          <w:sz w:val="24"/>
        </w:rPr>
        <w:t>本招标文件中带“▲”的条款为实质性条款，竞标人必须在响应文件中全部作出响应，否则将作无效标处理；本招标文件中带“</w:t>
      </w:r>
      <w:r>
        <w:rPr>
          <w:rFonts w:hint="eastAsia" w:ascii="宋体" w:hAnsi="宋体" w:cs="宋体"/>
          <w:sz w:val="24"/>
        </w:rPr>
        <w:t>★</w:t>
      </w:r>
      <w:r>
        <w:rPr>
          <w:rFonts w:hint="eastAsia" w:ascii="宋体" w:hAnsi="宋体" w:cs="宋体"/>
          <w:b/>
          <w:bCs/>
          <w:sz w:val="24"/>
        </w:rPr>
        <w:t>”的条款为重要条款。</w:t>
      </w:r>
    </w:p>
    <w:p>
      <w:pPr>
        <w:sectPr>
          <w:headerReference r:id="rId6" w:type="default"/>
          <w:footerReference r:id="rId7" w:type="default"/>
          <w:footerReference r:id="rId8" w:type="even"/>
          <w:pgSz w:w="11907" w:h="16840"/>
          <w:pgMar w:top="1440" w:right="1080" w:bottom="1440" w:left="1080" w:header="794" w:footer="737" w:gutter="0"/>
          <w:cols w:space="720" w:num="1"/>
          <w:docGrid w:linePitch="381" w:charSpace="0"/>
        </w:sectPr>
      </w:pPr>
    </w:p>
    <w:p>
      <w:pPr>
        <w:widowControl/>
        <w:spacing w:line="440" w:lineRule="exact"/>
        <w:ind w:right="60"/>
        <w:jc w:val="center"/>
        <w:outlineLvl w:val="0"/>
        <w:rPr>
          <w:rFonts w:asciiTheme="minorEastAsia" w:hAnsiTheme="minorEastAsia" w:eastAsiaTheme="minorEastAsia" w:cstheme="minorEastAsia"/>
          <w:b/>
          <w:sz w:val="36"/>
          <w:szCs w:val="36"/>
        </w:rPr>
      </w:pPr>
      <w:bookmarkStart w:id="8" w:name="_Toc5677"/>
      <w:r>
        <w:rPr>
          <w:rFonts w:hint="eastAsia" w:asciiTheme="minorEastAsia" w:hAnsiTheme="minorEastAsia" w:eastAsiaTheme="minorEastAsia" w:cstheme="minorEastAsia"/>
          <w:b/>
          <w:sz w:val="36"/>
          <w:szCs w:val="36"/>
        </w:rPr>
        <w:t>第三章  供应商须知</w:t>
      </w:r>
      <w:bookmarkEnd w:id="7"/>
      <w:bookmarkEnd w:id="8"/>
    </w:p>
    <w:p>
      <w:pPr>
        <w:pStyle w:val="8"/>
        <w:spacing w:line="440" w:lineRule="exact"/>
        <w:jc w:val="center"/>
        <w:rPr>
          <w:rFonts w:asciiTheme="minorEastAsia" w:hAnsiTheme="minorEastAsia" w:eastAsiaTheme="minorEastAsia" w:cstheme="minorEastAsia"/>
          <w:sz w:val="24"/>
          <w:szCs w:val="24"/>
        </w:rPr>
      </w:pPr>
      <w:bookmarkStart w:id="9" w:name="_Toc22052"/>
      <w:bookmarkStart w:id="10" w:name="_Toc452995895"/>
      <w:r>
        <w:rPr>
          <w:rFonts w:hint="eastAsia" w:asciiTheme="minorEastAsia" w:hAnsiTheme="minorEastAsia" w:eastAsiaTheme="minorEastAsia" w:cstheme="minorEastAsia"/>
          <w:sz w:val="24"/>
          <w:szCs w:val="24"/>
        </w:rPr>
        <w:t>前 附 表</w:t>
      </w:r>
      <w:bookmarkEnd w:id="9"/>
      <w:bookmarkEnd w:id="10"/>
    </w:p>
    <w:tbl>
      <w:tblPr>
        <w:tblStyle w:val="22"/>
        <w:tblW w:w="99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736"/>
        <w:gridCol w:w="7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  目</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项目名称</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bCs/>
                <w:spacing w:val="-4"/>
                <w:sz w:val="24"/>
              </w:rPr>
            </w:pPr>
            <w:r>
              <w:rPr>
                <w:rFonts w:hint="eastAsia" w:asciiTheme="minorEastAsia" w:hAnsiTheme="minorEastAsia" w:eastAsiaTheme="minorEastAsia" w:cstheme="minorEastAsia"/>
                <w:bCs/>
                <w:sz w:val="24"/>
              </w:rPr>
              <w:t>2022-2023年度环渚街道幸福邻里中心运营社会组织采购项目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编号</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Theme="minorEastAsia" w:hAnsiTheme="minorEastAsia" w:eastAsiaTheme="minorEastAsia" w:cstheme="minorEastAsia"/>
                <w:bCs/>
                <w:spacing w:val="-4"/>
                <w:sz w:val="24"/>
                <w:lang w:eastAsia="zh-CN"/>
              </w:rPr>
            </w:pPr>
            <w:r>
              <w:rPr>
                <w:rFonts w:hint="eastAsia" w:asciiTheme="minorEastAsia" w:hAnsiTheme="minorEastAsia" w:eastAsiaTheme="minorEastAsia" w:cstheme="minorEastAsia"/>
                <w:bCs/>
                <w:spacing w:val="-4"/>
                <w:sz w:val="24"/>
              </w:rPr>
              <w:t>磋商文件编号：</w:t>
            </w:r>
            <w:r>
              <w:rPr>
                <w:rFonts w:hint="eastAsia" w:asciiTheme="minorEastAsia" w:hAnsiTheme="minorEastAsia" w:eastAsiaTheme="minorEastAsia" w:cstheme="minorEastAsia"/>
                <w:bCs/>
                <w:spacing w:val="-4"/>
                <w:sz w:val="24"/>
                <w:lang w:eastAsia="zh-CN"/>
              </w:rPr>
              <w:t>同欣采字[2022]-002号</w:t>
            </w:r>
          </w:p>
          <w:p>
            <w:pPr>
              <w:spacing w:line="530" w:lineRule="exact"/>
              <w:rPr>
                <w:rFonts w:hint="eastAsia" w:asciiTheme="minorEastAsia" w:hAnsiTheme="minorEastAsia" w:eastAsiaTheme="minorEastAsia" w:cstheme="minorEastAsia"/>
                <w:bCs/>
                <w:spacing w:val="-4"/>
                <w:sz w:val="24"/>
                <w:lang w:eastAsia="zh-CN"/>
              </w:rPr>
            </w:pPr>
            <w:r>
              <w:rPr>
                <w:rFonts w:hint="eastAsia" w:asciiTheme="minorEastAsia" w:hAnsiTheme="minorEastAsia" w:eastAsiaTheme="minorEastAsia" w:cstheme="minorEastAsia"/>
                <w:bCs/>
                <w:spacing w:val="-4"/>
                <w:sz w:val="24"/>
              </w:rPr>
              <w:t>财政审批编号：</w:t>
            </w:r>
            <w:r>
              <w:rPr>
                <w:rFonts w:hint="eastAsia" w:asciiTheme="minorEastAsia" w:hAnsiTheme="minorEastAsia" w:eastAsiaTheme="minorEastAsia" w:cstheme="minorEastAsia"/>
                <w:bCs/>
                <w:spacing w:val="-4"/>
                <w:sz w:val="24"/>
                <w:lang w:eastAsia="zh-CN"/>
              </w:rPr>
              <w:t>临[2022]483号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磋商内容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bCs/>
                <w:spacing w:val="-4"/>
                <w:sz w:val="24"/>
              </w:rPr>
            </w:pPr>
            <w:r>
              <w:rPr>
                <w:rFonts w:hint="eastAsia" w:asciiTheme="minorEastAsia" w:hAnsiTheme="minorEastAsia" w:eastAsiaTheme="minorEastAsia" w:cstheme="minorEastAsia"/>
                <w:bCs/>
                <w:sz w:val="24"/>
              </w:rPr>
              <w:t>2022-2023年度环渚街道幸福邻里中心运营社会组织采购项目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项目实施地点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bCs/>
                <w:spacing w:val="-4"/>
                <w:sz w:val="24"/>
              </w:rPr>
            </w:pPr>
            <w:r>
              <w:rPr>
                <w:rFonts w:hint="eastAsia" w:asciiTheme="minorEastAsia" w:hAnsiTheme="minorEastAsia" w:eastAsiaTheme="minorEastAsia" w:cstheme="minorEastAsia"/>
                <w:sz w:val="24"/>
              </w:rPr>
              <w:t>根据采购人指定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答疑时间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sz w:val="24"/>
              </w:rPr>
            </w:pPr>
            <w:r>
              <w:rPr>
                <w:rFonts w:hint="eastAsia" w:ascii="宋体" w:hAnsi="宋体" w:cs="宋体"/>
                <w:sz w:val="24"/>
              </w:rPr>
              <w:t>供应商对磋商文件有异议的，</w:t>
            </w:r>
            <w:r>
              <w:rPr>
                <w:rFonts w:hint="eastAsia" w:ascii="宋体" w:hAnsi="宋体" w:cs="宋体"/>
                <w:kern w:val="0"/>
                <w:sz w:val="24"/>
              </w:rPr>
              <w:t>应当在依法获取磋商文件或磋商公告期届满后1个工作日内以</w:t>
            </w:r>
            <w:r>
              <w:rPr>
                <w:rFonts w:hint="eastAsia" w:ascii="宋体" w:hAnsi="宋体" w:cs="宋体"/>
                <w:sz w:val="24"/>
              </w:rPr>
              <w:t>前以书面（含传真）形式一次性提出针对同一采购程序环节向采购代理机构提出质疑，否则采购代理机构有权拒绝第一次质疑以外其他所有质疑。采购代理机构将在规定的时间内统一进行澄清和修改，并书面（含传真）通知所有认购磋商文件的供应商。供应商未按规定要求提出的，则视同认可磋商文件，但法律法规及规范性文件有明确规定的除外。答疑内容是磋商文件的组成部分，并将在网上发布补充（答疑、澄清）文件，潜在供应商应自行关注网站公告，采购人不再一一通知，供应商因自身贻误行为导致磋商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响应文件要求</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1、响应文件的制作：本项目实行电子磋商。</w:t>
            </w:r>
          </w:p>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2、供应商应按要求提供电子响应文件及数据电子备份响应文件（U盘），具体内容如下： </w:t>
            </w:r>
          </w:p>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2.1电子响应文件：按政采云平台项目采购-电子交易操作指南及本磋商文件要求制作、加密并递交，超过上传时间的视为放弃磋商资格，作无效标处理；</w:t>
            </w:r>
          </w:p>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数据电子备份响应文件（U盘）：以U盘形式提供的数据电子备份响应文件格式及内容须与政采云平台项目采购-电子交易操作指南中制作、加密并递交的电子响应文件格式及内容一致。数据电子备份响应文件应加密，允许制作成一个U盘，但须密封、包装，不按此规定密封、包装的数据电子备份响应文件（U盘）均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磋商截止时间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napToGrid w:val="0"/>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2022年</w:t>
            </w:r>
            <w:r>
              <w:rPr>
                <w:rFonts w:hint="eastAsia" w:asciiTheme="minorEastAsia" w:hAnsiTheme="minorEastAsia" w:eastAsiaTheme="minorEastAsia" w:cstheme="minorEastAsia"/>
                <w:color w:val="FF0000"/>
                <w:kern w:val="0"/>
                <w:sz w:val="24"/>
                <w:lang w:val="en-US" w:eastAsia="zh-CN"/>
              </w:rPr>
              <w:t>2</w:t>
            </w:r>
            <w:r>
              <w:rPr>
                <w:rFonts w:hint="eastAsia" w:asciiTheme="minorEastAsia" w:hAnsiTheme="minorEastAsia" w:eastAsiaTheme="minorEastAsia" w:cstheme="minorEastAsia"/>
                <w:color w:val="FF0000"/>
                <w:kern w:val="0"/>
                <w:sz w:val="24"/>
                <w:highlight w:val="yellow"/>
              </w:rPr>
              <w:t>月</w:t>
            </w:r>
            <w:r>
              <w:rPr>
                <w:rFonts w:hint="eastAsia" w:asciiTheme="minorEastAsia" w:hAnsiTheme="minorEastAsia" w:eastAsiaTheme="minorEastAsia" w:cstheme="minorEastAsia"/>
                <w:color w:val="FF0000"/>
                <w:kern w:val="0"/>
                <w:sz w:val="24"/>
                <w:highlight w:val="yellow"/>
                <w:lang w:val="en-US" w:eastAsia="zh-CN"/>
              </w:rPr>
              <w:t>28</w:t>
            </w:r>
            <w:r>
              <w:rPr>
                <w:rFonts w:hint="eastAsia" w:asciiTheme="minorEastAsia" w:hAnsiTheme="minorEastAsia" w:eastAsiaTheme="minorEastAsia" w:cstheme="minorEastAsia"/>
                <w:color w:val="FF0000"/>
                <w:kern w:val="0"/>
                <w:sz w:val="24"/>
                <w:highlight w:val="yellow"/>
              </w:rPr>
              <w:t>日</w:t>
            </w:r>
            <w:r>
              <w:rPr>
                <w:rFonts w:hint="eastAsia" w:asciiTheme="minorEastAsia" w:hAnsiTheme="minorEastAsia" w:eastAsiaTheme="minorEastAsia" w:cstheme="minorEastAsia"/>
                <w:kern w:val="0"/>
                <w:sz w:val="24"/>
                <w:lang w:val="en-US" w:eastAsia="zh-CN"/>
              </w:rPr>
              <w:t>13</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w:t>
            </w:r>
            <w:r>
              <w:rPr>
                <w:rFonts w:hint="eastAsia" w:asciiTheme="minorEastAsia" w:hAnsiTheme="minorEastAsia" w:eastAsiaTheme="minorEastAsia" w:cstheme="minorEastAsia"/>
                <w:bCs/>
                <w:sz w:val="24"/>
              </w:rPr>
              <w:t>提交</w:t>
            </w:r>
            <w:r>
              <w:rPr>
                <w:rFonts w:hint="eastAsia" w:asciiTheme="minorEastAsia" w:hAnsiTheme="minorEastAsia" w:eastAsiaTheme="minorEastAsia" w:cstheme="minorEastAsia"/>
                <w:sz w:val="24"/>
              </w:rPr>
              <w:t>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当在磋商截止时间前完成电子响应文件的传输递交，磋商截止时间前可以补充、修改或者撤回电子响应文件。补充或者修改电子响应文件的，应当先行撤回原文件，补充、修改后重新传输递交。磋商截止时间止未完成传输的，视为放弃磋商资格，作无效标处理。</w:t>
            </w:r>
          </w:p>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原则上邮寄公司统一采用EMS），邮寄地址为：</w:t>
            </w:r>
            <w:r>
              <w:rPr>
                <w:rFonts w:hint="eastAsia" w:asciiTheme="minorEastAsia" w:hAnsiTheme="minorEastAsia" w:eastAsiaTheme="minorEastAsia" w:cstheme="minorEastAsia"/>
                <w:sz w:val="24"/>
                <w:lang w:eastAsia="zh-CN"/>
              </w:rPr>
              <w:t>浙江同欣工程管理有限公司</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湖州市腊山路298号天蓝大厦4楼408室</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lang w:eastAsia="zh-CN"/>
              </w:rPr>
              <w:t>0572-2751688</w:t>
            </w:r>
            <w:r>
              <w:rPr>
                <w:rFonts w:hint="eastAsia" w:asciiTheme="minorEastAsia" w:hAnsiTheme="minorEastAsia" w:eastAsiaTheme="minorEastAsia" w:cstheme="minorEastAsia"/>
                <w:sz w:val="24"/>
              </w:rPr>
              <w:t>。邮寄截止时间：供应商应于2022年</w:t>
            </w:r>
            <w:r>
              <w:rPr>
                <w:rFonts w:hint="eastAsia" w:asciiTheme="minorEastAsia" w:hAnsiTheme="minorEastAsia" w:eastAsiaTheme="minorEastAsia" w:cstheme="minorEastAsia"/>
                <w:color w:val="FF0000"/>
                <w:sz w:val="24"/>
                <w:lang w:val="en-US" w:eastAsia="zh-CN"/>
              </w:rPr>
              <w:t>2</w:t>
            </w:r>
            <w:r>
              <w:rPr>
                <w:rFonts w:hint="eastAsia" w:asciiTheme="minorEastAsia" w:hAnsiTheme="minorEastAsia" w:eastAsiaTheme="minorEastAsia" w:cstheme="minorEastAsia"/>
                <w:color w:val="FF0000"/>
                <w:sz w:val="24"/>
                <w:highlight w:val="yellow"/>
              </w:rPr>
              <w:t>月</w:t>
            </w:r>
            <w:r>
              <w:rPr>
                <w:rFonts w:hint="eastAsia" w:asciiTheme="minorEastAsia" w:hAnsiTheme="minorEastAsia" w:eastAsiaTheme="minorEastAsia" w:cstheme="minorEastAsia"/>
                <w:color w:val="FF0000"/>
                <w:sz w:val="24"/>
                <w:highlight w:val="yellow"/>
                <w:lang w:val="en-US" w:eastAsia="zh-CN"/>
              </w:rPr>
              <w:t>27</w:t>
            </w:r>
            <w:r>
              <w:rPr>
                <w:rFonts w:hint="eastAsia" w:asciiTheme="minorEastAsia" w:hAnsiTheme="minorEastAsia" w:eastAsiaTheme="minorEastAsia" w:cstheme="minorEastAsia"/>
                <w:color w:val="FF0000"/>
                <w:sz w:val="24"/>
                <w:highlight w:val="yellow"/>
              </w:rPr>
              <w:t>日</w:t>
            </w:r>
            <w:r>
              <w:rPr>
                <w:rFonts w:hint="eastAsia" w:asciiTheme="minorEastAsia" w:hAnsiTheme="minorEastAsia" w:eastAsiaTheme="minorEastAsia" w:cstheme="minorEastAsia"/>
                <w:sz w:val="24"/>
              </w:rPr>
              <w:t>下午16:00时前准时送达，逾期不予受理。未按时送达的，均按未提供处理。</w:t>
            </w:r>
          </w:p>
          <w:p>
            <w:pPr>
              <w:spacing w:line="53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spacing w:line="53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4、供应商仅提供其中一种形式的备份响应文件。造成项目开评标活动</w:t>
            </w:r>
          </w:p>
          <w:p>
            <w:pPr>
              <w:spacing w:line="53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无法进行下去的，相关风险由供应商自行承担。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磋商地点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湖州市吴兴区公共资源交易中心（湖州市吴兴区区府路1188号总部自由港E幢4楼）</w:t>
            </w:r>
            <w:r>
              <w:rPr>
                <w:rFonts w:hint="eastAsia" w:asciiTheme="minorEastAsia" w:hAnsiTheme="minorEastAsia" w:eastAsiaTheme="minorEastAsia" w:cstheme="minorEastAsia"/>
                <w:sz w:val="24"/>
                <w:highlight w:val="yellow"/>
                <w:lang w:val="en-US" w:eastAsia="zh-CN"/>
              </w:rPr>
              <w:t>403</w:t>
            </w:r>
            <w:r>
              <w:rPr>
                <w:rFonts w:hint="eastAsia" w:asciiTheme="minorEastAsia" w:hAnsiTheme="minorEastAsia" w:eastAsiaTheme="minorEastAsia" w:cstheme="minorEastAsia"/>
                <w:sz w:val="24"/>
                <w:highlight w:val="yellow"/>
              </w:rPr>
              <w:t>开标室</w:t>
            </w:r>
            <w:r>
              <w:rPr>
                <w:rFonts w:hint="eastAsia" w:asciiTheme="minorEastAsia" w:hAnsiTheme="minorEastAsia" w:eastAsiaTheme="minorEastAsia" w:cstheme="minorEastAsia"/>
                <w:sz w:val="24"/>
              </w:rPr>
              <w:t>，未按时上传电子响应文件的将拒绝接收，作无效标处理。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磋商</w:t>
            </w:r>
            <w:r>
              <w:rPr>
                <w:rFonts w:hint="eastAsia" w:asciiTheme="minorEastAsia" w:hAnsiTheme="minorEastAsia" w:eastAsiaTheme="minorEastAsia" w:cstheme="minorEastAsia"/>
                <w:bCs/>
                <w:sz w:val="24"/>
              </w:rPr>
              <w:t>有效期</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磋商办法及评分标准</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详见磋商文件第六章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湖州市吴兴区人民政府环渚街道办事处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15</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其他</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在确定成交供应商后，签订合同前，成交供应商须提供二份完整的纸质响应文件</w:t>
            </w:r>
            <w:r>
              <w:rPr>
                <w:rFonts w:hint="eastAsia" w:asciiTheme="minorEastAsia" w:hAnsiTheme="minorEastAsia" w:eastAsiaTheme="minorEastAsia" w:cstheme="minorEastAsia"/>
                <w:b/>
                <w:bCs/>
                <w:sz w:val="24"/>
              </w:rPr>
              <w:t>（包括最后报价文件）</w:t>
            </w:r>
            <w:r>
              <w:rPr>
                <w:rFonts w:hint="eastAsia" w:asciiTheme="minorEastAsia" w:hAnsiTheme="minorEastAsia" w:eastAsiaTheme="minorEastAsia" w:cstheme="minorEastAsia"/>
                <w:bCs/>
                <w:sz w:val="24"/>
              </w:rPr>
              <w:t>给采购人，纸质响应文件须与电子响应文件格式及内容一致。</w:t>
            </w:r>
          </w:p>
        </w:tc>
      </w:tr>
    </w:tbl>
    <w:p>
      <w:pPr>
        <w:pStyle w:val="8"/>
        <w:spacing w:line="560" w:lineRule="exact"/>
        <w:jc w:val="center"/>
        <w:rPr>
          <w:rFonts w:asciiTheme="minorEastAsia" w:hAnsiTheme="minorEastAsia" w:eastAsiaTheme="minorEastAsia" w:cstheme="minorEastAsia"/>
          <w:sz w:val="28"/>
          <w:szCs w:val="28"/>
        </w:rPr>
      </w:pPr>
      <w:bookmarkStart w:id="11" w:name="_Toc113441587"/>
      <w:bookmarkStart w:id="12" w:name="_Toc452995896"/>
      <w:bookmarkStart w:id="13" w:name="_Toc31334"/>
      <w:r>
        <w:rPr>
          <w:rFonts w:hint="eastAsia" w:asciiTheme="minorEastAsia" w:hAnsiTheme="minorEastAsia" w:eastAsiaTheme="minorEastAsia" w:cstheme="minorEastAsia"/>
          <w:sz w:val="28"/>
          <w:szCs w:val="28"/>
        </w:rPr>
        <w:t>一、</w:t>
      </w:r>
      <w:bookmarkEnd w:id="11"/>
      <w:r>
        <w:rPr>
          <w:rFonts w:hint="eastAsia" w:asciiTheme="minorEastAsia" w:hAnsiTheme="minorEastAsia" w:eastAsiaTheme="minorEastAsia" w:cstheme="minorEastAsia"/>
          <w:sz w:val="28"/>
          <w:szCs w:val="28"/>
        </w:rPr>
        <w:t>总  则</w:t>
      </w:r>
      <w:bookmarkEnd w:id="12"/>
      <w:bookmarkEnd w:id="13"/>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1．概况</w:t>
      </w:r>
    </w:p>
    <w:p>
      <w:pPr>
        <w:tabs>
          <w:tab w:val="left" w:pos="90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1.1项目名称：2022-2023年度环渚街道幸福邻里中心运营社会组织采购项目；</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1.2采购人：</w:t>
      </w:r>
      <w:r>
        <w:rPr>
          <w:rFonts w:hint="eastAsia" w:asciiTheme="minorEastAsia" w:hAnsiTheme="minorEastAsia" w:eastAsiaTheme="minorEastAsia" w:cstheme="minorEastAsia"/>
          <w:bCs/>
          <w:sz w:val="24"/>
        </w:rPr>
        <w:t>湖州市吴兴区人民政府环渚街道办事处</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1.3监管部门: 湖州市吴兴区财政局；</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1.4项目资金来源：已得到政府有关部门的批准，其资金来源已落实；</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1.5采购方式:竞争性磋商；</w:t>
      </w:r>
    </w:p>
    <w:p>
      <w:pPr>
        <w:spacing w:line="560" w:lineRule="exact"/>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1.6采购项目服务地点：</w:t>
      </w:r>
      <w:r>
        <w:rPr>
          <w:rFonts w:hint="eastAsia" w:asciiTheme="minorEastAsia" w:hAnsiTheme="minorEastAsia" w:eastAsiaTheme="minorEastAsia" w:cstheme="minorEastAsia"/>
          <w:bCs/>
          <w:sz w:val="24"/>
        </w:rPr>
        <w:t>根据采购人指令</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1.7</w:t>
      </w:r>
      <w:r>
        <w:rPr>
          <w:rFonts w:hint="eastAsia" w:asciiTheme="minorEastAsia" w:hAnsiTheme="minorEastAsia" w:eastAsiaTheme="minorEastAsia" w:cstheme="minorEastAsia"/>
          <w:sz w:val="24"/>
        </w:rPr>
        <w:t>采购代理机构：</w:t>
      </w:r>
      <w:r>
        <w:rPr>
          <w:rFonts w:hint="eastAsia" w:asciiTheme="minorEastAsia" w:hAnsiTheme="minorEastAsia" w:eastAsiaTheme="minorEastAsia" w:cstheme="minorEastAsia"/>
          <w:sz w:val="24"/>
          <w:lang w:eastAsia="zh-CN"/>
        </w:rPr>
        <w:t>浙江同欣工程管理有限公司</w:t>
      </w:r>
      <w:r>
        <w:rPr>
          <w:rFonts w:hint="eastAsia" w:asciiTheme="minorEastAsia" w:hAnsiTheme="minorEastAsia" w:eastAsiaTheme="minorEastAsia" w:cstheme="minorEastAsia"/>
          <w:sz w:val="24"/>
        </w:rPr>
        <w:t>；</w:t>
      </w:r>
    </w:p>
    <w:p>
      <w:pPr>
        <w:tabs>
          <w:tab w:val="left" w:pos="90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1.8本磋商文件适用于</w:t>
      </w:r>
      <w:r>
        <w:rPr>
          <w:rFonts w:hint="eastAsia" w:asciiTheme="minorEastAsia" w:hAnsiTheme="minorEastAsia" w:eastAsiaTheme="minorEastAsia" w:cstheme="minorEastAsia"/>
          <w:bCs/>
          <w:sz w:val="24"/>
        </w:rPr>
        <w:t>本</w:t>
      </w:r>
      <w:r>
        <w:rPr>
          <w:rFonts w:hint="eastAsia" w:asciiTheme="minorEastAsia" w:hAnsiTheme="minorEastAsia" w:eastAsiaTheme="minorEastAsia" w:cstheme="minorEastAsia"/>
          <w:sz w:val="24"/>
        </w:rPr>
        <w:t>项目的磋商、成交、验收、合同履约、付款等（如法律、法规或省级以上规范性文件另有规定的，从其规定）。</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2．供应商的资格条件</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44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kern w:val="0"/>
          <w:sz w:val="24"/>
        </w:rPr>
        <w:t>在中国境内注册的法人机构或事业单位或在民政部门登记的从事社会工作服务的民办非企业单位。</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2.3本项目不接受联合体投标。</w:t>
      </w:r>
    </w:p>
    <w:p>
      <w:pPr>
        <w:spacing w:line="56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3．磋商费用</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3.1无论磋商采购结果如何，供应商均应自行承担所有与参加本次磋商采购有关的全部费用。</w:t>
      </w:r>
      <w:r>
        <w:rPr>
          <w:rFonts w:hint="eastAsia" w:asciiTheme="minorEastAsia" w:hAnsiTheme="minorEastAsia" w:eastAsiaTheme="minorEastAsia" w:cstheme="minorEastAsia"/>
          <w:sz w:val="24"/>
        </w:rPr>
        <w:t>不论磋商结果如何，采购代理机构对上述费用不负任何责任；</w:t>
      </w:r>
    </w:p>
    <w:p>
      <w:pPr>
        <w:spacing w:line="560" w:lineRule="exact"/>
        <w:ind w:firstLine="480" w:firstLineChars="200"/>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Cs/>
          <w:sz w:val="24"/>
        </w:rPr>
        <w:t>3.2本项目磋商代理费按人民币</w:t>
      </w:r>
      <w:r>
        <w:rPr>
          <w:rFonts w:hint="eastAsia" w:asciiTheme="minorEastAsia" w:hAnsiTheme="minorEastAsia" w:eastAsiaTheme="minorEastAsia" w:cstheme="minorEastAsia"/>
          <w:b/>
          <w:sz w:val="24"/>
          <w:u w:val="single"/>
        </w:rPr>
        <w:t>14500元</w:t>
      </w:r>
      <w:r>
        <w:rPr>
          <w:rFonts w:hint="eastAsia" w:asciiTheme="minorEastAsia" w:hAnsiTheme="minorEastAsia" w:eastAsiaTheme="minorEastAsia" w:cstheme="minorEastAsia"/>
          <w:bCs/>
          <w:sz w:val="24"/>
        </w:rPr>
        <w:t>计取，由成交供应商在领取成交通知书前一次性支付给采购代理机构，该费用请综合考虑在响应报价中。</w:t>
      </w:r>
    </w:p>
    <w:p>
      <w:pPr>
        <w:pStyle w:val="8"/>
        <w:spacing w:line="560" w:lineRule="exact"/>
        <w:jc w:val="center"/>
        <w:rPr>
          <w:rFonts w:asciiTheme="minorEastAsia" w:hAnsiTheme="minorEastAsia" w:eastAsiaTheme="minorEastAsia" w:cstheme="minorEastAsia"/>
          <w:kern w:val="44"/>
          <w:sz w:val="28"/>
          <w:szCs w:val="28"/>
        </w:rPr>
      </w:pPr>
      <w:bookmarkStart w:id="14" w:name="_Toc27677"/>
      <w:bookmarkStart w:id="15" w:name="_Toc452995897"/>
      <w:r>
        <w:rPr>
          <w:rFonts w:hint="eastAsia" w:asciiTheme="minorEastAsia" w:hAnsiTheme="minorEastAsia" w:eastAsiaTheme="minorEastAsia" w:cstheme="minorEastAsia"/>
          <w:kern w:val="44"/>
          <w:sz w:val="28"/>
          <w:szCs w:val="28"/>
        </w:rPr>
        <w:t>二、磋商文件的说明</w:t>
      </w:r>
      <w:bookmarkEnd w:id="14"/>
      <w:bookmarkEnd w:id="15"/>
    </w:p>
    <w:p>
      <w:pPr>
        <w:spacing w:line="560" w:lineRule="exact"/>
        <w:rPr>
          <w:rFonts w:asciiTheme="minorEastAsia" w:hAnsiTheme="minorEastAsia" w:eastAsiaTheme="minorEastAsia" w:cstheme="minorEastAsia"/>
          <w:kern w:val="44"/>
          <w:sz w:val="24"/>
        </w:rPr>
      </w:pPr>
      <w:bookmarkStart w:id="16" w:name="_Toc113441589"/>
      <w:r>
        <w:rPr>
          <w:rFonts w:hint="eastAsia" w:asciiTheme="minorEastAsia" w:hAnsiTheme="minorEastAsia" w:eastAsiaTheme="minorEastAsia" w:cstheme="minorEastAsia"/>
          <w:kern w:val="44"/>
          <w:sz w:val="24"/>
        </w:rPr>
        <w:t>4．磋商文件</w:t>
      </w:r>
      <w:bookmarkEnd w:id="16"/>
      <w:r>
        <w:rPr>
          <w:rFonts w:hint="eastAsia" w:asciiTheme="minorEastAsia" w:hAnsiTheme="minorEastAsia" w:eastAsiaTheme="minorEastAsia" w:cstheme="minorEastAsia"/>
          <w:kern w:val="44"/>
          <w:sz w:val="24"/>
        </w:rPr>
        <w:t>的组成</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4.1</w:t>
      </w:r>
      <w:r>
        <w:rPr>
          <w:rFonts w:hint="eastAsia" w:asciiTheme="minorEastAsia" w:hAnsiTheme="minorEastAsia" w:eastAsiaTheme="minorEastAsia" w:cstheme="minorEastAsia"/>
          <w:bCs/>
          <w:sz w:val="24"/>
        </w:rPr>
        <w:t>磋商文件为本次采购人发出的竞争性磋商文件；响应文件为参加磋商的供应商提交的磋商响应文件。</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4.2磋商文件包括以下内容：</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4.2.1第一章  竞争性磋商公告</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4.2.2第二章  磋商项目采购需求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4.2.3第三章  供应商须知</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4.2.4第四章  合同主要条款</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4.2.5第五章  响应文件格式</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4.2.6第六章  磋商办法及评分标准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 采购代理机构在磋商截止时间前，以书面形式发出的对磋商文件的澄清或修改内容，均为磋商文件的组成部分，对采购人和供应商起约束作用；</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4.4供应商获取磋商文件后，应仔细检查磋商文件的所有内容，如有残缺等问题，均应在获得磋商文件后</w:t>
      </w:r>
      <w:r>
        <w:rPr>
          <w:rFonts w:hint="eastAsia" w:asciiTheme="minorEastAsia" w:hAnsiTheme="minorEastAsia" w:eastAsiaTheme="minorEastAsia" w:cstheme="minorEastAsia"/>
          <w:b/>
          <w:sz w:val="24"/>
        </w:rPr>
        <w:t>在1个工作日</w:t>
      </w:r>
      <w:r>
        <w:rPr>
          <w:rFonts w:hint="eastAsia" w:asciiTheme="minorEastAsia" w:hAnsiTheme="minorEastAsia" w:eastAsiaTheme="minorEastAsia" w:cstheme="minorEastAsia"/>
          <w:sz w:val="24"/>
        </w:rPr>
        <w:t>内向采购代理机构书面提出，否则，由此引起的损失由供应商自己承担。供应商同时应认真审阅竞争性磋商文件中所有的事项、格式、条款和规范要求（包括补充内容）等所有内容，若供应商的响应文件没有按磋商文件要求提交全部资料，或响应文件没有对磋商文件做出实质性响应，其风险由供应商自行承担，并根据有关条款规定，该响应文件有可能被拒绝。</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5.</w:t>
      </w:r>
      <w:r>
        <w:rPr>
          <w:rFonts w:hint="eastAsia" w:asciiTheme="minorEastAsia" w:hAnsiTheme="minorEastAsia" w:eastAsiaTheme="minorEastAsia" w:cstheme="minorEastAsia"/>
          <w:sz w:val="24"/>
        </w:rPr>
        <w:t>磋商文件的答疑</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w:t>
      </w:r>
      <w:r>
        <w:rPr>
          <w:rFonts w:hint="eastAsia" w:ascii="宋体" w:hAnsi="宋体" w:cs="宋体"/>
          <w:sz w:val="24"/>
        </w:rPr>
        <w:t>供应商如认为磋商文件表述不清晰、存在歧视性或者其他违法内容的，应当在</w:t>
      </w:r>
      <w:r>
        <w:rPr>
          <w:rFonts w:hint="eastAsia" w:ascii="宋体" w:hAnsi="宋体" w:cs="宋体"/>
          <w:kern w:val="0"/>
          <w:sz w:val="24"/>
        </w:rPr>
        <w:t>依法获取磋商文件或磋商公告期届满后1个工作日内以书面形式向采购人和采购代理机构</w:t>
      </w:r>
      <w:r>
        <w:rPr>
          <w:rFonts w:hint="eastAsia" w:ascii="宋体" w:hAnsi="宋体" w:cs="宋体"/>
          <w:sz w:val="24"/>
        </w:rPr>
        <w:t>一次性提出，采购人将在规定的时间内统一进行澄清和修改，并书面（含传真）通知所有认购磋商文件的供应商。供应商未按规定要求提出的，则视同认可磋商文件，但法律法规及规范性文件有明确规定的除外</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5.2答疑内容是磋商文件的组成部分，并将在网上发布补充（答疑、澄清）文件，潜在供应商应自行关注网站公告，采购人不再一一通知，供应商因自身贻误行为导致磋商失效的，责任自负。</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6.磋商文件的澄清、修改</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6.1</w:t>
      </w:r>
      <w:r>
        <w:rPr>
          <w:rFonts w:hint="eastAsia" w:asciiTheme="minorEastAsia" w:hAnsiTheme="minorEastAsia" w:eastAsiaTheme="minorEastAsia" w:cstheme="minorEastAsia"/>
          <w:bCs/>
          <w:sz w:val="24"/>
        </w:rPr>
        <w:t>在磋商截止时间前，采购人及采购代理机构无论出于自己的考虑，还是出于对供应商提问的澄清，均可对磋商文件用补充文件的方式进行修改</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6.2</w:t>
      </w:r>
      <w:r>
        <w:rPr>
          <w:rFonts w:hint="eastAsia" w:asciiTheme="minorEastAsia" w:hAnsiTheme="minorEastAsia" w:eastAsiaTheme="minorEastAsia" w:cstheme="minorEastAsia"/>
          <w:bCs/>
          <w:sz w:val="24"/>
        </w:rPr>
        <w:t>对磋商文件的修改，将以书面、或传真的形式通知已购买同一磋商文件的每一供应商。补充文件将作为磋商文件的组成部分，对所有供应商有约束力。供应商在收到该补充文件后，应以书面方式予以确认</w:t>
      </w:r>
      <w:r>
        <w:rPr>
          <w:rFonts w:hint="eastAsia" w:asciiTheme="minorEastAsia" w:hAnsiTheme="minorEastAsia" w:eastAsiaTheme="minorEastAsia" w:cstheme="minorEastAsia"/>
          <w:sz w:val="24"/>
        </w:rPr>
        <w:t>。</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应当按照磋商文件的要求编制响应文件。响应文件应对磋商文件提出的要求和条件作出实质性响应（如对服务期限、售后服务、合同主要条款及其它要求等内容作出满足或者优于磋商文件要求和条件的承诺）。</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8.响应文件的签署</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8.1响应文件的形式与效力：</w:t>
      </w:r>
    </w:p>
    <w:p>
      <w:pPr>
        <w:tabs>
          <w:tab w:val="left" w:pos="3870"/>
          <w:tab w:val="left" w:pos="4085"/>
        </w:tabs>
        <w:snapToGrid w:val="0"/>
        <w:spacing w:line="560" w:lineRule="exact"/>
        <w:ind w:firstLine="240" w:firstLineChars="1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（一）响应文件分为电子响应文件及数据电子备份响应文件（U盘），具体内容如下：</w:t>
      </w:r>
    </w:p>
    <w:p>
      <w:pPr>
        <w:tabs>
          <w:tab w:val="left" w:pos="3870"/>
          <w:tab w:val="left" w:pos="4085"/>
        </w:tabs>
        <w:snapToGrid w:val="0"/>
        <w:spacing w:line="5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（1）电子响应文件：按政采云平台项目采购-电子交易操作指南及本磋商文件要求制作、加密并递交，供应商电子交易操作指南详见网址：https://help.zcygov.cn/web/site_2/2018/12-28/2573.html）。</w:t>
      </w:r>
    </w:p>
    <w:p>
      <w:pPr>
        <w:tabs>
          <w:tab w:val="left" w:pos="3870"/>
          <w:tab w:val="left" w:pos="4085"/>
        </w:tabs>
        <w:snapToGrid w:val="0"/>
        <w:spacing w:line="5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数据电子备份响应文件（U盘）：以U盘形式提供的数据电子备份响应文件格式及内容须与政采云平台项目采购-电子交易操作指南中制作、加密并递交的电子响应文件格式及内容一致。数据电子备份响应文件应加密，允许制作成一个U盘，但须密封、包装，不按此规定密封、包装的数据电子备份响应文件（U盘）均按未提供处理。</w:t>
      </w:r>
    </w:p>
    <w:p>
      <w:pPr>
        <w:tabs>
          <w:tab w:val="left" w:pos="3870"/>
          <w:tab w:val="left" w:pos="4085"/>
        </w:tabs>
        <w:snapToGrid w:val="0"/>
        <w:spacing w:line="56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（二）响应文件的效力：</w:t>
      </w:r>
    </w:p>
    <w:p>
      <w:pPr>
        <w:tabs>
          <w:tab w:val="left" w:pos="3870"/>
          <w:tab w:val="left" w:pos="4085"/>
        </w:tabs>
        <w:snapToGrid w:val="0"/>
        <w:spacing w:line="560" w:lineRule="exact"/>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响应文件的启用：按先后顺位分别为电子响应文件、数据电子备份响应文件（U盘）。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tabs>
          <w:tab w:val="left" w:pos="3870"/>
          <w:tab w:val="left" w:pos="4085"/>
        </w:tabs>
        <w:snapToGrid w:val="0"/>
        <w:spacing w:line="560" w:lineRule="exact"/>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8.2响应文件的组成（如无格式、格式自拟）</w:t>
      </w:r>
    </w:p>
    <w:p>
      <w:pPr>
        <w:tabs>
          <w:tab w:val="left" w:pos="3870"/>
          <w:tab w:val="left" w:pos="4085"/>
        </w:tabs>
        <w:snapToGrid w:val="0"/>
        <w:spacing w:line="560" w:lineRule="exact"/>
        <w:ind w:firstLine="480" w:firstLineChars="200"/>
        <w:jc w:val="left"/>
        <w:rPr>
          <w:rFonts w:asciiTheme="minorEastAsia" w:hAnsiTheme="minorEastAsia" w:eastAsiaTheme="minorEastAsia" w:cstheme="minorEastAsia"/>
          <w:sz w:val="24"/>
        </w:rPr>
      </w:pPr>
      <w:bookmarkStart w:id="17" w:name="_Hlk69030881"/>
      <w:r>
        <w:rPr>
          <w:rFonts w:hint="eastAsia" w:asciiTheme="minorEastAsia" w:hAnsiTheme="minorEastAsia" w:eastAsiaTheme="minorEastAsia" w:cstheme="minorEastAsia"/>
          <w:sz w:val="24"/>
        </w:rPr>
        <w:t>投标文件【包括电子投标文件，供应商递交数据电子备份投标文件（U盘）的】由《资格文件》、《技术、商务、资信及其他文件》和《报价文件》组成，其中电子投标文件中所须加盖公章部分均采用CA签章。</w:t>
      </w:r>
    </w:p>
    <w:p>
      <w:pPr>
        <w:tabs>
          <w:tab w:val="left" w:pos="3870"/>
          <w:tab w:val="left" w:pos="4085"/>
        </w:tabs>
        <w:snapToGrid w:val="0"/>
        <w:spacing w:line="56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（一）《资格文件》</w:t>
      </w:r>
    </w:p>
    <w:p>
      <w:pPr>
        <w:spacing w:line="460" w:lineRule="exact"/>
        <w:ind w:firstLine="420"/>
        <w:jc w:val="left"/>
        <w:rPr>
          <w:rFonts w:ascii="宋体" w:hAnsi="宋体" w:cs="宋体"/>
          <w:sz w:val="24"/>
        </w:rPr>
      </w:pPr>
      <w:r>
        <w:rPr>
          <w:rFonts w:hint="eastAsia" w:ascii="宋体" w:hAnsi="宋体" w:cs="宋体"/>
          <w:sz w:val="24"/>
        </w:rPr>
        <w:t>1、有效的营业执照副本或法人登记书或民办非企业单位登记书或法人登记书或民办非企业单位登记书；</w:t>
      </w:r>
      <w:r>
        <w:rPr>
          <w:rFonts w:hint="eastAsia" w:asciiTheme="minorEastAsia" w:hAnsiTheme="minorEastAsia" w:eastAsiaTheme="minorEastAsia" w:cstheme="minorEastAsia"/>
          <w:b/>
          <w:sz w:val="24"/>
        </w:rPr>
        <w:t>（资格审查条款）</w:t>
      </w:r>
    </w:p>
    <w:p>
      <w:pPr>
        <w:spacing w:line="460" w:lineRule="exact"/>
        <w:ind w:firstLine="420"/>
        <w:jc w:val="left"/>
        <w:rPr>
          <w:rFonts w:ascii="宋体" w:hAnsi="宋体" w:cs="宋体"/>
          <w:sz w:val="24"/>
        </w:rPr>
      </w:pPr>
      <w:r>
        <w:rPr>
          <w:rFonts w:hint="eastAsia" w:ascii="宋体" w:hAnsi="宋体" w:cs="宋体"/>
          <w:sz w:val="24"/>
        </w:rPr>
        <w:t>2、</w:t>
      </w:r>
      <w:r>
        <w:rPr>
          <w:rFonts w:hint="eastAsia" w:ascii="宋体" w:hAnsi="宋体"/>
          <w:sz w:val="24"/>
        </w:rPr>
        <w:t>法定代表人有效身份证明书及身份证或</w:t>
      </w:r>
      <w:r>
        <w:rPr>
          <w:rFonts w:hint="eastAsia" w:ascii="宋体" w:hAnsi="宋体" w:cs="宋体"/>
          <w:sz w:val="24"/>
        </w:rPr>
        <w:t>法定代表人授权委托书及授权代理人身份证；</w:t>
      </w:r>
      <w:r>
        <w:rPr>
          <w:rFonts w:hint="eastAsia" w:asciiTheme="minorEastAsia" w:hAnsiTheme="minorEastAsia" w:eastAsiaTheme="minorEastAsia" w:cstheme="minorEastAsia"/>
          <w:b/>
          <w:sz w:val="24"/>
        </w:rPr>
        <w:t>（资格审查条款）</w:t>
      </w:r>
    </w:p>
    <w:p>
      <w:pPr>
        <w:spacing w:line="460" w:lineRule="exact"/>
        <w:ind w:firstLine="420"/>
        <w:jc w:val="left"/>
        <w:rPr>
          <w:rFonts w:ascii="宋体"/>
          <w:sz w:val="24"/>
        </w:rPr>
      </w:pPr>
      <w:r>
        <w:rPr>
          <w:rFonts w:hint="eastAsia" w:ascii="宋体" w:hAnsi="宋体" w:cs="宋体"/>
          <w:sz w:val="24"/>
        </w:rPr>
        <w:t>3、授权代理人社保缴纳证明（社保机构出具的由本单位或分公司为其缴纳的</w:t>
      </w:r>
      <w:r>
        <w:rPr>
          <w:rFonts w:hint="eastAsia" w:ascii="宋体" w:hAnsi="宋体" w:cs="宋体"/>
          <w:kern w:val="0"/>
          <w:sz w:val="24"/>
        </w:rPr>
        <w:t>最近一个月</w:t>
      </w:r>
      <w:r>
        <w:rPr>
          <w:rFonts w:hint="eastAsia" w:ascii="宋体" w:hAnsi="宋体" w:cs="宋体"/>
          <w:sz w:val="24"/>
        </w:rPr>
        <w:t>的社保证明）；</w:t>
      </w:r>
      <w:r>
        <w:rPr>
          <w:rFonts w:hint="eastAsia" w:asciiTheme="minorEastAsia" w:hAnsiTheme="minorEastAsia" w:eastAsiaTheme="minorEastAsia" w:cstheme="minorEastAsia"/>
          <w:b/>
          <w:sz w:val="24"/>
        </w:rPr>
        <w:t>（资格审查条款）</w:t>
      </w:r>
    </w:p>
    <w:p>
      <w:pPr>
        <w:spacing w:line="460" w:lineRule="exact"/>
        <w:ind w:firstLine="420"/>
        <w:jc w:val="left"/>
        <w:rPr>
          <w:rFonts w:ascii="宋体"/>
          <w:sz w:val="24"/>
        </w:rPr>
      </w:pPr>
      <w:r>
        <w:rPr>
          <w:rFonts w:hint="eastAsia" w:ascii="宋体" w:hAnsi="宋体" w:cs="宋体"/>
          <w:sz w:val="24"/>
        </w:rPr>
        <w:t>4、</w:t>
      </w:r>
      <w:r>
        <w:rPr>
          <w:rFonts w:hint="eastAsia" w:ascii="宋体" w:hAnsi="宋体"/>
          <w:sz w:val="24"/>
        </w:rPr>
        <w:t>供应商最近三个月企业正常纳税情况和社保基金缴纳情况证明文书</w:t>
      </w:r>
      <w:r>
        <w:rPr>
          <w:rFonts w:hint="eastAsia" w:ascii="宋体" w:hAnsi="宋体" w:cs="宋体"/>
          <w:sz w:val="24"/>
        </w:rPr>
        <w:t>；</w:t>
      </w:r>
      <w:r>
        <w:rPr>
          <w:rFonts w:hint="eastAsia" w:asciiTheme="minorEastAsia" w:hAnsiTheme="minorEastAsia" w:eastAsiaTheme="minorEastAsia" w:cstheme="minorEastAsia"/>
          <w:b/>
          <w:sz w:val="24"/>
        </w:rPr>
        <w:t>（资格审查条款）</w:t>
      </w:r>
    </w:p>
    <w:p>
      <w:pPr>
        <w:spacing w:line="460" w:lineRule="exact"/>
        <w:ind w:firstLine="420"/>
        <w:jc w:val="left"/>
        <w:rPr>
          <w:rFonts w:ascii="宋体" w:hAnsi="宋体" w:cs="宋体"/>
          <w:sz w:val="24"/>
        </w:rPr>
      </w:pPr>
      <w:r>
        <w:rPr>
          <w:rFonts w:hint="eastAsia" w:ascii="宋体" w:hAnsi="宋体" w:cs="宋体"/>
          <w:sz w:val="24"/>
        </w:rPr>
        <w:t>5、提供自磋商公告发布之日起至任意时间的“信用中国”网站（</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）供应商信用查询网页截图（以开标当日采购人或由采购代理机构核实的查询结果为准）；</w:t>
      </w:r>
      <w:r>
        <w:rPr>
          <w:rFonts w:hint="eastAsia" w:asciiTheme="minorEastAsia" w:hAnsiTheme="minorEastAsia" w:eastAsiaTheme="minorEastAsia" w:cstheme="minorEastAsia"/>
          <w:b/>
          <w:sz w:val="24"/>
        </w:rPr>
        <w:t>（资格审查条款）</w:t>
      </w:r>
    </w:p>
    <w:p>
      <w:pPr>
        <w:spacing w:line="460" w:lineRule="exact"/>
        <w:ind w:firstLine="420"/>
        <w:jc w:val="left"/>
        <w:rPr>
          <w:rFonts w:asciiTheme="minorEastAsia" w:hAnsiTheme="minorEastAsia" w:eastAsiaTheme="minorEastAsia" w:cstheme="minorEastAsia"/>
          <w:b/>
          <w:sz w:val="24"/>
        </w:rPr>
      </w:pPr>
      <w:r>
        <w:rPr>
          <w:rFonts w:hint="eastAsia" w:ascii="宋体" w:hAnsi="宋体"/>
          <w:sz w:val="24"/>
        </w:rPr>
        <w:t>6、信用承诺书；</w:t>
      </w:r>
      <w:r>
        <w:rPr>
          <w:rFonts w:hint="eastAsia" w:asciiTheme="minorEastAsia" w:hAnsiTheme="minorEastAsia" w:eastAsiaTheme="minorEastAsia" w:cstheme="minorEastAsia"/>
          <w:b/>
          <w:sz w:val="24"/>
        </w:rPr>
        <w:t>（资格审查条款）</w:t>
      </w:r>
    </w:p>
    <w:p>
      <w:pPr>
        <w:tabs>
          <w:tab w:val="left" w:pos="3870"/>
          <w:tab w:val="left" w:pos="4085"/>
        </w:tabs>
        <w:snapToGrid w:val="0"/>
        <w:spacing w:line="56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（二）《技术、商务、资信及其他文件</w:t>
      </w:r>
      <w:bookmarkEnd w:id="17"/>
      <w:r>
        <w:rPr>
          <w:rFonts w:hint="eastAsia" w:asciiTheme="minorEastAsia" w:hAnsiTheme="minorEastAsia" w:eastAsiaTheme="minorEastAsia" w:cstheme="minorEastAsia"/>
          <w:b/>
          <w:bCs/>
          <w:sz w:val="24"/>
        </w:rPr>
        <w:t>》</w:t>
      </w:r>
    </w:p>
    <w:p>
      <w:pPr>
        <w:spacing w:line="460" w:lineRule="exact"/>
        <w:ind w:firstLine="420"/>
        <w:jc w:val="left"/>
        <w:rPr>
          <w:rFonts w:ascii="宋体" w:hAnsi="宋体" w:cs="宋体"/>
          <w:sz w:val="24"/>
        </w:rPr>
      </w:pPr>
      <w:r>
        <w:rPr>
          <w:rFonts w:hint="eastAsia" w:ascii="宋体" w:hAnsi="宋体" w:cs="宋体"/>
          <w:sz w:val="24"/>
        </w:rPr>
        <w:t>1、供应商自评分索引表；</w:t>
      </w:r>
    </w:p>
    <w:p>
      <w:pPr>
        <w:spacing w:line="460" w:lineRule="exact"/>
        <w:ind w:firstLine="420"/>
        <w:jc w:val="left"/>
        <w:rPr>
          <w:rFonts w:ascii="宋体" w:hAnsi="宋体" w:cs="宋体"/>
          <w:sz w:val="24"/>
        </w:rPr>
      </w:pPr>
      <w:r>
        <w:rPr>
          <w:rFonts w:hint="eastAsia" w:ascii="宋体" w:hAnsi="宋体" w:cs="宋体"/>
          <w:sz w:val="24"/>
        </w:rPr>
        <w:t>2、商务响应表；</w:t>
      </w:r>
    </w:p>
    <w:p>
      <w:pPr>
        <w:spacing w:line="460" w:lineRule="exact"/>
        <w:ind w:firstLine="420"/>
        <w:jc w:val="left"/>
        <w:rPr>
          <w:rFonts w:ascii="宋体" w:hAnsi="宋体" w:cs="宋体"/>
          <w:sz w:val="24"/>
        </w:rPr>
      </w:pPr>
      <w:r>
        <w:rPr>
          <w:rFonts w:hint="eastAsia" w:ascii="宋体" w:hAnsi="宋体" w:cs="宋体"/>
          <w:sz w:val="24"/>
        </w:rPr>
        <w:t>3、组织实施方案；</w:t>
      </w:r>
    </w:p>
    <w:p>
      <w:pPr>
        <w:spacing w:line="460" w:lineRule="exact"/>
        <w:ind w:firstLine="420"/>
        <w:jc w:val="left"/>
        <w:rPr>
          <w:rFonts w:ascii="宋体" w:hAnsi="宋体" w:cs="宋体"/>
          <w:sz w:val="24"/>
        </w:rPr>
      </w:pPr>
      <w:r>
        <w:rPr>
          <w:rFonts w:hint="eastAsia" w:ascii="宋体" w:hAnsi="宋体" w:cs="宋体"/>
          <w:sz w:val="24"/>
        </w:rPr>
        <w:t>4、合理化建议</w:t>
      </w:r>
    </w:p>
    <w:p>
      <w:pPr>
        <w:spacing w:line="460" w:lineRule="exact"/>
        <w:ind w:firstLine="420"/>
        <w:jc w:val="left"/>
        <w:rPr>
          <w:rFonts w:ascii="宋体" w:hAnsi="宋体" w:cs="宋体"/>
          <w:sz w:val="24"/>
        </w:rPr>
      </w:pPr>
      <w:r>
        <w:rPr>
          <w:rFonts w:hint="eastAsia" w:ascii="宋体" w:hAnsi="宋体" w:cs="宋体"/>
          <w:sz w:val="24"/>
        </w:rPr>
        <w:t>5、售后服务承诺；</w:t>
      </w:r>
    </w:p>
    <w:p>
      <w:pPr>
        <w:spacing w:line="460" w:lineRule="exact"/>
        <w:ind w:firstLine="420"/>
        <w:jc w:val="left"/>
        <w:rPr>
          <w:rFonts w:ascii="宋体" w:hAnsi="宋体" w:cs="宋体"/>
          <w:sz w:val="24"/>
        </w:rPr>
      </w:pPr>
      <w:r>
        <w:rPr>
          <w:rFonts w:hint="eastAsia" w:ascii="宋体" w:hAnsi="宋体" w:cs="宋体"/>
          <w:sz w:val="24"/>
        </w:rPr>
        <w:t>6、人员配备；</w:t>
      </w:r>
    </w:p>
    <w:p>
      <w:pPr>
        <w:spacing w:line="460" w:lineRule="exact"/>
        <w:ind w:firstLine="420"/>
        <w:jc w:val="left"/>
        <w:rPr>
          <w:rFonts w:ascii="宋体" w:hAnsi="宋体" w:cs="宋体"/>
          <w:sz w:val="24"/>
        </w:rPr>
      </w:pPr>
      <w:r>
        <w:rPr>
          <w:rFonts w:hint="eastAsia" w:ascii="宋体" w:hAnsi="宋体" w:cs="宋体"/>
          <w:sz w:val="24"/>
        </w:rPr>
        <w:t>7、企业业绩；</w:t>
      </w:r>
    </w:p>
    <w:p>
      <w:pPr>
        <w:spacing w:line="460" w:lineRule="exact"/>
        <w:ind w:firstLine="420"/>
        <w:jc w:val="left"/>
        <w:rPr>
          <w:rFonts w:ascii="宋体" w:hAnsi="宋体" w:cs="宋体"/>
          <w:sz w:val="24"/>
        </w:rPr>
      </w:pPr>
      <w:r>
        <w:rPr>
          <w:rFonts w:hint="eastAsia" w:ascii="宋体" w:hAnsi="宋体" w:cs="宋体"/>
          <w:sz w:val="24"/>
        </w:rPr>
        <w:t>8、企业荣誉；</w:t>
      </w:r>
    </w:p>
    <w:p>
      <w:pPr>
        <w:spacing w:line="460" w:lineRule="exact"/>
        <w:ind w:firstLine="420"/>
        <w:jc w:val="left"/>
        <w:rPr>
          <w:rFonts w:ascii="宋体" w:hAnsi="宋体" w:cs="宋体"/>
          <w:sz w:val="24"/>
        </w:rPr>
      </w:pPr>
      <w:r>
        <w:rPr>
          <w:rFonts w:hint="eastAsia" w:ascii="宋体" w:hAnsi="宋体" w:cs="宋体"/>
          <w:sz w:val="24"/>
        </w:rPr>
        <w:t>9、企业实力；</w:t>
      </w:r>
    </w:p>
    <w:p>
      <w:pPr>
        <w:spacing w:line="460" w:lineRule="exact"/>
        <w:ind w:firstLine="420"/>
        <w:jc w:val="left"/>
        <w:rPr>
          <w:rFonts w:ascii="宋体" w:hAnsi="宋体" w:cs="宋体"/>
          <w:sz w:val="24"/>
        </w:rPr>
      </w:pPr>
      <w:r>
        <w:rPr>
          <w:rFonts w:hint="eastAsia" w:ascii="宋体" w:hAnsi="宋体" w:cs="宋体"/>
          <w:sz w:val="24"/>
        </w:rPr>
        <w:t>10、供应商需要说明的其他文件和说明。</w:t>
      </w:r>
    </w:p>
    <w:p>
      <w:pPr>
        <w:spacing w:line="56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（三）《首次报价文件》：</w:t>
      </w:r>
    </w:p>
    <w:p>
      <w:pPr>
        <w:snapToGrid w:val="0"/>
        <w:spacing w:line="5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（1）响应函；</w:t>
      </w:r>
    </w:p>
    <w:p>
      <w:pPr>
        <w:snapToGrid w:val="0"/>
        <w:spacing w:line="5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（2）磋商报价表（首次报价）；</w:t>
      </w:r>
    </w:p>
    <w:p>
      <w:pPr>
        <w:snapToGrid w:val="0"/>
        <w:spacing w:line="5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（3）报价明细表（格式自拟）；</w:t>
      </w:r>
    </w:p>
    <w:p>
      <w:pPr>
        <w:snapToGrid w:val="0"/>
        <w:spacing w:line="560" w:lineRule="exact"/>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sz w:val="24"/>
        </w:rPr>
        <w:t>（4）磋商代理服务费承诺函；</w:t>
      </w:r>
    </w:p>
    <w:p>
      <w:pPr>
        <w:tabs>
          <w:tab w:val="left" w:pos="810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（5）供应商针对报价需要说明的其他材料。</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9.磋商报价说明</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9.1响应报价应按采购文件中相关附表格式填写；</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9.2供应商应按本磋商文件提供相应的报价，不得缺项和漏项，每一项目只允许有一个报价，任何有选择性的报价，将不予接受；</w:t>
      </w:r>
    </w:p>
    <w:p>
      <w:pPr>
        <w:spacing w:line="5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9.3供应商的报价应是完成本磋商文件规定内容所需发生的全部费用（包含税金、运输、保险、服务、检测验收、维护保养及其他应由供应商承担的费用），应为履行合同的最终价格，凡未列入表达清楚的，将被视为均已包含在投标总报价中；</w:t>
      </w:r>
    </w:p>
    <w:p>
      <w:pPr>
        <w:spacing w:line="5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9.4如实际服务中发生服务内容的调整须经采购人同意，增减服务内容的结算按相应成交价格计算；</w:t>
      </w:r>
    </w:p>
    <w:p>
      <w:pPr>
        <w:spacing w:line="5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9.5供应商的最后报价由供应商自担全部风险责任，成交后不得以任何理由调报价或追加任何费用；</w:t>
      </w:r>
    </w:p>
    <w:p>
      <w:pPr>
        <w:spacing w:line="5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9.6各供应商拟采取的竞争措施和提供给采购人的优惠条件应在响应文件中列明，开标后提出的优惠条件一律不予考虑；</w:t>
      </w:r>
    </w:p>
    <w:p>
      <w:pPr>
        <w:spacing w:line="5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9.7供应商所有优惠条件和优惠费用不得降低和影响本采购项目质量；</w:t>
      </w:r>
    </w:p>
    <w:p>
      <w:pPr>
        <w:spacing w:line="5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9.8供应商对磋商文件里有关响应报价的全部内容应仔细确认，若有个别异议，应在开标前五天提出修改意见，否则视同全部确认；</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9.9</w:t>
      </w:r>
      <w:r>
        <w:rPr>
          <w:rFonts w:hint="eastAsia" w:asciiTheme="minorEastAsia" w:hAnsiTheme="minorEastAsia" w:eastAsiaTheme="minorEastAsia" w:cstheme="minorEastAsia"/>
          <w:bCs/>
          <w:sz w:val="24"/>
        </w:rPr>
        <w:t>供应商要按磋商项目内容、数量及服务要求，就采购事项按格式要求规范填写，并由法定代表人或授权代理人签署，未经采购人书面同意，</w:t>
      </w:r>
      <w:r>
        <w:rPr>
          <w:rFonts w:hint="eastAsia" w:asciiTheme="minorEastAsia" w:hAnsiTheme="minorEastAsia" w:eastAsiaTheme="minorEastAsia" w:cstheme="minorEastAsia"/>
          <w:sz w:val="24"/>
        </w:rPr>
        <w:t>不得随意更改项目名称、计量单位，否则有可能被视为无效磋商；</w:t>
      </w:r>
    </w:p>
    <w:p>
      <w:pPr>
        <w:spacing w:line="5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9.10</w:t>
      </w:r>
      <w:r>
        <w:rPr>
          <w:rFonts w:hint="eastAsia" w:asciiTheme="minorEastAsia" w:hAnsiTheme="minorEastAsia" w:eastAsiaTheme="minorEastAsia" w:cstheme="minorEastAsia"/>
          <w:b/>
          <w:bCs/>
          <w:sz w:val="24"/>
        </w:rPr>
        <w:t>磋商分二轮进行，首次报价在响应文件中体现；</w:t>
      </w:r>
    </w:p>
    <w:p>
      <w:pPr>
        <w:spacing w:line="5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9.11最后报价应通过政采云系统进行在线磋商、报价，若因系统原因无法在线磋商、报价时，可通过如下方式：代理机构通过电子邮箱（102580137@qq.com）向各供应商指定的电子邮箱发送最后报价的通知函，供应商在收到此函后30分钟内通过指定的电子邮箱进行最后报价，最后报价应按照本磋商文件规定的格式并以邮件的形式提供，且由法定代表人或其授权代理人签字确认并加盖公章，最后报价由代理机构统一提交至磋商小组，并宣读最后报价，采购人及监督人在最后报价表上签字确认；</w:t>
      </w:r>
    </w:p>
    <w:p>
      <w:pPr>
        <w:spacing w:line="56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9.12各供应商应事先做好充足准备，如未能在规定的时间内进行最后报价，作自动放弃处理；</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9.13</w:t>
      </w:r>
      <w:r>
        <w:rPr>
          <w:rFonts w:hint="eastAsia" w:asciiTheme="minorEastAsia" w:hAnsiTheme="minorEastAsia" w:eastAsiaTheme="minorEastAsia" w:cstheme="minorEastAsia"/>
          <w:bCs/>
          <w:sz w:val="24"/>
        </w:rPr>
        <w:t>响应文件中的所有报价均以人民币（元）为单位；</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9.14采购人不接受备选方案。</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10.磋商有效期</w:t>
      </w:r>
    </w:p>
    <w:p>
      <w:pPr>
        <w:tabs>
          <w:tab w:val="left" w:pos="1440"/>
          <w:tab w:val="left" w:pos="1620"/>
        </w:tabs>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10.1</w:t>
      </w:r>
      <w:r>
        <w:rPr>
          <w:rFonts w:hint="eastAsia" w:asciiTheme="minorEastAsia" w:hAnsiTheme="minorEastAsia" w:eastAsiaTheme="minorEastAsia" w:cstheme="minorEastAsia"/>
          <w:bCs/>
          <w:sz w:val="24"/>
        </w:rPr>
        <w:t>自磋商开始之日起60天内。有效期短于这个规定期限的响应文件，将被拒绝；</w:t>
      </w:r>
    </w:p>
    <w:p>
      <w:pPr>
        <w:tabs>
          <w:tab w:val="left" w:pos="1440"/>
          <w:tab w:val="left" w:pos="16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在特殊情况下，采购代理机构在原定磋商有效期内，可以根据需要以书面形式向供应商提出延长磋商有效期的要求，供应商须以书面形式予以答复。供应商可以拒绝采购代理机构的这种要求。同意延长磋商有效期的供应商既不能要求也不允许修改其响应文件。</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11.响应文件的签署和份数</w:t>
      </w:r>
    </w:p>
    <w:p>
      <w:pPr>
        <w:tabs>
          <w:tab w:val="left" w:pos="1440"/>
          <w:tab w:val="left" w:pos="1620"/>
        </w:tabs>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11.1电子响应文件：</w:t>
      </w:r>
    </w:p>
    <w:p>
      <w:pPr>
        <w:tabs>
          <w:tab w:val="left" w:pos="1440"/>
          <w:tab w:val="left" w:pos="16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根据“政采云供应商项目采购-电子招投标操作指南”及本磋商文件规定的格式和顺序编制电子响应文件并进行关联定位，若因响应文件内容不完整、编排混乱导致响应文件被误读、漏读或者查找不到相关内容的，是供应商的责任。</w:t>
      </w:r>
    </w:p>
    <w:p>
      <w:pPr>
        <w:tabs>
          <w:tab w:val="left" w:pos="1440"/>
          <w:tab w:val="left" w:pos="1620"/>
        </w:tabs>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11.2数据电子备份响应文件（U盘）：</w:t>
      </w:r>
    </w:p>
    <w:p>
      <w:pPr>
        <w:tabs>
          <w:tab w:val="left" w:pos="1440"/>
          <w:tab w:val="left" w:pos="16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响应文件的备份文件以U盘形式存储。数据电子备份响应文件格式及内容须与政采云平台项目采购-电子交易操作指南中制作、加密并递交的电子响应文件格式及内容一致。数据电子备份响应文件（U盘）须密封、包装，不按此规定密封、包装的数据电子备份响应文件（U盘）均按未提供处理；</w:t>
      </w:r>
    </w:p>
    <w:p>
      <w:pPr>
        <w:autoSpaceDE w:val="0"/>
        <w:autoSpaceDN w:val="0"/>
        <w:spacing w:line="56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11.3</w:t>
      </w:r>
      <w:r>
        <w:rPr>
          <w:rFonts w:hint="eastAsia" w:asciiTheme="minorEastAsia" w:hAnsiTheme="minorEastAsia" w:eastAsiaTheme="minorEastAsia" w:cstheme="minorEastAsia"/>
          <w:kern w:val="0"/>
          <w:sz w:val="24"/>
        </w:rPr>
        <w:t>响应文件需按磋商文件要求的格式填写，未按规定格式填写将有可能视为无效响应文件；</w:t>
      </w:r>
    </w:p>
    <w:p>
      <w:pPr>
        <w:spacing w:line="56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11.4</w:t>
      </w:r>
      <w:r>
        <w:rPr>
          <w:rFonts w:hint="eastAsia" w:asciiTheme="minorEastAsia" w:hAnsiTheme="minorEastAsia" w:eastAsiaTheme="minorEastAsia" w:cstheme="minorEastAsia"/>
          <w:kern w:val="0"/>
          <w:sz w:val="24"/>
        </w:rPr>
        <w:t>除供应商对错处做必要修改外，响应文件不得行间插字、涂改和增删，如有修改错漏处，应由供应商加盖校对章。</w:t>
      </w:r>
    </w:p>
    <w:p>
      <w:pPr>
        <w:pStyle w:val="8"/>
        <w:spacing w:line="560" w:lineRule="exact"/>
        <w:jc w:val="center"/>
        <w:rPr>
          <w:rFonts w:asciiTheme="minorEastAsia" w:hAnsiTheme="minorEastAsia" w:eastAsiaTheme="minorEastAsia" w:cstheme="minorEastAsia"/>
          <w:kern w:val="44"/>
          <w:sz w:val="28"/>
          <w:szCs w:val="28"/>
        </w:rPr>
      </w:pPr>
      <w:bookmarkStart w:id="18" w:name="_Toc6832"/>
      <w:bookmarkStart w:id="19" w:name="_Toc452995898"/>
      <w:r>
        <w:rPr>
          <w:rFonts w:hint="eastAsia" w:asciiTheme="minorEastAsia" w:hAnsiTheme="minorEastAsia" w:eastAsiaTheme="minorEastAsia" w:cstheme="minorEastAsia"/>
          <w:kern w:val="44"/>
          <w:sz w:val="28"/>
          <w:szCs w:val="28"/>
        </w:rPr>
        <w:t>三、响应文件的提交</w:t>
      </w:r>
      <w:bookmarkEnd w:id="18"/>
      <w:bookmarkEnd w:id="19"/>
    </w:p>
    <w:p>
      <w:pPr>
        <w:tabs>
          <w:tab w:val="left" w:pos="720"/>
        </w:tabs>
        <w:spacing w:line="56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bCs/>
          <w:sz w:val="24"/>
        </w:rPr>
        <w:t>.数据电子备份响应文件（U盘）的密封及标记</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12.1供应商在数据电子备份响应文件（U盘）包封上应注明项目名称、项目编号、供应商名称并加盖供应商盖章；</w:t>
      </w:r>
    </w:p>
    <w:p>
      <w:pPr>
        <w:spacing w:line="560" w:lineRule="exact"/>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12.2</w:t>
      </w:r>
      <w:r>
        <w:rPr>
          <w:rFonts w:hint="eastAsia" w:asciiTheme="minorEastAsia" w:hAnsiTheme="minorEastAsia" w:eastAsiaTheme="minorEastAsia" w:cstheme="minorEastAsia"/>
          <w:b/>
          <w:bCs/>
          <w:sz w:val="24"/>
        </w:rPr>
        <w:t>如果数据电子备份响应文件（U盘）未按上述要求密封和加写标记，采购人有权予以拒绝此响应文件，视为未提供，并退回供应商；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12.3如果因密封不严、标记不明而造成过早启封、失密等情况，</w:t>
      </w:r>
      <w:r>
        <w:rPr>
          <w:rFonts w:hint="eastAsia" w:asciiTheme="minorEastAsia" w:hAnsiTheme="minorEastAsia" w:eastAsiaTheme="minorEastAsia" w:cstheme="minorEastAsia"/>
          <w:bCs/>
          <w:sz w:val="24"/>
        </w:rPr>
        <w:t>采购代理机构</w:t>
      </w:r>
      <w:r>
        <w:rPr>
          <w:rFonts w:hint="eastAsia" w:asciiTheme="minorEastAsia" w:hAnsiTheme="minorEastAsia" w:eastAsiaTheme="minorEastAsia" w:cstheme="minorEastAsia"/>
          <w:sz w:val="24"/>
        </w:rPr>
        <w:t>概不负责。</w:t>
      </w:r>
    </w:p>
    <w:p>
      <w:pPr>
        <w:tabs>
          <w:tab w:val="left" w:pos="720"/>
        </w:tabs>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13.响应文件的递交及磋商截止时间：</w:t>
      </w:r>
    </w:p>
    <w:p>
      <w:pPr>
        <w:tabs>
          <w:tab w:val="left" w:pos="7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供应商应当在磋商截止时间前完成电子响应文件的传输递交，磋商截止时间前可以补充、修改或者撤回电子响应文件。补充或者修改电子响应文件的，应当先行撤回原文件，补充、修改后重新传输递交。磋商截止时间止未完成传输的，视为放弃磋商资格，作无效标处理；</w:t>
      </w:r>
    </w:p>
    <w:p>
      <w:pPr>
        <w:tabs>
          <w:tab w:val="left" w:pos="7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原则上邮寄公司统一采用EMS），邮寄地址为：</w:t>
      </w:r>
      <w:r>
        <w:rPr>
          <w:rFonts w:hint="eastAsia" w:asciiTheme="minorEastAsia" w:hAnsiTheme="minorEastAsia" w:eastAsiaTheme="minorEastAsia" w:cstheme="minorEastAsia"/>
          <w:sz w:val="24"/>
          <w:lang w:eastAsia="zh-CN"/>
        </w:rPr>
        <w:t>浙江同欣工程管理有限公司</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湖州市腊山路298号天蓝大厦4楼408室</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lang w:eastAsia="zh-CN"/>
        </w:rPr>
        <w:t>0572-2751688</w:t>
      </w:r>
      <w:r>
        <w:rPr>
          <w:rFonts w:hint="eastAsia" w:asciiTheme="minorEastAsia" w:hAnsiTheme="minorEastAsia" w:eastAsiaTheme="minorEastAsia" w:cstheme="minorEastAsia"/>
          <w:sz w:val="24"/>
        </w:rPr>
        <w:t>。邮寄截止时间：供应商应于2022年</w:t>
      </w:r>
      <w:r>
        <w:rPr>
          <w:rFonts w:hint="eastAsia" w:asciiTheme="minorEastAsia" w:hAnsiTheme="minorEastAsia" w:eastAsiaTheme="minorEastAsia" w:cstheme="minorEastAsia"/>
          <w:color w:val="FF0000"/>
          <w:sz w:val="24"/>
          <w:lang w:val="en-US" w:eastAsia="zh-CN"/>
        </w:rPr>
        <w:t>2</w:t>
      </w:r>
      <w:r>
        <w:rPr>
          <w:rFonts w:hint="eastAsia" w:asciiTheme="minorEastAsia" w:hAnsiTheme="minorEastAsia" w:eastAsiaTheme="minorEastAsia" w:cstheme="minorEastAsia"/>
          <w:color w:val="FF0000"/>
          <w:sz w:val="24"/>
          <w:highlight w:val="yellow"/>
        </w:rPr>
        <w:t>月</w:t>
      </w:r>
      <w:r>
        <w:rPr>
          <w:rFonts w:hint="eastAsia" w:asciiTheme="minorEastAsia" w:hAnsiTheme="minorEastAsia" w:eastAsiaTheme="minorEastAsia" w:cstheme="minorEastAsia"/>
          <w:color w:val="FF0000"/>
          <w:sz w:val="24"/>
          <w:highlight w:val="yellow"/>
          <w:u w:val="single"/>
          <w:lang w:val="en-US" w:eastAsia="zh-CN"/>
        </w:rPr>
        <w:t>27</w:t>
      </w:r>
      <w:bookmarkStart w:id="58" w:name="_GoBack"/>
      <w:bookmarkEnd w:id="58"/>
      <w:r>
        <w:rPr>
          <w:rFonts w:hint="eastAsia" w:asciiTheme="minorEastAsia" w:hAnsiTheme="minorEastAsia" w:eastAsiaTheme="minorEastAsia" w:cstheme="minorEastAsia"/>
          <w:color w:val="FF0000"/>
          <w:sz w:val="24"/>
          <w:highlight w:val="yellow"/>
        </w:rPr>
        <w:t>日</w:t>
      </w:r>
      <w:r>
        <w:rPr>
          <w:rFonts w:hint="eastAsia" w:asciiTheme="minorEastAsia" w:hAnsiTheme="minorEastAsia" w:eastAsiaTheme="minorEastAsia" w:cstheme="minorEastAsia"/>
          <w:sz w:val="24"/>
        </w:rPr>
        <w:t>下午16:00时前准时送达，逾期不予受理。截止开标时间前，采购人由二名人员（一名接收人、一名监督人员）统一负责接收并送至专门的监控室，与磋商资料一并归档。供应商须留足响应文件邮寄时间,确保数据电子备份响应文件（U盘）于规定的时间前送达指定地点，未按时送达的，均按未提供处理；</w:t>
      </w:r>
    </w:p>
    <w:p>
      <w:pPr>
        <w:tabs>
          <w:tab w:val="left" w:pos="720"/>
        </w:tabs>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13.3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tabs>
          <w:tab w:val="left" w:pos="7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13.4采购代理机构可通过修改磋商文件酌情延长递交响应文件的截止时间，在此情况下，供应商的所有权利和义务以及供应商的磋商截止时间均应以延长后新的截止时间为准；</w:t>
      </w:r>
    </w:p>
    <w:p>
      <w:pPr>
        <w:tabs>
          <w:tab w:val="left" w:pos="7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13.5供应商的修改书和撤回通知应在规定的磋商截止日期前按规定的时间及方式（邮箱或传真等）送达；</w:t>
      </w:r>
    </w:p>
    <w:p>
      <w:pPr>
        <w:tabs>
          <w:tab w:val="left" w:pos="720"/>
        </w:tabs>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13.6采购代理机构收到供应商的响应文件或修改撤回通知书后，应当出具签收单（或收回签收单），通过邮箱或传真等方式送达；</w:t>
      </w:r>
    </w:p>
    <w:p>
      <w:pPr>
        <w:tabs>
          <w:tab w:val="left" w:pos="720"/>
        </w:tabs>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13.7因网络或其他非供应商问题造成电子响应文件未成功解密，且供应商提供了数据电子备份响应文件（U盘）的，以数据电子备份响应文件（U盘）作为评审依据，否则视为电子响应文件撤回，作无效标处理。电子响应文件已成功解密的，数据电子备份响应文件（U盘）自动失效，不予启封。</w:t>
      </w:r>
    </w:p>
    <w:p>
      <w:pPr>
        <w:tabs>
          <w:tab w:val="left" w:pos="720"/>
        </w:tabs>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14.迟交的响应文件</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采购人将不接受在规定的磋商截止时间后收到的任何响应文件。</w:t>
      </w:r>
    </w:p>
    <w:p>
      <w:pPr>
        <w:tabs>
          <w:tab w:val="left" w:pos="720"/>
        </w:tabs>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15.响应文件的修改和撤回</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15.1供应商在提交响应文件后，可以修改或撤回其响应文件，但这种修改和撤回通知，必须在规定的磋商截止时间前，以书面形式（包括邮箱或传真等方式）通知采购代理机构；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15.2在磋商截止时间至规定的磋商有效期满之间的这段时间，供应商不得撤回其响应文件。</w:t>
      </w:r>
    </w:p>
    <w:p>
      <w:pPr>
        <w:tabs>
          <w:tab w:val="left" w:pos="720"/>
        </w:tabs>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16.出现以下情形，导致电子交易平台无法正常进行，或者无法保证电子交易的公平、公正和安全时，中止电子交易活动：</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16.1电子交易平台发生故障而无法登录访问的；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16.2电子交易平台应用或数据库出现错误，不能进行正常操作的；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16.3电子交易平台发现严重安全漏洞，有潜在泄密危险的；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16.4病毒发作导致不能进行正常操作的；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16.5其他无法保证电子交易的公平、公正和安全的情况。</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现以上规定情形，不影响采购公平、公正性的，采购代理机构可以待上述情形消除后继续组织电子交易活动，也可以决定某些环节以其他形式【数据备份响应文件（U盘）】进行；影响或可能影响采购公平、公正性的，重新采购。</w:t>
      </w:r>
    </w:p>
    <w:p>
      <w:pPr>
        <w:pStyle w:val="8"/>
        <w:spacing w:line="560" w:lineRule="exact"/>
        <w:jc w:val="center"/>
        <w:rPr>
          <w:rFonts w:asciiTheme="minorEastAsia" w:hAnsiTheme="minorEastAsia" w:eastAsiaTheme="minorEastAsia" w:cstheme="minorEastAsia"/>
          <w:sz w:val="28"/>
          <w:szCs w:val="28"/>
        </w:rPr>
      </w:pPr>
      <w:bookmarkStart w:id="20" w:name="_Toc452995899"/>
      <w:bookmarkStart w:id="21" w:name="_Toc26182"/>
      <w:r>
        <w:rPr>
          <w:rFonts w:hint="eastAsia" w:asciiTheme="minorEastAsia" w:hAnsiTheme="minorEastAsia" w:eastAsiaTheme="minorEastAsia" w:cstheme="minorEastAsia"/>
          <w:kern w:val="44"/>
          <w:sz w:val="28"/>
          <w:szCs w:val="28"/>
        </w:rPr>
        <w:t>四、</w:t>
      </w:r>
      <w:r>
        <w:rPr>
          <w:rFonts w:hint="eastAsia" w:asciiTheme="minorEastAsia" w:hAnsiTheme="minorEastAsia" w:eastAsiaTheme="minorEastAsia" w:cstheme="minorEastAsia"/>
          <w:sz w:val="28"/>
          <w:szCs w:val="28"/>
        </w:rPr>
        <w:t>磋商</w:t>
      </w:r>
      <w:r>
        <w:rPr>
          <w:rFonts w:hint="eastAsia" w:asciiTheme="minorEastAsia" w:hAnsiTheme="minorEastAsia" w:eastAsiaTheme="minorEastAsia" w:cstheme="minorEastAsia"/>
          <w:spacing w:val="14"/>
          <w:sz w:val="28"/>
          <w:szCs w:val="28"/>
        </w:rPr>
        <w:t>规则、</w:t>
      </w:r>
      <w:r>
        <w:rPr>
          <w:rFonts w:hint="eastAsia" w:asciiTheme="minorEastAsia" w:hAnsiTheme="minorEastAsia" w:eastAsiaTheme="minorEastAsia" w:cstheme="minorEastAsia"/>
          <w:sz w:val="28"/>
          <w:szCs w:val="28"/>
        </w:rPr>
        <w:t>程序</w:t>
      </w:r>
      <w:bookmarkEnd w:id="20"/>
      <w:bookmarkEnd w:id="21"/>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17.磋商规则</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17.1采购代理机构将于本须知前附表规定的时间和地点召开磋商会，所有供应商均应准时参加磋商会。参加磋商会的供应商的法定代表人或其授权代理人应出具其有效身份证明、授权委托书，供应商的法定代表人或其授权代理人未参加磋商会或迟到的，事后不得对采购相关人员、开标过程和开标结果提出异议；</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17.2磋商会由采购代理机构主持。</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17.3对供应商的磋商文件出现下列情况之一的，按照无效响应文件处理：</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17.3.1电子响应文件逾期未上传、传输的将拒绝接收；</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17.3.2不具备磋商文件中规定的资格条件要求的；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17.3.3供应商提交两份或两份以上内容不同的响应文件，或在一份响应文件中对同一采购项目有两个或两个以上报价的；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17.3.4响应文件载明的采购项目完成期限超过磋商文件规定的期限，采购人不能接受的；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17.3.5响应文件载明的采购项目磋商有效期、服务期少于磋商文件规定期限的；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17.3.6响应文件未响应磋商文件规定的付款方式的；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17.3.7响应货物或服务的技术规范、技术标准明显不符合国家强制性要求的；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17.3.8响应货物或服务载明的验收标准和方法等不符合国家规定及竞争性磋商文件要求的；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17.3.9响应文件字迹模糊辨认不清的（磋商小组一致认为难以确认）；</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17.3.10未改变磋商文件采购需求的情况下，供应商二次报价高于首次报价或最后报价高于首次报价或二次报价的；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17.3.11提供不真实资料的；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17.3.12不符合法律、法规和磋商文件规定的其他实质性要求（磋商小组一致认定）的；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17.3.13磋商服务的服务指标、参数等存在实质性偏离（磋商小组一致认定）的；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17.3.14二分之一以上的磋商小组认为供应商报价明显高于市场平均价的；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17.3.15未在浙江政府采购网（政采云平台）完成本项目网上报名的；</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17.3.16法律、法规、规章及省级以上规范性文件等规定的其他情形；</w:t>
      </w:r>
    </w:p>
    <w:p>
      <w:pPr>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17.3.17未响应磋商文件中“▲”实质性条款。</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18.磋商小组与磋商原则</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磋商小组由采购代理机构依法组建，负责磋商活动。磋商小组遵循公开、公平、公正、科学合理，竞争择优的原则。</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19.磋商过程的保密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19.1磋商会开始后，直至授予成交供应商合同为止，凡属于对响应文件的审查、澄清、评判和比较的有关资料、成交候选供应商的推荐情况及与磋商有关的其他任何情况均依法严格保密；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19.2在响应文件的评判和比较、成交候选供应商推荐以及授予合同的过程中，供应商向采购人和磋商小组施加影响的任何行为，都将会导致其磋商被拒绝；</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19.3磋商小组通过政采云系统分别与各供应商进行技术、商务、资信及价格磋商，在磋商过程中，磋商小组成员不得透露其他供应商的磋商信息，严守商业秘密；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19.4供应商有下列情形之一的，视为供应商串通磋商，其磋商无效：</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19.4.1不同供应商的响应文件由同一单位或者个人编制；</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19.4.2不同供应商委托同一单位或者个人办理磋商事宜；</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19.4.3不同供应商的响应文件载明的项目管理成员或者联系人员为同一人；</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19.4.4不同供应商的响应文件异常一致或者响应报价呈规律性差异；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19.4.5不同供应商的数据电子备份响应文件（U盘）相互混装。</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19.5供应商有下列情形之一的，属于恶意串通，其磋商无效：</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19.5.1供应商直接或者间接从采购人或者采购代理机构处获得其他供应商的相关情况并修改其响应文件；</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19.5.2供应商按照采购人或者采购代理机构的授意撤换、修改响应文件；</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19.5.3供应商之间协商报价、技术方案等响应文件的实质性内容；</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19.5.4属于同一集团、协会、商会等组织成员的供应商按照该组织要求协同参加政府采购活动；</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19.5.5供应商之间事先约定由某一特定供应商成交；</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19.5.6供应商之间商定部分供应商放弃参加政府采购活动或者放弃成交；</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19.5.7供应商与采购人或者采购代理机构之间、供应商相互之间，为谋求特定供应商成交或者排斥其他供应商的其他串通行为。</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20.响应文件的澄清</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为有助于响应文件的审查、评判和比较，磋商小组可以要求供应商对响应文件含义不明确的内容作必要的澄清或说明，供应商应通过政采云系统采用书面形式进行必要的澄清、说明或承诺。</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pacing w:val="14"/>
          <w:sz w:val="24"/>
        </w:rPr>
        <w:t>磋商程序与方法</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21.1资格性审查</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磋商小组依据法律、法规和磋商文件规定，对响应文件中的资格证明等进行审查，以确定供应商是否具备磋商资格。</w:t>
      </w:r>
      <w:r>
        <w:rPr>
          <w:rFonts w:hint="eastAsia" w:asciiTheme="minorEastAsia" w:hAnsiTheme="minorEastAsia" w:eastAsiaTheme="minorEastAsia" w:cstheme="minorEastAsia"/>
          <w:b/>
          <w:sz w:val="24"/>
          <w:u w:val="single"/>
        </w:rPr>
        <w:t>审查内容详见响应文件组成中资格审查条款</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21.2初步审查</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磋商小组对通过资格性检查的供应商进行</w:t>
      </w:r>
      <w:r>
        <w:rPr>
          <w:rFonts w:hint="eastAsia" w:asciiTheme="minorEastAsia" w:hAnsiTheme="minorEastAsia" w:eastAsiaTheme="minorEastAsia" w:cstheme="minorEastAsia"/>
          <w:bCs/>
          <w:sz w:val="24"/>
        </w:rPr>
        <w:t>符合性</w:t>
      </w:r>
      <w:r>
        <w:rPr>
          <w:rFonts w:hint="eastAsia" w:asciiTheme="minorEastAsia" w:hAnsiTheme="minorEastAsia" w:eastAsiaTheme="minorEastAsia" w:cstheme="minorEastAsia"/>
          <w:sz w:val="24"/>
        </w:rPr>
        <w:t>检查。依据磋商文件的规定，从响应文件的有效性、完整性和对磋商文件的响应程度进行初步审查，以确定是否对磋商文件的实质性要求作出响应。</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通过政采云系统，磋商小组根据磋商文件的内容与各供应商分别进行磋商，各供应商在线答复的同时，须对磋商中所涉及的澄清、修改、承诺等补充资料等在规定的时间内以书面文件形式通过系统提交至磋商小组，其书面文件必须由供应商的法定代表人或其授权代理人签字（或签章），作为响应文件的补充。如该供应商成为成交供应商，则该供应商的响应文件（含所有补充资料）将作为合同的组成部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21.4响应文件计算错误的修正</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21.4.1响应文件中磋商报价一览表内容与响应文件中磋商分项报价表内容不一致的，以磋商报价一览表为准；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21.4.2响应文件的大写金额和小写金额不一致的，以大写金额为准；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21.4.3总</w:t>
      </w:r>
      <w:r>
        <w:rPr>
          <w:rFonts w:hint="eastAsia" w:asciiTheme="minorEastAsia" w:hAnsiTheme="minorEastAsia" w:eastAsiaTheme="minorEastAsia" w:cstheme="minorEastAsia"/>
          <w:spacing w:val="-8"/>
          <w:sz w:val="24"/>
        </w:rPr>
        <w:t>价金额与按单价汇总金额不一致的，以单价金额计算结果为准</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21.4.4单价金额小数点有明显错位的，应以总价为准，并修改单价；</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21.4.5对不同文字文本响应文件的解释发生异议的，以中文文本为准。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21.5技术、商务、资信及其他部分磋商结束后，所有供应商须按磋商小组要求，在规定时间内通过政采云系统进行最后报价，并提交至磋商小组。</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21.6</w:t>
      </w:r>
      <w:r>
        <w:rPr>
          <w:rFonts w:hint="eastAsia" w:asciiTheme="minorEastAsia" w:hAnsiTheme="minorEastAsia" w:eastAsiaTheme="minorEastAsia" w:cstheme="minorEastAsia"/>
          <w:bCs/>
          <w:sz w:val="24"/>
        </w:rPr>
        <w:t>确定成交供应商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21.6.1在全部满足磋商文件实质性要求的前提下，按综合得分高低确定成交供应商。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21.6.2采购代理机构应当在磋商结束后二个工作日内将磋商评审报告送采购人确认。</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21.6.3采购人应当在收到磋商评审报告后五个工作日内，按照磋商评审报告中推荐的排列顺序依法确定成交供应商。</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21.6.4替补候选人的设定与使用：第一成交候选供应商放弃成交或者因不可抗力提出不能履行合同，采购人可以确定第二成交候选供应商为成交供应商或重新组织采购活动，排名第二的成交候选供应商因前款同样的原因不能签订合同，采购人可以确定排名第三的成交候选供应商为成交供应商或重新组织采购活动。</w:t>
      </w:r>
    </w:p>
    <w:p>
      <w:pPr>
        <w:spacing w:line="56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bCs/>
          <w:sz w:val="24"/>
        </w:rPr>
        <w:t>成交公告</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采购代理机构应当在收到采购人书面确定的成交供应商通知后将成交结果在原发布磋商公告的媒体上予以公告。公告期按有关规定执行。</w:t>
      </w:r>
    </w:p>
    <w:p>
      <w:pPr>
        <w:spacing w:line="56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23.成交通知</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23.1</w:t>
      </w:r>
      <w:r>
        <w:rPr>
          <w:rFonts w:hint="eastAsia" w:asciiTheme="minorEastAsia" w:hAnsiTheme="minorEastAsia" w:eastAsiaTheme="minorEastAsia" w:cstheme="minorEastAsia"/>
          <w:bCs/>
          <w:sz w:val="24"/>
        </w:rPr>
        <w:t>在磋商有效期内，</w:t>
      </w:r>
      <w:r>
        <w:rPr>
          <w:rFonts w:hint="eastAsia" w:asciiTheme="minorEastAsia" w:hAnsiTheme="minorEastAsia" w:eastAsiaTheme="minorEastAsia" w:cstheme="minorEastAsia"/>
          <w:sz w:val="24"/>
        </w:rPr>
        <w:t>采购代理机构</w:t>
      </w:r>
      <w:r>
        <w:rPr>
          <w:rFonts w:hint="eastAsia" w:asciiTheme="minorEastAsia" w:hAnsiTheme="minorEastAsia" w:eastAsiaTheme="minorEastAsia" w:cstheme="minorEastAsia"/>
          <w:bCs/>
          <w:sz w:val="24"/>
        </w:rPr>
        <w:t>可以书面形式通知所选定的成交供应商。通知也可以传真、信函的形式，但需要以书面确认，</w:t>
      </w:r>
      <w:r>
        <w:rPr>
          <w:rFonts w:hint="eastAsia" w:asciiTheme="minorEastAsia" w:hAnsiTheme="minorEastAsia" w:eastAsiaTheme="minorEastAsia" w:cstheme="minorEastAsia"/>
          <w:sz w:val="24"/>
        </w:rPr>
        <w:t>领取成交通知书前须完成以下事项：</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23.2成交通知书为双方签订合同的依据；</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23.3成交供应商应根据成交通知书中规定的时间内，由法定代表人或其授权代理人与采购人签订合同。</w:t>
      </w:r>
    </w:p>
    <w:p>
      <w:pPr>
        <w:spacing w:line="56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24.</w:t>
      </w:r>
      <w:r>
        <w:rPr>
          <w:rFonts w:hint="eastAsia" w:asciiTheme="minorEastAsia" w:hAnsiTheme="minorEastAsia" w:eastAsiaTheme="minorEastAsia" w:cstheme="minorEastAsia"/>
          <w:bCs/>
          <w:sz w:val="24"/>
        </w:rPr>
        <w:t>废标</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在磋商中，出现下列情形之一的，应予废标：</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24.1出现影响采购公正的违法、违规行为的；</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24.2因重大变故，采购任务取消的；</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24.3供应商的报价均超采购预算的，采购人不能支付的；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24.4</w:t>
      </w:r>
      <w:r>
        <w:rPr>
          <w:rFonts w:hint="eastAsia" w:asciiTheme="minorEastAsia" w:hAnsiTheme="minorEastAsia" w:eastAsiaTheme="minorEastAsia" w:cstheme="minorEastAsia"/>
          <w:bCs/>
          <w:snapToGrid w:val="0"/>
          <w:sz w:val="24"/>
        </w:rPr>
        <w:t>法律、法规、规章等规定的其他情形除外。</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废标后，采购代理机构将废标理由通知所有供应商。</w:t>
      </w:r>
    </w:p>
    <w:p>
      <w:pPr>
        <w:spacing w:line="560" w:lineRule="exact"/>
        <w:ind w:firstLine="536" w:firstLineChars="200"/>
        <w:rPr>
          <w:rFonts w:asciiTheme="minorEastAsia" w:hAnsiTheme="minorEastAsia" w:eastAsiaTheme="minorEastAsia" w:cstheme="minorEastAsia"/>
          <w:b/>
          <w:bCs/>
          <w:spacing w:val="14"/>
          <w:sz w:val="24"/>
          <w:u w:val="single"/>
        </w:rPr>
      </w:pPr>
      <w:r>
        <w:rPr>
          <w:rFonts w:hint="eastAsia" w:asciiTheme="minorEastAsia" w:hAnsiTheme="minorEastAsia" w:eastAsiaTheme="minorEastAsia" w:cstheme="minorEastAsia"/>
          <w:bCs/>
          <w:spacing w:val="14"/>
          <w:sz w:val="24"/>
        </w:rPr>
        <w:t>本磋商规则及</w:t>
      </w:r>
      <w:r>
        <w:rPr>
          <w:rFonts w:hint="eastAsia" w:asciiTheme="minorEastAsia" w:hAnsiTheme="minorEastAsia" w:eastAsiaTheme="minorEastAsia" w:cstheme="minorEastAsia"/>
          <w:bCs/>
          <w:sz w:val="24"/>
        </w:rPr>
        <w:t>程序</w:t>
      </w:r>
      <w:r>
        <w:rPr>
          <w:rFonts w:hint="eastAsia" w:asciiTheme="minorEastAsia" w:hAnsiTheme="minorEastAsia" w:eastAsiaTheme="minorEastAsia" w:cstheme="minorEastAsia"/>
          <w:bCs/>
          <w:spacing w:val="14"/>
          <w:sz w:val="24"/>
        </w:rPr>
        <w:t>只适用于</w:t>
      </w:r>
      <w:r>
        <w:rPr>
          <w:rFonts w:hint="eastAsia" w:asciiTheme="minorEastAsia" w:hAnsiTheme="minorEastAsia" w:eastAsiaTheme="minorEastAsia" w:cstheme="minorEastAsia"/>
          <w:b/>
          <w:bCs/>
          <w:spacing w:val="14"/>
          <w:sz w:val="24"/>
          <w:u w:val="single"/>
        </w:rPr>
        <w:t>“2022-2023年度环渚街道幸福邻里中心运营社会组织采购项目</w:t>
      </w:r>
      <w:r>
        <w:rPr>
          <w:rFonts w:hint="eastAsia" w:asciiTheme="minorEastAsia" w:hAnsiTheme="minorEastAsia" w:eastAsiaTheme="minorEastAsia" w:cstheme="minorEastAsia"/>
          <w:b/>
          <w:spacing w:val="14"/>
          <w:sz w:val="24"/>
          <w:u w:val="single"/>
        </w:rPr>
        <w:t>”</w:t>
      </w:r>
      <w:r>
        <w:rPr>
          <w:rFonts w:hint="eastAsia" w:asciiTheme="minorEastAsia" w:hAnsiTheme="minorEastAsia" w:eastAsiaTheme="minorEastAsia" w:cstheme="minorEastAsia"/>
          <w:bCs/>
          <w:spacing w:val="14"/>
          <w:sz w:val="24"/>
        </w:rPr>
        <w:t>磋商文件。</w:t>
      </w:r>
    </w:p>
    <w:p>
      <w:pPr>
        <w:pStyle w:val="8"/>
        <w:spacing w:line="560" w:lineRule="exact"/>
        <w:jc w:val="center"/>
        <w:rPr>
          <w:rFonts w:asciiTheme="minorEastAsia" w:hAnsiTheme="minorEastAsia" w:eastAsiaTheme="minorEastAsia" w:cstheme="minorEastAsia"/>
          <w:spacing w:val="14"/>
          <w:sz w:val="28"/>
          <w:szCs w:val="28"/>
        </w:rPr>
      </w:pPr>
      <w:bookmarkStart w:id="22" w:name="_Toc5704"/>
      <w:bookmarkStart w:id="23" w:name="_Toc452995900"/>
      <w:r>
        <w:rPr>
          <w:rFonts w:hint="eastAsia" w:asciiTheme="minorEastAsia" w:hAnsiTheme="minorEastAsia" w:eastAsiaTheme="minorEastAsia" w:cstheme="minorEastAsia"/>
          <w:spacing w:val="14"/>
          <w:sz w:val="28"/>
          <w:szCs w:val="28"/>
        </w:rPr>
        <w:t>五、授予合同</w:t>
      </w:r>
      <w:bookmarkEnd w:id="22"/>
      <w:bookmarkEnd w:id="23"/>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25.授予合同的依据</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sz w:val="24"/>
        </w:rPr>
        <w:t>采购代理机构签发的成交通知书；</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r>
        <w:rPr>
          <w:rFonts w:hint="eastAsia" w:asciiTheme="minorEastAsia" w:hAnsiTheme="minorEastAsia" w:eastAsiaTheme="minorEastAsia" w:cstheme="minorEastAsia"/>
          <w:bCs/>
          <w:sz w:val="24"/>
        </w:rPr>
        <w:t>.2</w:t>
      </w:r>
      <w:r>
        <w:rPr>
          <w:rFonts w:hint="eastAsia" w:asciiTheme="minorEastAsia" w:hAnsiTheme="minorEastAsia" w:eastAsiaTheme="minorEastAsia" w:cstheme="minorEastAsia"/>
          <w:sz w:val="24"/>
        </w:rPr>
        <w:t>磋商文件、磋商文件的修改及补充通知（函）；</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sz w:val="24"/>
        </w:rPr>
        <w:t>响应文件和磋商时供应商作出的书面澄清、说明、纠正、承诺等；</w:t>
      </w:r>
    </w:p>
    <w:p>
      <w:pPr>
        <w:spacing w:line="56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Cs/>
          <w:sz w:val="24"/>
        </w:rPr>
        <w:t>合同签订</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26.1成交供应商与采购人应按成交通知书中规定的时间、地点签订合同，否则应承担相应的法律责任。</w:t>
      </w:r>
    </w:p>
    <w:p>
      <w:pPr>
        <w:spacing w:line="560" w:lineRule="exact"/>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Cs/>
          <w:sz w:val="24"/>
        </w:rPr>
        <w:t>26.2磋商文件、成交供应商的响应文件及磋商过程中有关澄清文件和承诺均为合同附件。</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26.3</w:t>
      </w:r>
      <w:r>
        <w:rPr>
          <w:rFonts w:hint="eastAsia" w:asciiTheme="minorEastAsia" w:hAnsiTheme="minorEastAsia" w:eastAsiaTheme="minorEastAsia" w:cstheme="minorEastAsia"/>
          <w:snapToGrid w:val="0"/>
          <w:sz w:val="24"/>
        </w:rPr>
        <w:t>采购人与成交供应商将根据《中华人民共和国民法典》的规定，依据磋商文件和成交供应商的响应文件签订书面合同。</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26.4采购人如不与</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供应商订立合同，或者采购人、</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供应商订立背离合同实质性内容的协议，由政府有关部门责令改正，同时依法承担相应法律责任；</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26.5</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供应商如不按规定与采购人订立合同，则采购代理机构将废除授标，保证金不予退还，给采购人造成的损失超过响应担保数额的，还应当对超过部分予以赔偿，同时依法承担相应法律责任。</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26.6</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供应商应当按照合同约定履行义务，完成</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项目各项工作，不得将</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项目违法转让（转包）给他人；</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26.7如果</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供应商未能遵守本须知第26.6条的规定，则可取消其</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资格。在此情况下，可将合同授予排序在</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供应商之后的第一位</w:t>
      </w:r>
      <w:r>
        <w:rPr>
          <w:rFonts w:hint="eastAsia" w:asciiTheme="minorEastAsia" w:hAnsiTheme="minorEastAsia" w:eastAsiaTheme="minorEastAsia" w:cstheme="minorEastAsia"/>
          <w:snapToGrid w:val="0"/>
          <w:sz w:val="24"/>
        </w:rPr>
        <w:t>成交</w:t>
      </w:r>
      <w:r>
        <w:rPr>
          <w:rFonts w:hint="eastAsia" w:asciiTheme="minorEastAsia" w:hAnsiTheme="minorEastAsia" w:eastAsiaTheme="minorEastAsia" w:cstheme="minorEastAsia"/>
          <w:sz w:val="24"/>
        </w:rPr>
        <w:t>候选供应商。</w:t>
      </w:r>
    </w:p>
    <w:p>
      <w:pPr>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26.8自合同签订之日起七个工作日内，成交供应商需将合同副本分别送</w:t>
      </w:r>
      <w:r>
        <w:rPr>
          <w:rFonts w:hint="eastAsia" w:asciiTheme="minorEastAsia" w:hAnsiTheme="minorEastAsia" w:eastAsiaTheme="minorEastAsia" w:cstheme="minorEastAsia"/>
          <w:sz w:val="24"/>
        </w:rPr>
        <w:t>湖州市吴兴区财政局</w:t>
      </w:r>
      <w:r>
        <w:rPr>
          <w:rFonts w:hint="eastAsia" w:asciiTheme="minorEastAsia" w:hAnsiTheme="minorEastAsia" w:eastAsiaTheme="minorEastAsia" w:cstheme="minorEastAsia"/>
          <w:bCs/>
          <w:sz w:val="24"/>
        </w:rPr>
        <w:t>和采购代理机构备案。</w:t>
      </w:r>
    </w:p>
    <w:p>
      <w:pPr>
        <w:spacing w:line="560" w:lineRule="exact"/>
        <w:rPr>
          <w:rFonts w:asciiTheme="minorEastAsia" w:hAnsiTheme="minorEastAsia" w:eastAsiaTheme="minorEastAsia" w:cstheme="minorEastAsia"/>
          <w:bCs/>
          <w:sz w:val="24"/>
        </w:rPr>
      </w:pPr>
    </w:p>
    <w:p>
      <w:pPr>
        <w:pStyle w:val="8"/>
        <w:spacing w:line="560" w:lineRule="exact"/>
        <w:jc w:val="center"/>
        <w:rPr>
          <w:rFonts w:asciiTheme="minorEastAsia" w:hAnsiTheme="minorEastAsia" w:eastAsiaTheme="minorEastAsia" w:cstheme="minorEastAsia"/>
          <w:spacing w:val="14"/>
          <w:sz w:val="28"/>
          <w:szCs w:val="28"/>
        </w:rPr>
      </w:pPr>
      <w:bookmarkStart w:id="24" w:name="_Toc17378"/>
      <w:r>
        <w:rPr>
          <w:rFonts w:hint="eastAsia" w:asciiTheme="minorEastAsia" w:hAnsiTheme="minorEastAsia" w:eastAsiaTheme="minorEastAsia" w:cstheme="minorEastAsia"/>
          <w:spacing w:val="14"/>
          <w:sz w:val="28"/>
          <w:szCs w:val="28"/>
        </w:rPr>
        <w:t>六、其他内容</w:t>
      </w:r>
      <w:bookmarkEnd w:id="24"/>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发生下列情况之一，供应商自愿接受取消磋商资格、记入信用档案、媒体通报、1-3年内禁止参与政府采购等处罚；如已成交的，自动放弃成交资格，并承担全部法律责任；给采购人造成损失的，依法承担赔偿责任：</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27.1供应商在提交磋商（响应）文件截止时间后撤回磋商（响应）文件的；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27.2供应商在磋商（响应）文件中提交虚假材料的；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27.3除因不可抗力或磋商文件认可的情形以外，成交供应商不与采购人签订合同的；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27.4供应商与采购人、其他供应商或者采购代理机构恶意串通的；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27.5成交供应商拒绝缴纳磋商代理服务费的；</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27.6磋商文件规定的其他情形。</w:t>
      </w: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p>
    <w:p>
      <w:pPr>
        <w:tabs>
          <w:tab w:val="left" w:pos="8100"/>
        </w:tabs>
        <w:spacing w:line="560" w:lineRule="exact"/>
        <w:jc w:val="center"/>
        <w:outlineLvl w:val="0"/>
        <w:rPr>
          <w:rFonts w:asciiTheme="minorEastAsia" w:hAnsiTheme="minorEastAsia" w:eastAsiaTheme="minorEastAsia" w:cstheme="minorEastAsia"/>
          <w:b/>
          <w:sz w:val="36"/>
          <w:szCs w:val="36"/>
        </w:rPr>
      </w:pPr>
      <w:bookmarkStart w:id="25" w:name="_Toc24670"/>
      <w:r>
        <w:rPr>
          <w:rFonts w:hint="eastAsia" w:asciiTheme="minorEastAsia" w:hAnsiTheme="minorEastAsia" w:eastAsiaTheme="minorEastAsia" w:cstheme="minorEastAsia"/>
          <w:b/>
          <w:sz w:val="36"/>
          <w:szCs w:val="36"/>
        </w:rPr>
        <w:t>第四章 合同主要条款</w:t>
      </w:r>
      <w:bookmarkEnd w:id="25"/>
    </w:p>
    <w:p>
      <w:pPr>
        <w:pStyle w:val="7"/>
        <w:spacing w:line="500" w:lineRule="exact"/>
        <w:jc w:val="center"/>
        <w:rPr>
          <w:rFonts w:asciiTheme="minorEastAsia" w:hAnsiTheme="minorEastAsia" w:eastAsiaTheme="minorEastAsia" w:cstheme="minorEastAsia"/>
          <w:b w:val="0"/>
          <w:bCs w:val="0"/>
          <w:snapToGrid w:val="0"/>
          <w:sz w:val="36"/>
          <w:szCs w:val="36"/>
        </w:rPr>
      </w:pPr>
      <w:bookmarkStart w:id="26" w:name="_Toc16507"/>
      <w:r>
        <w:rPr>
          <w:rFonts w:hint="eastAsia" w:asciiTheme="minorEastAsia" w:hAnsiTheme="minorEastAsia" w:eastAsiaTheme="minorEastAsia" w:cstheme="minorEastAsia"/>
          <w:sz w:val="28"/>
          <w:szCs w:val="28"/>
        </w:rPr>
        <w:t>（仅供参考，以正式合同为准）</w:t>
      </w:r>
      <w:bookmarkEnd w:id="26"/>
    </w:p>
    <w:p>
      <w:pPr>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 xml:space="preserve">财政审批编号: </w:t>
      </w:r>
      <w:r>
        <w:rPr>
          <w:rFonts w:hint="eastAsia" w:asciiTheme="minorEastAsia" w:hAnsiTheme="minorEastAsia" w:eastAsiaTheme="minorEastAsia" w:cstheme="minorEastAsia"/>
          <w:sz w:val="24"/>
          <w:lang w:eastAsia="zh-CN"/>
        </w:rPr>
        <w:t>临[2022]483号</w:t>
      </w:r>
      <w:r>
        <w:rPr>
          <w:rFonts w:hint="eastAsia" w:asciiTheme="minorEastAsia" w:hAnsiTheme="minorEastAsia" w:eastAsiaTheme="minorEastAsia" w:cstheme="minorEastAsia"/>
          <w:sz w:val="24"/>
        </w:rPr>
        <w:t xml:space="preserve">    采购文件编号:</w:t>
      </w:r>
      <w:r>
        <w:rPr>
          <w:rFonts w:hint="eastAsia" w:asciiTheme="minorEastAsia" w:hAnsiTheme="minorEastAsia" w:eastAsiaTheme="minorEastAsia" w:cstheme="minorEastAsia"/>
          <w:sz w:val="24"/>
          <w:lang w:eastAsia="zh-CN"/>
        </w:rPr>
        <w:t>同欣采字[2022]-002号</w:t>
      </w:r>
    </w:p>
    <w:p>
      <w:pPr>
        <w:spacing w:line="460" w:lineRule="exact"/>
        <w:rPr>
          <w:rFonts w:ascii="宋体" w:hAnsi="宋体"/>
          <w:b/>
          <w:bCs/>
          <w:sz w:val="24"/>
        </w:rPr>
      </w:pPr>
      <w:r>
        <w:rPr>
          <w:rFonts w:hint="eastAsia" w:ascii="宋体" w:hAnsi="宋体"/>
          <w:b/>
          <w:bCs/>
          <w:sz w:val="24"/>
        </w:rPr>
        <w:t>项目名称：2022-2023年度环渚街道幸福邻里中心运营社会组织采购项目</w:t>
      </w:r>
    </w:p>
    <w:p>
      <w:pPr>
        <w:spacing w:line="460" w:lineRule="exact"/>
        <w:rPr>
          <w:rFonts w:ascii="宋体" w:hAnsi="宋体"/>
          <w:b/>
          <w:bCs/>
          <w:sz w:val="24"/>
        </w:rPr>
      </w:pPr>
      <w:r>
        <w:rPr>
          <w:rFonts w:hint="eastAsia" w:ascii="宋体" w:hAnsi="宋体"/>
          <w:b/>
          <w:bCs/>
          <w:sz w:val="24"/>
        </w:rPr>
        <w:t>甲方：（买方）</w:t>
      </w:r>
    </w:p>
    <w:p>
      <w:pPr>
        <w:spacing w:line="460" w:lineRule="exact"/>
        <w:rPr>
          <w:rFonts w:ascii="宋体" w:hAnsi="宋体"/>
          <w:b/>
          <w:bCs/>
          <w:sz w:val="24"/>
        </w:rPr>
      </w:pPr>
      <w:r>
        <w:rPr>
          <w:rFonts w:hint="eastAsia" w:ascii="宋体" w:hAnsi="宋体"/>
          <w:b/>
          <w:bCs/>
          <w:sz w:val="24"/>
        </w:rPr>
        <w:t>乙方：（卖方）</w:t>
      </w:r>
    </w:p>
    <w:p>
      <w:pPr>
        <w:spacing w:line="460" w:lineRule="exact"/>
        <w:ind w:firstLine="420"/>
        <w:rPr>
          <w:rFonts w:ascii="宋体" w:hAnsi="宋体"/>
          <w:b/>
          <w:bCs/>
          <w:sz w:val="24"/>
        </w:rPr>
      </w:pPr>
      <w:r>
        <w:rPr>
          <w:rFonts w:hint="eastAsia" w:ascii="宋体" w:hAnsi="宋体"/>
          <w:b/>
          <w:bCs/>
          <w:sz w:val="24"/>
        </w:rPr>
        <w:t>甲、乙双方根据</w:t>
      </w:r>
      <w:r>
        <w:rPr>
          <w:rFonts w:hint="eastAsia" w:ascii="宋体" w:hAnsi="宋体"/>
          <w:b/>
          <w:bCs/>
          <w:sz w:val="24"/>
          <w:u w:val="single"/>
        </w:rPr>
        <w:t>2022-2023年度环渚街道幸福邻里中心运营社会组织采购项目</w:t>
      </w:r>
      <w:r>
        <w:rPr>
          <w:rFonts w:hint="eastAsia" w:ascii="宋体" w:hAnsi="宋体"/>
          <w:b/>
          <w:bCs/>
          <w:sz w:val="24"/>
        </w:rPr>
        <w:t>的结果，签署本合同。</w:t>
      </w:r>
    </w:p>
    <w:p>
      <w:pPr>
        <w:spacing w:line="460" w:lineRule="exact"/>
        <w:ind w:firstLine="420"/>
        <w:rPr>
          <w:rFonts w:ascii="宋体" w:hAnsi="宋体"/>
          <w:b/>
          <w:bCs/>
          <w:sz w:val="24"/>
        </w:rPr>
      </w:pPr>
      <w:r>
        <w:rPr>
          <w:rFonts w:hint="eastAsia" w:ascii="宋体" w:hAnsi="宋体"/>
          <w:b/>
          <w:bCs/>
          <w:sz w:val="24"/>
        </w:rPr>
        <w:t>合同金额：本合同金额为（大写）：___________元（￥______元）人民币。</w:t>
      </w:r>
    </w:p>
    <w:p>
      <w:pPr>
        <w:spacing w:line="460" w:lineRule="exact"/>
        <w:outlineLvl w:val="1"/>
        <w:rPr>
          <w:rFonts w:ascii="宋体" w:hAnsi="宋体"/>
          <w:b/>
          <w:bCs/>
          <w:sz w:val="24"/>
        </w:rPr>
      </w:pPr>
      <w:bookmarkStart w:id="27" w:name="_Toc20261"/>
      <w:r>
        <w:rPr>
          <w:rFonts w:hint="eastAsia" w:ascii="宋体" w:hAnsi="宋体"/>
          <w:b/>
          <w:bCs/>
          <w:sz w:val="24"/>
        </w:rPr>
        <w:t>1.定义</w:t>
      </w:r>
      <w:bookmarkEnd w:id="27"/>
    </w:p>
    <w:p>
      <w:pPr>
        <w:spacing w:line="460" w:lineRule="exact"/>
        <w:ind w:firstLine="480" w:firstLineChars="200"/>
        <w:rPr>
          <w:rFonts w:ascii="宋体" w:hAnsi="宋体"/>
          <w:sz w:val="24"/>
        </w:rPr>
      </w:pPr>
      <w:r>
        <w:rPr>
          <w:rFonts w:hint="eastAsia" w:ascii="宋体" w:hAnsi="宋体"/>
          <w:sz w:val="24"/>
        </w:rPr>
        <w:t>本合同中的下列术语应解释为：</w:t>
      </w:r>
    </w:p>
    <w:p>
      <w:pPr>
        <w:spacing w:line="460" w:lineRule="exact"/>
        <w:ind w:firstLine="480" w:firstLineChars="200"/>
        <w:rPr>
          <w:rFonts w:ascii="宋体" w:hAnsi="宋体"/>
          <w:sz w:val="24"/>
        </w:rPr>
      </w:pPr>
      <w:r>
        <w:rPr>
          <w:rFonts w:hint="eastAsia" w:ascii="宋体" w:hAnsi="宋体"/>
          <w:sz w:val="24"/>
        </w:rPr>
        <w:t>1.1“合同”系指供需双方签署的、合同格式中载明的供需双方所达成的协议，包括所有的附件、附录和构成合同的所有文件；</w:t>
      </w:r>
    </w:p>
    <w:p>
      <w:pPr>
        <w:spacing w:line="460" w:lineRule="exact"/>
        <w:ind w:firstLine="480" w:firstLineChars="200"/>
        <w:rPr>
          <w:rFonts w:ascii="宋体" w:hAnsi="宋体"/>
          <w:sz w:val="24"/>
        </w:rPr>
      </w:pPr>
      <w:r>
        <w:rPr>
          <w:rFonts w:hint="eastAsia" w:ascii="宋体" w:hAnsi="宋体"/>
          <w:sz w:val="24"/>
        </w:rPr>
        <w:t>1.2“合同价”系指根据合同规定，采购人在供应商完全履行合同义务后应付给的价格；</w:t>
      </w:r>
    </w:p>
    <w:p>
      <w:pPr>
        <w:spacing w:line="460" w:lineRule="exact"/>
        <w:ind w:firstLine="480" w:firstLineChars="200"/>
        <w:rPr>
          <w:rFonts w:ascii="宋体" w:hAnsi="宋体"/>
          <w:sz w:val="24"/>
        </w:rPr>
      </w:pPr>
      <w:r>
        <w:rPr>
          <w:rFonts w:hint="eastAsia" w:ascii="宋体" w:hAnsi="宋体"/>
          <w:sz w:val="24"/>
        </w:rPr>
        <w:t>1.3“货物”系指供应商根据合同规定向采购人提供的一切货物、质量保证书和其他技术资料及技术参数；</w:t>
      </w:r>
    </w:p>
    <w:p>
      <w:pPr>
        <w:spacing w:line="460" w:lineRule="exact"/>
        <w:ind w:firstLine="480" w:firstLineChars="200"/>
        <w:rPr>
          <w:rFonts w:ascii="宋体" w:hAnsi="宋体"/>
          <w:sz w:val="24"/>
        </w:rPr>
      </w:pPr>
      <w:r>
        <w:rPr>
          <w:rFonts w:hint="eastAsia" w:ascii="宋体" w:hAnsi="宋体"/>
          <w:sz w:val="24"/>
        </w:rPr>
        <w:t>1.4“服务”系指根据合同规定供应商承担与供货有关的辅助服务，如运输、装卸、安装、保险以及其他的服务，例如安装、调试提供技术援助、培训和其他类似的义务；</w:t>
      </w:r>
    </w:p>
    <w:p>
      <w:pPr>
        <w:spacing w:line="460" w:lineRule="exact"/>
        <w:ind w:firstLine="480" w:firstLineChars="200"/>
        <w:rPr>
          <w:rFonts w:ascii="宋体" w:hAnsi="宋体"/>
          <w:sz w:val="24"/>
        </w:rPr>
      </w:pPr>
      <w:r>
        <w:rPr>
          <w:rFonts w:hint="eastAsia" w:ascii="宋体" w:hAnsi="宋体"/>
          <w:sz w:val="24"/>
        </w:rPr>
        <w:t>1.5“采购人”系指</w:t>
      </w:r>
      <w:r>
        <w:rPr>
          <w:rFonts w:hint="eastAsia" w:ascii="宋体" w:hAnsi="宋体"/>
          <w:bCs/>
          <w:sz w:val="24"/>
        </w:rPr>
        <w:t>具体使用货物和接受服务的使用单位；</w:t>
      </w:r>
    </w:p>
    <w:p>
      <w:pPr>
        <w:spacing w:line="460" w:lineRule="exact"/>
        <w:ind w:firstLine="480" w:firstLineChars="200"/>
        <w:rPr>
          <w:rFonts w:ascii="宋体" w:hAnsi="宋体"/>
          <w:sz w:val="24"/>
        </w:rPr>
      </w:pPr>
      <w:r>
        <w:rPr>
          <w:rFonts w:hint="eastAsia" w:ascii="宋体" w:hAnsi="宋体"/>
          <w:sz w:val="24"/>
        </w:rPr>
        <w:t>1.6“供应商”系指根据合同规定提供采购项目货物和服务的具有法人资格的公司、企业或实体；</w:t>
      </w:r>
    </w:p>
    <w:p>
      <w:pPr>
        <w:spacing w:line="460" w:lineRule="exact"/>
        <w:ind w:firstLine="480" w:firstLineChars="200"/>
        <w:rPr>
          <w:rFonts w:ascii="宋体" w:hAnsi="宋体"/>
          <w:sz w:val="24"/>
        </w:rPr>
      </w:pPr>
      <w:r>
        <w:rPr>
          <w:rFonts w:hint="eastAsia" w:ascii="宋体" w:hAnsi="宋体"/>
          <w:sz w:val="24"/>
        </w:rPr>
        <w:t>1.7“财政审批编号”系指市财政局审批编号。</w:t>
      </w:r>
    </w:p>
    <w:p>
      <w:pPr>
        <w:spacing w:line="460" w:lineRule="exact"/>
        <w:outlineLvl w:val="1"/>
        <w:rPr>
          <w:rFonts w:ascii="宋体" w:hAnsi="宋体"/>
          <w:b/>
          <w:bCs/>
          <w:sz w:val="24"/>
        </w:rPr>
      </w:pPr>
      <w:bookmarkStart w:id="28" w:name="_Toc26392"/>
      <w:r>
        <w:rPr>
          <w:rFonts w:hint="eastAsia" w:ascii="宋体" w:hAnsi="宋体"/>
          <w:b/>
          <w:bCs/>
          <w:sz w:val="24"/>
        </w:rPr>
        <w:t>2.合同项目与内容</w:t>
      </w:r>
      <w:bookmarkEnd w:id="28"/>
    </w:p>
    <w:p>
      <w:pPr>
        <w:spacing w:line="460" w:lineRule="exact"/>
        <w:rPr>
          <w:rFonts w:ascii="宋体" w:hAnsi="宋体"/>
          <w:sz w:val="24"/>
        </w:rPr>
      </w:pPr>
      <w:r>
        <w:rPr>
          <w:rFonts w:hint="eastAsia" w:ascii="宋体" w:hAnsi="宋体"/>
          <w:sz w:val="24"/>
        </w:rPr>
        <w:t xml:space="preserve">     </w:t>
      </w:r>
      <w:r>
        <w:rPr>
          <w:rFonts w:hint="eastAsia" w:ascii="宋体" w:hAnsi="宋体"/>
          <w:b/>
          <w:bCs/>
          <w:sz w:val="24"/>
        </w:rPr>
        <w:t>环渚街道幸福邻里中心运行管理</w:t>
      </w:r>
    </w:p>
    <w:p>
      <w:pPr>
        <w:spacing w:line="460" w:lineRule="exact"/>
        <w:outlineLvl w:val="1"/>
        <w:rPr>
          <w:rFonts w:ascii="宋体" w:hAnsi="宋体"/>
          <w:b/>
          <w:bCs/>
          <w:sz w:val="24"/>
        </w:rPr>
      </w:pPr>
      <w:bookmarkStart w:id="29" w:name="_Toc8347"/>
      <w:r>
        <w:rPr>
          <w:rFonts w:hint="eastAsia" w:ascii="宋体" w:hAnsi="宋体"/>
          <w:b/>
          <w:bCs/>
          <w:sz w:val="24"/>
        </w:rPr>
        <w:t>3.服务时间与服务地点</w:t>
      </w:r>
      <w:bookmarkEnd w:id="29"/>
    </w:p>
    <w:p>
      <w:pPr>
        <w:spacing w:line="460" w:lineRule="exact"/>
        <w:ind w:firstLine="480" w:firstLineChars="200"/>
        <w:rPr>
          <w:rFonts w:ascii="宋体" w:hAnsi="宋体"/>
          <w:sz w:val="24"/>
        </w:rPr>
      </w:pPr>
      <w:r>
        <w:rPr>
          <w:rFonts w:hint="eastAsia" w:ascii="宋体" w:hAnsi="宋体"/>
          <w:sz w:val="24"/>
        </w:rPr>
        <w:t>服务时间：</w:t>
      </w:r>
      <w:r>
        <w:rPr>
          <w:rFonts w:hint="eastAsia" w:ascii="宋体" w:hAnsi="宋体"/>
          <w:b/>
          <w:bCs/>
          <w:sz w:val="24"/>
          <w:u w:val="single"/>
        </w:rPr>
        <w:t>两年</w:t>
      </w:r>
    </w:p>
    <w:p>
      <w:pPr>
        <w:spacing w:line="460" w:lineRule="exact"/>
        <w:ind w:firstLine="480" w:firstLineChars="200"/>
        <w:rPr>
          <w:rFonts w:ascii="宋体" w:hAnsi="宋体"/>
          <w:sz w:val="24"/>
        </w:rPr>
      </w:pPr>
      <w:r>
        <w:rPr>
          <w:rFonts w:hint="eastAsia" w:ascii="宋体" w:hAnsi="宋体"/>
          <w:sz w:val="24"/>
        </w:rPr>
        <w:t>服务地点：</w:t>
      </w:r>
      <w:r>
        <w:rPr>
          <w:rFonts w:hint="eastAsia" w:ascii="宋体" w:hAnsi="宋体"/>
          <w:b/>
          <w:bCs/>
          <w:sz w:val="24"/>
          <w:u w:val="single"/>
        </w:rPr>
        <w:t>环渚街道幸福邻里中心</w:t>
      </w:r>
    </w:p>
    <w:p>
      <w:pPr>
        <w:spacing w:line="460" w:lineRule="exact"/>
        <w:outlineLvl w:val="1"/>
        <w:rPr>
          <w:rFonts w:ascii="宋体" w:hAnsi="宋体"/>
          <w:b/>
          <w:bCs/>
          <w:sz w:val="24"/>
        </w:rPr>
      </w:pPr>
      <w:bookmarkStart w:id="30" w:name="_Toc18542"/>
      <w:r>
        <w:rPr>
          <w:rFonts w:hint="eastAsia" w:ascii="宋体" w:hAnsi="宋体"/>
          <w:b/>
          <w:bCs/>
          <w:sz w:val="24"/>
        </w:rPr>
        <w:t>4.签署合同的要求</w:t>
      </w:r>
      <w:bookmarkEnd w:id="30"/>
    </w:p>
    <w:p>
      <w:pPr>
        <w:spacing w:line="460" w:lineRule="exact"/>
        <w:ind w:firstLine="480" w:firstLineChars="200"/>
        <w:rPr>
          <w:rFonts w:ascii="宋体" w:hAnsi="宋体"/>
          <w:bCs/>
          <w:sz w:val="24"/>
        </w:rPr>
      </w:pPr>
      <w:r>
        <w:rPr>
          <w:rFonts w:hint="eastAsia" w:ascii="宋体" w:hAnsi="宋体"/>
          <w:bCs/>
          <w:sz w:val="24"/>
        </w:rPr>
        <w:t>4.1、供应商必须按照投标文件和询标过程中承诺的条款以及中标通知书中规定的时间、地点与采购人签订合同；</w:t>
      </w:r>
    </w:p>
    <w:p>
      <w:pPr>
        <w:spacing w:line="460" w:lineRule="exact"/>
        <w:ind w:firstLine="480" w:firstLineChars="200"/>
        <w:rPr>
          <w:rFonts w:ascii="宋体" w:hAnsi="宋体"/>
          <w:bCs/>
          <w:sz w:val="24"/>
        </w:rPr>
      </w:pPr>
      <w:r>
        <w:rPr>
          <w:rFonts w:hint="eastAsia" w:ascii="宋体" w:hAnsi="宋体"/>
          <w:bCs/>
          <w:sz w:val="24"/>
        </w:rPr>
        <w:t>4.</w:t>
      </w:r>
      <w:r>
        <w:rPr>
          <w:rFonts w:ascii="宋体" w:hAnsi="宋体"/>
          <w:bCs/>
          <w:sz w:val="24"/>
        </w:rPr>
        <w:t>2</w:t>
      </w:r>
      <w:r>
        <w:rPr>
          <w:rFonts w:hint="eastAsia" w:ascii="宋体" w:hAnsi="宋体"/>
          <w:bCs/>
          <w:sz w:val="24"/>
        </w:rPr>
        <w:t>、所签订的合同内容不得对招标文件和供应商的投标文件作实质性修改；</w:t>
      </w:r>
    </w:p>
    <w:p>
      <w:pPr>
        <w:spacing w:line="460" w:lineRule="exact"/>
        <w:ind w:firstLine="480" w:firstLineChars="200"/>
        <w:rPr>
          <w:rFonts w:ascii="宋体" w:hAnsi="宋体"/>
          <w:bCs/>
          <w:sz w:val="24"/>
        </w:rPr>
      </w:pPr>
      <w:r>
        <w:rPr>
          <w:rFonts w:hint="eastAsia" w:ascii="宋体" w:hAnsi="宋体"/>
          <w:bCs/>
          <w:sz w:val="24"/>
        </w:rPr>
        <w:t>4.</w:t>
      </w:r>
      <w:r>
        <w:rPr>
          <w:rFonts w:ascii="宋体" w:hAnsi="宋体"/>
          <w:bCs/>
          <w:sz w:val="24"/>
        </w:rPr>
        <w:t>3</w:t>
      </w:r>
      <w:r>
        <w:rPr>
          <w:rFonts w:hint="eastAsia" w:ascii="宋体" w:hAnsi="宋体"/>
          <w:bCs/>
          <w:sz w:val="24"/>
        </w:rPr>
        <w:t>、采购人不得向供应商提出任何不合理的要求，作为签订合同的条件，不得与供应商私下订立背离合同实质性内容的协议；</w:t>
      </w:r>
    </w:p>
    <w:p>
      <w:pPr>
        <w:spacing w:line="460" w:lineRule="exact"/>
        <w:ind w:firstLine="480" w:firstLineChars="200"/>
        <w:rPr>
          <w:rFonts w:ascii="宋体" w:hAnsi="宋体"/>
          <w:bCs/>
          <w:sz w:val="24"/>
        </w:rPr>
      </w:pPr>
      <w:r>
        <w:rPr>
          <w:rFonts w:hint="eastAsia" w:ascii="宋体" w:hAnsi="宋体"/>
          <w:bCs/>
          <w:sz w:val="24"/>
        </w:rPr>
        <w:t>4.</w:t>
      </w:r>
      <w:r>
        <w:rPr>
          <w:rFonts w:ascii="宋体" w:hAnsi="宋体"/>
          <w:bCs/>
          <w:sz w:val="24"/>
        </w:rPr>
        <w:t>4</w:t>
      </w:r>
      <w:r>
        <w:rPr>
          <w:rFonts w:hint="eastAsia" w:ascii="宋体" w:hAnsi="宋体"/>
          <w:bCs/>
          <w:sz w:val="24"/>
        </w:rPr>
        <w:t>、自采购合同签订之日起7个工作日内，将采购合同副本1份送本项目招标代理机构备案。</w:t>
      </w:r>
    </w:p>
    <w:p>
      <w:pPr>
        <w:spacing w:line="460" w:lineRule="exact"/>
        <w:outlineLvl w:val="1"/>
        <w:rPr>
          <w:rFonts w:ascii="宋体" w:hAnsi="宋体"/>
          <w:b/>
          <w:bCs/>
          <w:sz w:val="24"/>
        </w:rPr>
      </w:pPr>
      <w:bookmarkStart w:id="31" w:name="_Toc2700"/>
      <w:r>
        <w:rPr>
          <w:rFonts w:hint="eastAsia" w:ascii="宋体" w:hAnsi="宋体"/>
          <w:b/>
          <w:bCs/>
          <w:sz w:val="24"/>
        </w:rPr>
        <w:t>5.技术规范</w:t>
      </w:r>
      <w:bookmarkEnd w:id="31"/>
    </w:p>
    <w:p>
      <w:pPr>
        <w:spacing w:line="460" w:lineRule="exact"/>
        <w:ind w:firstLine="480" w:firstLineChars="200"/>
        <w:rPr>
          <w:rFonts w:ascii="宋体" w:hAnsi="宋体"/>
          <w:sz w:val="24"/>
        </w:rPr>
      </w:pPr>
      <w:r>
        <w:rPr>
          <w:rFonts w:hint="eastAsia" w:ascii="宋体" w:hAnsi="宋体"/>
          <w:sz w:val="24"/>
        </w:rPr>
        <w:t>本合同执行国家及本省、市现行项目实施及验收规范及有关条例、实施办法等。</w:t>
      </w:r>
    </w:p>
    <w:p>
      <w:pPr>
        <w:spacing w:line="460" w:lineRule="exact"/>
        <w:ind w:firstLine="480" w:firstLineChars="200"/>
        <w:rPr>
          <w:rFonts w:ascii="宋体" w:hAnsi="宋体"/>
          <w:sz w:val="24"/>
        </w:rPr>
      </w:pPr>
      <w:r>
        <w:rPr>
          <w:rFonts w:hint="eastAsia" w:ascii="宋体" w:hAnsi="宋体"/>
          <w:sz w:val="24"/>
        </w:rPr>
        <w:t>提供和交付的服务技术规范应与招标文件规定的技术规范相一致。</w:t>
      </w:r>
    </w:p>
    <w:p>
      <w:pPr>
        <w:spacing w:line="460" w:lineRule="exact"/>
        <w:outlineLvl w:val="1"/>
        <w:rPr>
          <w:rFonts w:ascii="宋体" w:hAnsi="宋体"/>
          <w:b/>
          <w:bCs/>
          <w:sz w:val="24"/>
        </w:rPr>
      </w:pPr>
      <w:bookmarkStart w:id="32" w:name="_Toc13150"/>
      <w:r>
        <w:rPr>
          <w:rFonts w:hint="eastAsia" w:ascii="宋体" w:hAnsi="宋体"/>
          <w:b/>
          <w:bCs/>
          <w:sz w:val="24"/>
        </w:rPr>
        <w:t>6.知识产权</w:t>
      </w:r>
      <w:bookmarkEnd w:id="32"/>
    </w:p>
    <w:p>
      <w:pPr>
        <w:spacing w:line="460" w:lineRule="exact"/>
        <w:ind w:firstLine="480" w:firstLineChars="200"/>
        <w:rPr>
          <w:rFonts w:ascii="宋体" w:hAnsi="宋体"/>
          <w:sz w:val="24"/>
        </w:rPr>
      </w:pPr>
      <w:r>
        <w:rPr>
          <w:rFonts w:hint="eastAsia" w:ascii="宋体" w:hAnsi="宋体"/>
          <w:sz w:val="24"/>
        </w:rPr>
        <w:t>供应商保证所提供的服务及货物均不存在知识产权纠纷。供应商应保证采购人在使用时不受第三方提出侵犯其专利权、商标权等知识产权的诉讼。</w:t>
      </w:r>
    </w:p>
    <w:p>
      <w:pPr>
        <w:spacing w:line="460" w:lineRule="exact"/>
        <w:outlineLvl w:val="1"/>
        <w:rPr>
          <w:rFonts w:ascii="宋体" w:hAnsi="宋体"/>
          <w:b/>
          <w:bCs/>
          <w:color w:val="000000"/>
          <w:sz w:val="24"/>
        </w:rPr>
      </w:pPr>
      <w:bookmarkStart w:id="33" w:name="_Toc22417"/>
      <w:r>
        <w:rPr>
          <w:rFonts w:hint="eastAsia" w:ascii="宋体" w:hAnsi="宋体"/>
          <w:b/>
          <w:bCs/>
          <w:color w:val="000000"/>
          <w:sz w:val="24"/>
        </w:rPr>
        <w:t>7.</w:t>
      </w:r>
      <w:r>
        <w:rPr>
          <w:rFonts w:hint="eastAsia" w:ascii="宋体" w:hAnsi="宋体"/>
          <w:color w:val="000000"/>
          <w:sz w:val="24"/>
        </w:rPr>
        <w:t xml:space="preserve"> </w:t>
      </w:r>
      <w:r>
        <w:rPr>
          <w:rFonts w:hint="eastAsia" w:ascii="宋体" w:hAnsi="宋体"/>
          <w:b/>
          <w:bCs/>
          <w:color w:val="000000"/>
          <w:sz w:val="24"/>
        </w:rPr>
        <w:t>工作考核及付款方式</w:t>
      </w:r>
      <w:bookmarkEnd w:id="33"/>
    </w:p>
    <w:p>
      <w:pPr>
        <w:pStyle w:val="36"/>
        <w:spacing w:line="460" w:lineRule="atLeast"/>
        <w:ind w:firstLine="495" w:firstLineChars="0"/>
        <w:contextualSpacing/>
        <w:rPr>
          <w:rFonts w:cs="宋体"/>
          <w:bCs/>
        </w:rPr>
      </w:pPr>
      <w:r>
        <w:rPr>
          <w:rFonts w:hint="eastAsia" w:cs="宋体"/>
          <w:bCs/>
        </w:rPr>
        <w:t>根据《保障中小企业款项支付条例》、省财政厅《关于坚决打赢疫情防控阻击战进一步做好政府采购资金支持企业发展工作的通知》（浙财采监【2020】3号）要求，制定如下付款方式：</w:t>
      </w:r>
    </w:p>
    <w:p>
      <w:pPr>
        <w:pStyle w:val="36"/>
        <w:spacing w:line="460" w:lineRule="atLeast"/>
        <w:ind w:firstLine="495" w:firstLineChars="0"/>
        <w:contextualSpacing/>
        <w:rPr>
          <w:rFonts w:cs="宋体"/>
          <w:bCs/>
        </w:rPr>
      </w:pPr>
      <w:r>
        <w:rPr>
          <w:rFonts w:hint="eastAsia" w:cs="宋体"/>
          <w:bCs/>
        </w:rPr>
        <w:t>幸福邻里中心、儿童之家、社会工作站、残疾人之家一年运行经费：合同生效以及上级资金拨款到位后30日内支付中标金额的40%，中期评估合格后再支付中标金额的30%，中标金额的30%作为期末评估考核资金，按实际期末考核评估结果进行最终尾款的结算。（第二年结算参照第一年标准）</w:t>
      </w:r>
    </w:p>
    <w:p>
      <w:pPr>
        <w:pStyle w:val="36"/>
        <w:spacing w:line="460" w:lineRule="atLeast"/>
        <w:ind w:firstLine="495" w:firstLineChars="0"/>
        <w:contextualSpacing/>
        <w:rPr>
          <w:rFonts w:cs="宋体"/>
          <w:bCs/>
        </w:rPr>
      </w:pPr>
      <w:r>
        <w:rPr>
          <w:rFonts w:hint="eastAsia" w:cs="宋体"/>
          <w:bCs/>
        </w:rPr>
        <w:t>在签订合同时，供应商明确表示无需预付款或者主动要求降低预付款比例的，采购单位可不适用前述规定。</w:t>
      </w:r>
    </w:p>
    <w:p>
      <w:pPr>
        <w:snapToGrid w:val="0"/>
        <w:spacing w:line="460" w:lineRule="exact"/>
        <w:ind w:firstLine="480" w:firstLineChars="200"/>
        <w:rPr>
          <w:rFonts w:ascii="宋体" w:hAnsi="宋体" w:cs="宋体"/>
          <w:b/>
          <w:bCs/>
          <w:kern w:val="0"/>
          <w:sz w:val="24"/>
          <w:szCs w:val="20"/>
        </w:rPr>
      </w:pPr>
      <w:r>
        <w:rPr>
          <w:rFonts w:hint="eastAsia" w:ascii="宋体" w:hAnsi="宋体"/>
          <w:sz w:val="24"/>
        </w:rPr>
        <w:t>具体</w:t>
      </w:r>
      <w:r>
        <w:rPr>
          <w:rFonts w:hint="eastAsia" w:hAnsi="宋体"/>
          <w:sz w:val="24"/>
        </w:rPr>
        <w:t>以评估结果设置支付方式和金额。</w:t>
      </w:r>
    </w:p>
    <w:p>
      <w:pPr>
        <w:spacing w:line="460" w:lineRule="exact"/>
        <w:ind w:left="105" w:leftChars="50" w:firstLine="480" w:firstLineChars="200"/>
        <w:rPr>
          <w:rFonts w:ascii="宋体" w:hAnsi="宋体"/>
          <w:sz w:val="24"/>
        </w:rPr>
      </w:pPr>
      <w:r>
        <w:rPr>
          <w:rFonts w:hint="eastAsia" w:ascii="宋体" w:hAnsi="宋体" w:cs="宋体"/>
          <w:sz w:val="24"/>
        </w:rPr>
        <w:t>备注：</w:t>
      </w:r>
      <w:r>
        <w:rPr>
          <w:rFonts w:hint="eastAsia" w:ascii="宋体" w:hAnsi="宋体" w:cs="宋体"/>
          <w:bCs/>
          <w:kern w:val="0"/>
          <w:sz w:val="24"/>
        </w:rPr>
        <w:t>总分100分，90分（含90分）以上为“优秀”、80分（含80分）以上为“良好”、70分（含70分）以上为“合格”、70分以下为“不合格”。</w:t>
      </w:r>
      <w:r>
        <w:rPr>
          <w:rFonts w:hint="eastAsia" w:ascii="宋体" w:hAnsi="宋体"/>
          <w:sz w:val="24"/>
        </w:rPr>
        <w:t>期末评估结果为“优秀”的，“项目承接方”可获得项目全额考核资金（考核资金即项目合同的30%尾款）。评估结果为“良好”的，可获得90%的考核资金。评估结果为“合格”的，可获得80%的考核资金。评估结果为“不合格”的，不拨付资金。</w:t>
      </w:r>
    </w:p>
    <w:p>
      <w:pPr>
        <w:spacing w:line="460" w:lineRule="exact"/>
        <w:outlineLvl w:val="1"/>
        <w:rPr>
          <w:rFonts w:ascii="宋体" w:hAnsi="宋体"/>
          <w:sz w:val="24"/>
        </w:rPr>
      </w:pPr>
      <w:bookmarkStart w:id="34" w:name="_Toc2674"/>
      <w:r>
        <w:rPr>
          <w:rFonts w:hint="eastAsia" w:ascii="宋体" w:hAnsi="宋体"/>
          <w:b/>
          <w:bCs/>
          <w:sz w:val="24"/>
        </w:rPr>
        <w:t>8.支付</w:t>
      </w:r>
      <w:r>
        <w:rPr>
          <w:rFonts w:hint="eastAsia" w:ascii="宋体" w:hAnsi="宋体"/>
          <w:sz w:val="24"/>
        </w:rPr>
        <w:t>：支付应使用人民币；</w:t>
      </w:r>
      <w:bookmarkEnd w:id="34"/>
    </w:p>
    <w:p>
      <w:pPr>
        <w:spacing w:line="460" w:lineRule="exact"/>
        <w:outlineLvl w:val="1"/>
        <w:rPr>
          <w:rFonts w:ascii="宋体" w:hAnsi="宋体"/>
          <w:b/>
          <w:bCs/>
          <w:sz w:val="24"/>
        </w:rPr>
      </w:pPr>
      <w:bookmarkStart w:id="35" w:name="_Toc24856"/>
      <w:r>
        <w:rPr>
          <w:rFonts w:hint="eastAsia" w:ascii="宋体" w:hAnsi="宋体"/>
          <w:b/>
          <w:bCs/>
          <w:sz w:val="24"/>
        </w:rPr>
        <w:t>9.技术服务</w:t>
      </w:r>
      <w:bookmarkEnd w:id="35"/>
    </w:p>
    <w:p>
      <w:pPr>
        <w:spacing w:line="460" w:lineRule="exact"/>
        <w:ind w:firstLine="480" w:firstLineChars="200"/>
        <w:rPr>
          <w:rFonts w:ascii="宋体" w:hAnsi="宋体"/>
          <w:sz w:val="24"/>
        </w:rPr>
      </w:pPr>
      <w:r>
        <w:rPr>
          <w:rFonts w:hint="eastAsia" w:ascii="宋体" w:hAnsi="宋体"/>
          <w:sz w:val="24"/>
        </w:rPr>
        <w:t>供应商应负责安排采购人相关人员进行操作、维修的培训。具体时间及培训内容在投标时由供应商提出建议；</w:t>
      </w:r>
    </w:p>
    <w:p>
      <w:pPr>
        <w:spacing w:line="460" w:lineRule="exact"/>
        <w:outlineLvl w:val="1"/>
        <w:rPr>
          <w:rFonts w:ascii="宋体" w:hAnsi="宋体"/>
          <w:b/>
          <w:bCs/>
          <w:sz w:val="24"/>
        </w:rPr>
      </w:pPr>
      <w:bookmarkStart w:id="36" w:name="_Toc26170"/>
      <w:r>
        <w:rPr>
          <w:rFonts w:hint="eastAsia" w:ascii="宋体" w:hAnsi="宋体"/>
          <w:b/>
          <w:bCs/>
          <w:sz w:val="24"/>
        </w:rPr>
        <w:t>10.售后服务及承诺</w:t>
      </w:r>
      <w:bookmarkEnd w:id="36"/>
    </w:p>
    <w:p>
      <w:pPr>
        <w:spacing w:line="460" w:lineRule="exact"/>
        <w:ind w:firstLine="480" w:firstLineChars="200"/>
        <w:rPr>
          <w:rFonts w:ascii="宋体" w:hAnsi="宋体"/>
          <w:bCs/>
          <w:sz w:val="24"/>
        </w:rPr>
      </w:pPr>
      <w:r>
        <w:rPr>
          <w:rFonts w:hint="eastAsia" w:ascii="宋体" w:hAnsi="宋体"/>
          <w:bCs/>
          <w:sz w:val="24"/>
        </w:rPr>
        <w:t>10.1供应商应明确承诺售后服务各项内容和措施，提供详细的服务地点、联系人、电话等有关资料；</w:t>
      </w:r>
    </w:p>
    <w:p>
      <w:pPr>
        <w:spacing w:line="460" w:lineRule="exact"/>
        <w:ind w:firstLine="480" w:firstLineChars="200"/>
        <w:rPr>
          <w:rFonts w:ascii="宋体" w:hAnsi="宋体"/>
          <w:bCs/>
          <w:sz w:val="24"/>
        </w:rPr>
      </w:pPr>
      <w:r>
        <w:rPr>
          <w:rFonts w:hint="eastAsia" w:ascii="宋体" w:hAnsi="宋体"/>
          <w:bCs/>
          <w:sz w:val="24"/>
        </w:rPr>
        <w:t>10.2</w:t>
      </w:r>
      <w:r>
        <w:rPr>
          <w:rFonts w:hint="eastAsia" w:ascii="宋体" w:hAnsi="宋体"/>
          <w:b/>
          <w:bCs/>
          <w:sz w:val="24"/>
        </w:rPr>
        <w:t>服务期：详见招标文件要求</w:t>
      </w:r>
      <w:r>
        <w:rPr>
          <w:rFonts w:hint="eastAsia" w:ascii="宋体" w:hAnsi="宋体"/>
          <w:bCs/>
          <w:sz w:val="24"/>
        </w:rPr>
        <w:t>。在服务期内，因服务质量所发生的一切费用均由供应商承担；</w:t>
      </w:r>
    </w:p>
    <w:p>
      <w:pPr>
        <w:spacing w:line="460" w:lineRule="exact"/>
        <w:outlineLvl w:val="1"/>
        <w:rPr>
          <w:rFonts w:ascii="宋体" w:hAnsi="宋体"/>
          <w:b/>
          <w:bCs/>
          <w:sz w:val="24"/>
        </w:rPr>
      </w:pPr>
      <w:bookmarkStart w:id="37" w:name="_Toc30404"/>
      <w:r>
        <w:rPr>
          <w:rFonts w:hint="eastAsia" w:ascii="宋体" w:hAnsi="宋体"/>
          <w:b/>
          <w:bCs/>
          <w:sz w:val="24"/>
        </w:rPr>
        <w:t>11.履约保证及后续服务</w:t>
      </w:r>
      <w:bookmarkEnd w:id="37"/>
    </w:p>
    <w:p>
      <w:pPr>
        <w:spacing w:line="460" w:lineRule="exact"/>
        <w:ind w:firstLine="482" w:firstLineChars="200"/>
        <w:rPr>
          <w:rFonts w:ascii="宋体" w:hAnsi="宋体"/>
          <w:b/>
          <w:bCs/>
          <w:color w:val="000000"/>
          <w:sz w:val="24"/>
        </w:rPr>
      </w:pPr>
      <w:r>
        <w:rPr>
          <w:rFonts w:hint="eastAsia" w:ascii="宋体" w:hAnsi="宋体"/>
          <w:b/>
          <w:bCs/>
          <w:color w:val="000000"/>
          <w:sz w:val="24"/>
        </w:rPr>
        <w:t>本项目无需缴纳履约保证金。</w:t>
      </w:r>
    </w:p>
    <w:p>
      <w:pPr>
        <w:spacing w:line="460" w:lineRule="exact"/>
        <w:outlineLvl w:val="1"/>
        <w:rPr>
          <w:rFonts w:ascii="宋体" w:hAnsi="宋体"/>
          <w:b/>
          <w:bCs/>
          <w:sz w:val="24"/>
        </w:rPr>
      </w:pPr>
      <w:bookmarkStart w:id="38" w:name="_Toc29635"/>
      <w:r>
        <w:rPr>
          <w:rFonts w:hint="eastAsia" w:ascii="宋体" w:hAnsi="宋体"/>
          <w:b/>
          <w:bCs/>
          <w:sz w:val="24"/>
        </w:rPr>
        <w:t>12.违约责任</w:t>
      </w:r>
      <w:bookmarkEnd w:id="38"/>
    </w:p>
    <w:p>
      <w:pPr>
        <w:spacing w:line="460" w:lineRule="exact"/>
        <w:ind w:firstLine="480" w:firstLineChars="200"/>
        <w:rPr>
          <w:rFonts w:ascii="宋体" w:hAnsi="宋体"/>
          <w:bCs/>
          <w:sz w:val="24"/>
        </w:rPr>
      </w:pPr>
      <w:r>
        <w:rPr>
          <w:rFonts w:hint="eastAsia" w:ascii="宋体" w:hAnsi="宋体"/>
          <w:bCs/>
          <w:sz w:val="24"/>
        </w:rPr>
        <w:t>12.1 采购人无正当理由拒收接受服务的，采购人向供应商偿付合同款项百分之五作为违约金。</w:t>
      </w:r>
    </w:p>
    <w:p>
      <w:pPr>
        <w:spacing w:line="460" w:lineRule="exact"/>
        <w:ind w:firstLine="480" w:firstLineChars="200"/>
        <w:rPr>
          <w:rFonts w:ascii="宋体" w:hAnsi="宋体"/>
          <w:bCs/>
          <w:sz w:val="24"/>
        </w:rPr>
      </w:pPr>
      <w:r>
        <w:rPr>
          <w:rFonts w:hint="eastAsia" w:ascii="宋体" w:hAnsi="宋体"/>
          <w:bCs/>
          <w:sz w:val="24"/>
        </w:rPr>
        <w:t>12.2 采购人无故逾期验收和办理款项支付手续的,采购人应按逾期付款总额每日万分之五向供应商支付违约金。</w:t>
      </w:r>
    </w:p>
    <w:p>
      <w:pPr>
        <w:spacing w:line="460" w:lineRule="exact"/>
        <w:ind w:firstLine="480" w:firstLineChars="200"/>
        <w:rPr>
          <w:rFonts w:ascii="宋体" w:hAnsi="宋体"/>
          <w:bCs/>
          <w:sz w:val="24"/>
        </w:rPr>
      </w:pPr>
      <w:r>
        <w:rPr>
          <w:rFonts w:hint="eastAsia" w:ascii="宋体" w:hAnsi="宋体"/>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60" w:lineRule="exact"/>
        <w:ind w:firstLine="480" w:firstLineChars="200"/>
        <w:rPr>
          <w:rFonts w:ascii="宋体" w:hAnsi="宋体"/>
          <w:bCs/>
          <w:sz w:val="24"/>
        </w:rPr>
      </w:pPr>
      <w:r>
        <w:rPr>
          <w:rFonts w:ascii="宋体" w:hAnsi="宋体"/>
          <w:bCs/>
          <w:sz w:val="24"/>
        </w:rPr>
        <w:t>12.4</w:t>
      </w:r>
      <w:r>
        <w:rPr>
          <w:rFonts w:hint="eastAsia" w:ascii="宋体" w:hAnsi="宋体"/>
          <w:sz w:val="24"/>
        </w:rPr>
        <w:t>如供应商提供的服务或与服务相关的物品存在知识产权纠纷而导致本合同无法继续履行，在采购人发函要求解决相关知识产权问题后</w:t>
      </w:r>
      <w:r>
        <w:rPr>
          <w:rFonts w:ascii="宋体" w:hAnsi="宋体"/>
          <w:sz w:val="24"/>
        </w:rPr>
        <w:t>x</w:t>
      </w:r>
      <w:r>
        <w:rPr>
          <w:rFonts w:hint="eastAsia" w:ascii="宋体" w:hAnsi="宋体"/>
          <w:sz w:val="24"/>
        </w:rPr>
        <w:t>日内仍未解决的，则采购人有权单方终止本合同的履行，并要求供应商承担相应赔偿责任。</w:t>
      </w:r>
      <w:r>
        <w:rPr>
          <w:rFonts w:hint="eastAsia" w:ascii="宋体" w:hAnsi="宋体"/>
          <w:bCs/>
          <w:sz w:val="24"/>
        </w:rPr>
        <w:t xml:space="preserve"> </w:t>
      </w:r>
    </w:p>
    <w:p>
      <w:pPr>
        <w:spacing w:line="460" w:lineRule="exact"/>
        <w:outlineLvl w:val="1"/>
        <w:rPr>
          <w:rFonts w:ascii="宋体" w:hAnsi="宋体"/>
          <w:b/>
          <w:bCs/>
          <w:sz w:val="24"/>
        </w:rPr>
      </w:pPr>
      <w:bookmarkStart w:id="39" w:name="_Toc1439"/>
      <w:r>
        <w:rPr>
          <w:rFonts w:hint="eastAsia" w:ascii="宋体" w:hAnsi="宋体"/>
          <w:b/>
          <w:bCs/>
          <w:sz w:val="24"/>
        </w:rPr>
        <w:t>13.不可抗力事件处理</w:t>
      </w:r>
      <w:bookmarkEnd w:id="39"/>
    </w:p>
    <w:p>
      <w:pPr>
        <w:spacing w:line="460" w:lineRule="exact"/>
        <w:ind w:firstLine="480" w:firstLineChars="200"/>
        <w:rPr>
          <w:rFonts w:ascii="宋体" w:hAnsi="宋体"/>
          <w:bCs/>
          <w:sz w:val="24"/>
        </w:rPr>
      </w:pPr>
      <w:r>
        <w:rPr>
          <w:rFonts w:hint="eastAsia" w:ascii="宋体" w:hAnsi="宋体"/>
          <w:bCs/>
          <w:sz w:val="24"/>
        </w:rPr>
        <w:t>13.1 在合同有效期内，任何一方因不可抗力事件导致不能履行合同，则合同履行期可延长，其延长期与不可抗力影响期相同。</w:t>
      </w:r>
    </w:p>
    <w:p>
      <w:pPr>
        <w:spacing w:line="460" w:lineRule="exact"/>
        <w:ind w:firstLine="480" w:firstLineChars="200"/>
        <w:rPr>
          <w:rFonts w:ascii="宋体" w:hAnsi="宋体"/>
          <w:bCs/>
          <w:sz w:val="24"/>
        </w:rPr>
      </w:pPr>
      <w:r>
        <w:rPr>
          <w:rFonts w:hint="eastAsia" w:ascii="宋体" w:hAnsi="宋体"/>
          <w:bCs/>
          <w:sz w:val="24"/>
        </w:rPr>
        <w:t>13.2 不可抗力事件发生后，应立即通知对方，并寄送有关权威机构出具的证明。</w:t>
      </w:r>
    </w:p>
    <w:p>
      <w:pPr>
        <w:spacing w:line="460" w:lineRule="exact"/>
        <w:ind w:firstLine="480" w:firstLineChars="200"/>
        <w:rPr>
          <w:rFonts w:ascii="宋体" w:hAnsi="宋体"/>
          <w:bCs/>
          <w:sz w:val="24"/>
        </w:rPr>
      </w:pPr>
      <w:r>
        <w:rPr>
          <w:rFonts w:hint="eastAsia" w:ascii="宋体" w:hAnsi="宋体"/>
          <w:bCs/>
          <w:sz w:val="24"/>
        </w:rPr>
        <w:t>13.3 不可抗力事件延续120天以上，双方应通过友好协商，确定是否继续履行合同。</w:t>
      </w:r>
    </w:p>
    <w:p>
      <w:pPr>
        <w:spacing w:line="460" w:lineRule="exact"/>
        <w:outlineLvl w:val="1"/>
        <w:rPr>
          <w:rFonts w:ascii="宋体" w:hAnsi="宋体"/>
          <w:bCs/>
          <w:sz w:val="24"/>
        </w:rPr>
      </w:pPr>
      <w:bookmarkStart w:id="40" w:name="_Toc14195"/>
      <w:r>
        <w:rPr>
          <w:rFonts w:hint="eastAsia" w:ascii="宋体" w:hAnsi="宋体"/>
          <w:b/>
          <w:bCs/>
          <w:sz w:val="24"/>
        </w:rPr>
        <w:t>14.</w:t>
      </w:r>
      <w:r>
        <w:rPr>
          <w:rFonts w:hint="eastAsia" w:ascii="宋体" w:hAnsi="宋体"/>
          <w:bCs/>
          <w:sz w:val="24"/>
        </w:rPr>
        <w:t xml:space="preserve"> </w:t>
      </w:r>
      <w:r>
        <w:rPr>
          <w:rFonts w:hint="eastAsia" w:ascii="宋体" w:hAnsi="宋体"/>
          <w:b/>
          <w:bCs/>
          <w:sz w:val="24"/>
        </w:rPr>
        <w:t>争议解决</w:t>
      </w:r>
      <w:bookmarkEnd w:id="40"/>
    </w:p>
    <w:p>
      <w:pPr>
        <w:spacing w:line="460" w:lineRule="exact"/>
        <w:ind w:firstLine="480" w:firstLineChars="200"/>
        <w:rPr>
          <w:rFonts w:ascii="宋体" w:hAnsi="宋体"/>
          <w:sz w:val="24"/>
        </w:rPr>
      </w:pPr>
      <w:r>
        <w:rPr>
          <w:rFonts w:hint="eastAsia" w:ascii="宋体" w:hAnsi="宋体"/>
          <w:sz w:val="24"/>
        </w:rPr>
        <w:t>14.1在执行本合同中所发生的或与本合同有关的一切争端，合同双方应通过友好协商解决，经过协商仍不能解决，双方选择通过下列第</w:t>
      </w:r>
      <w:r>
        <w:rPr>
          <w:rFonts w:hint="eastAsia" w:ascii="宋体" w:hAnsi="宋体"/>
          <w:sz w:val="24"/>
          <w:u w:val="single"/>
        </w:rPr>
        <w:t>1</w:t>
      </w:r>
      <w:r>
        <w:rPr>
          <w:rFonts w:hint="eastAsia" w:ascii="宋体" w:hAnsi="宋体"/>
          <w:sz w:val="24"/>
        </w:rPr>
        <w:t>种方式解决：</w:t>
      </w:r>
    </w:p>
    <w:p>
      <w:pPr>
        <w:spacing w:line="460" w:lineRule="exact"/>
        <w:ind w:firstLine="480" w:firstLineChars="200"/>
        <w:rPr>
          <w:rFonts w:ascii="宋体" w:hAnsi="宋体"/>
          <w:sz w:val="24"/>
        </w:rPr>
      </w:pPr>
      <w:r>
        <w:rPr>
          <w:rFonts w:hint="eastAsia" w:ascii="宋体" w:hAnsi="宋体"/>
          <w:sz w:val="24"/>
        </w:rPr>
        <w:t>（1）将争端提交湖州仲裁委员会仲裁</w:t>
      </w:r>
    </w:p>
    <w:p>
      <w:pPr>
        <w:spacing w:line="460" w:lineRule="exact"/>
        <w:ind w:firstLine="480" w:firstLineChars="200"/>
        <w:rPr>
          <w:rFonts w:ascii="宋体" w:hAnsi="宋体"/>
          <w:sz w:val="24"/>
        </w:rPr>
      </w:pPr>
      <w:r>
        <w:rPr>
          <w:rFonts w:hint="eastAsia" w:ascii="宋体" w:hAnsi="宋体"/>
          <w:sz w:val="24"/>
        </w:rPr>
        <w:t>（2）直接向采购人所在地有管辖权的人民法院起诉。</w:t>
      </w:r>
    </w:p>
    <w:p>
      <w:pPr>
        <w:spacing w:line="460" w:lineRule="exact"/>
        <w:ind w:firstLine="480" w:firstLineChars="200"/>
        <w:rPr>
          <w:rFonts w:ascii="宋体" w:hAnsi="宋体"/>
          <w:sz w:val="24"/>
        </w:rPr>
      </w:pPr>
      <w:r>
        <w:rPr>
          <w:rFonts w:hint="eastAsia" w:ascii="宋体" w:hAnsi="宋体"/>
          <w:sz w:val="24"/>
        </w:rPr>
        <w:t>14.</w:t>
      </w:r>
      <w:r>
        <w:rPr>
          <w:rFonts w:ascii="宋体" w:hAnsi="宋体"/>
          <w:sz w:val="24"/>
        </w:rPr>
        <w:t>2</w:t>
      </w:r>
      <w:r>
        <w:rPr>
          <w:rFonts w:hint="eastAsia" w:ascii="宋体" w:hAnsi="宋体"/>
          <w:sz w:val="24"/>
        </w:rPr>
        <w:t>仲裁费用或诉讼费用应由败诉方负担。</w:t>
      </w:r>
    </w:p>
    <w:p>
      <w:pPr>
        <w:spacing w:line="460" w:lineRule="exact"/>
        <w:ind w:firstLine="480" w:firstLineChars="200"/>
        <w:rPr>
          <w:rFonts w:ascii="宋体" w:hAnsi="宋体"/>
          <w:sz w:val="24"/>
        </w:rPr>
      </w:pPr>
      <w:r>
        <w:rPr>
          <w:rFonts w:hint="eastAsia" w:ascii="宋体" w:hAnsi="宋体"/>
          <w:sz w:val="24"/>
        </w:rPr>
        <w:t>14.</w:t>
      </w:r>
      <w:r>
        <w:rPr>
          <w:rFonts w:ascii="宋体" w:hAnsi="宋体"/>
          <w:sz w:val="24"/>
        </w:rPr>
        <w:t>3</w:t>
      </w:r>
      <w:r>
        <w:rPr>
          <w:rFonts w:hint="eastAsia" w:ascii="宋体" w:hAnsi="宋体"/>
          <w:sz w:val="24"/>
        </w:rPr>
        <w:t>在仲裁或诉讼期间，除进行仲裁或诉讼的部分外，本合同其它部分应继续执行。</w:t>
      </w:r>
    </w:p>
    <w:p>
      <w:pPr>
        <w:spacing w:line="460" w:lineRule="exact"/>
        <w:outlineLvl w:val="1"/>
        <w:rPr>
          <w:rFonts w:ascii="宋体" w:hAnsi="宋体"/>
          <w:b/>
          <w:bCs/>
          <w:sz w:val="24"/>
        </w:rPr>
      </w:pPr>
      <w:bookmarkStart w:id="41" w:name="_Toc9709"/>
      <w:r>
        <w:rPr>
          <w:rFonts w:hint="eastAsia" w:ascii="宋体" w:hAnsi="宋体"/>
          <w:b/>
          <w:bCs/>
          <w:sz w:val="24"/>
        </w:rPr>
        <w:t>15.转让或分包</w:t>
      </w:r>
      <w:bookmarkEnd w:id="41"/>
    </w:p>
    <w:p>
      <w:pPr>
        <w:spacing w:line="460" w:lineRule="exact"/>
        <w:ind w:firstLine="480" w:firstLineChars="200"/>
        <w:rPr>
          <w:rFonts w:ascii="宋体" w:hAnsi="宋体"/>
          <w:sz w:val="24"/>
        </w:rPr>
      </w:pPr>
      <w:r>
        <w:rPr>
          <w:rFonts w:hint="eastAsia" w:ascii="宋体" w:hAnsi="宋体"/>
          <w:sz w:val="24"/>
        </w:rPr>
        <w:t>15.1本合同范围的服务，应由供应商提供，不得转让他人供应；</w:t>
      </w:r>
    </w:p>
    <w:p>
      <w:pPr>
        <w:spacing w:line="460" w:lineRule="exact"/>
        <w:ind w:firstLine="480" w:firstLineChars="200"/>
        <w:rPr>
          <w:rFonts w:ascii="宋体" w:hAnsi="宋体"/>
          <w:sz w:val="24"/>
        </w:rPr>
      </w:pPr>
      <w:r>
        <w:rPr>
          <w:rFonts w:hint="eastAsia" w:ascii="宋体" w:hAnsi="宋体"/>
          <w:sz w:val="24"/>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60" w:lineRule="exact"/>
        <w:ind w:firstLine="480" w:firstLineChars="200"/>
        <w:rPr>
          <w:rFonts w:ascii="宋体" w:hAnsi="宋体"/>
          <w:sz w:val="24"/>
        </w:rPr>
      </w:pPr>
      <w:r>
        <w:rPr>
          <w:rFonts w:hint="eastAsia" w:ascii="宋体" w:hAnsi="宋体"/>
          <w:sz w:val="24"/>
        </w:rPr>
        <w:t>15.3本合同全部或部分的分包不能减轻供应商承担的责任，供应商仍须将分包人的任何行动、错误或疏忽当作是自己完成的并负全责；</w:t>
      </w:r>
    </w:p>
    <w:p>
      <w:pPr>
        <w:spacing w:line="460" w:lineRule="exact"/>
        <w:ind w:firstLine="480" w:firstLineChars="200"/>
        <w:rPr>
          <w:rFonts w:ascii="宋体" w:hAnsi="宋体"/>
          <w:sz w:val="24"/>
        </w:rPr>
      </w:pPr>
      <w:r>
        <w:rPr>
          <w:rFonts w:ascii="宋体" w:hAnsi="宋体"/>
          <w:sz w:val="24"/>
        </w:rPr>
        <w:t>15</w:t>
      </w:r>
      <w:r>
        <w:rPr>
          <w:rFonts w:hint="eastAsia" w:ascii="宋体" w:hAnsi="宋体"/>
          <w:sz w:val="24"/>
        </w:rPr>
        <w:t>.4在任何分包合同中，须注明分包人按分包合同的范围履行，在供应商按本合同的履行终止时（不论任何原因），亦同时一并终止；</w:t>
      </w:r>
    </w:p>
    <w:p>
      <w:pPr>
        <w:spacing w:line="460" w:lineRule="exact"/>
        <w:ind w:firstLine="480" w:firstLineChars="200"/>
        <w:rPr>
          <w:rFonts w:ascii="宋体" w:hAnsi="宋体"/>
          <w:sz w:val="24"/>
        </w:rPr>
      </w:pPr>
      <w:r>
        <w:rPr>
          <w:rFonts w:hint="eastAsia" w:ascii="宋体" w:hAnsi="宋体"/>
          <w:sz w:val="24"/>
        </w:rPr>
        <w:t>15.5如有转让和未经采购人同意的分包行为，采购人有权给予终止合同。</w:t>
      </w:r>
    </w:p>
    <w:p>
      <w:pPr>
        <w:spacing w:line="460" w:lineRule="exact"/>
        <w:outlineLvl w:val="1"/>
        <w:rPr>
          <w:rFonts w:ascii="宋体" w:hAnsi="宋体"/>
          <w:b/>
          <w:bCs/>
          <w:sz w:val="24"/>
        </w:rPr>
      </w:pPr>
      <w:bookmarkStart w:id="42" w:name="_Toc24590"/>
      <w:r>
        <w:rPr>
          <w:rFonts w:hint="eastAsia" w:ascii="宋体" w:hAnsi="宋体"/>
          <w:b/>
          <w:bCs/>
          <w:sz w:val="24"/>
        </w:rPr>
        <w:t>16.适用法律</w:t>
      </w:r>
      <w:bookmarkEnd w:id="42"/>
    </w:p>
    <w:p>
      <w:pPr>
        <w:spacing w:line="460" w:lineRule="exact"/>
        <w:ind w:firstLine="480" w:firstLineChars="200"/>
        <w:rPr>
          <w:rFonts w:ascii="宋体" w:hAnsi="宋体"/>
          <w:bCs/>
          <w:sz w:val="24"/>
        </w:rPr>
      </w:pPr>
      <w:r>
        <w:rPr>
          <w:rFonts w:hint="eastAsia" w:ascii="宋体" w:hAnsi="宋体"/>
          <w:sz w:val="24"/>
        </w:rPr>
        <w:t>合同适用法律有《中华人民共和国政府采购法》、《中华人民共和国合同法》、《中华人民共和国产品质量法》和浙江省有关条例等。</w:t>
      </w:r>
    </w:p>
    <w:p>
      <w:pPr>
        <w:spacing w:line="460" w:lineRule="exact"/>
        <w:outlineLvl w:val="1"/>
        <w:rPr>
          <w:rFonts w:ascii="宋体" w:hAnsi="宋体"/>
          <w:b/>
          <w:bCs/>
          <w:sz w:val="24"/>
        </w:rPr>
      </w:pPr>
      <w:bookmarkStart w:id="43" w:name="_Toc11436"/>
      <w:r>
        <w:rPr>
          <w:rFonts w:hint="eastAsia" w:ascii="宋体" w:hAnsi="宋体"/>
          <w:b/>
          <w:bCs/>
          <w:sz w:val="24"/>
        </w:rPr>
        <w:t>17.合同生效及其他</w:t>
      </w:r>
      <w:bookmarkEnd w:id="43"/>
    </w:p>
    <w:p>
      <w:pPr>
        <w:spacing w:line="460" w:lineRule="exact"/>
        <w:ind w:firstLine="480" w:firstLineChars="200"/>
        <w:rPr>
          <w:rFonts w:ascii="宋体" w:hAnsi="宋体"/>
          <w:bCs/>
          <w:sz w:val="24"/>
        </w:rPr>
      </w:pPr>
      <w:r>
        <w:rPr>
          <w:rFonts w:hint="eastAsia" w:ascii="宋体" w:hAnsi="宋体"/>
          <w:bCs/>
          <w:sz w:val="24"/>
        </w:rPr>
        <w:t>17.1本合同经双方法人及法定代表人签字盖章生效；</w:t>
      </w:r>
    </w:p>
    <w:p>
      <w:pPr>
        <w:spacing w:line="460" w:lineRule="exact"/>
        <w:ind w:firstLine="480" w:firstLineChars="200"/>
        <w:rPr>
          <w:rFonts w:ascii="宋体" w:hAnsi="宋体"/>
          <w:bCs/>
          <w:sz w:val="24"/>
        </w:rPr>
      </w:pPr>
      <w:r>
        <w:rPr>
          <w:rFonts w:hint="eastAsia" w:ascii="宋体" w:hAnsi="宋体"/>
          <w:bCs/>
          <w:sz w:val="24"/>
        </w:rPr>
        <w:t>17.2本合同一式叁份，供应商、采购人各执一份；采购代理机构各一份。</w:t>
      </w:r>
    </w:p>
    <w:p>
      <w:pPr>
        <w:spacing w:line="460" w:lineRule="exact"/>
        <w:ind w:firstLine="480" w:firstLineChars="200"/>
        <w:rPr>
          <w:rFonts w:ascii="宋体" w:hAnsi="宋体"/>
          <w:bCs/>
          <w:sz w:val="24"/>
        </w:rPr>
      </w:pPr>
    </w:p>
    <w:p>
      <w:pPr>
        <w:spacing w:line="440" w:lineRule="exact"/>
        <w:ind w:firstLine="482" w:firstLineChars="200"/>
        <w:rPr>
          <w:rFonts w:ascii="宋体" w:hAnsi="宋体"/>
          <w:b/>
          <w:bCs/>
          <w:sz w:val="24"/>
        </w:rPr>
      </w:pPr>
    </w:p>
    <w:p>
      <w:pPr>
        <w:spacing w:line="440" w:lineRule="exact"/>
        <w:ind w:firstLine="480" w:firstLineChars="200"/>
        <w:rPr>
          <w:rFonts w:ascii="宋体" w:hAnsi="宋体"/>
          <w:bCs/>
          <w:sz w:val="24"/>
        </w:rPr>
      </w:pPr>
      <w:r>
        <w:rPr>
          <w:rFonts w:hint="eastAsia" w:ascii="宋体" w:hAnsi="宋体"/>
          <w:bCs/>
          <w:sz w:val="24"/>
        </w:rPr>
        <w:t xml:space="preserve">采购人：                           供应商： </w:t>
      </w:r>
    </w:p>
    <w:p>
      <w:pPr>
        <w:spacing w:line="440" w:lineRule="exact"/>
        <w:ind w:firstLine="480" w:firstLineChars="200"/>
        <w:rPr>
          <w:rFonts w:ascii="宋体" w:hAnsi="宋体"/>
          <w:bCs/>
          <w:sz w:val="24"/>
        </w:rPr>
      </w:pPr>
    </w:p>
    <w:p>
      <w:pPr>
        <w:spacing w:line="440" w:lineRule="exact"/>
        <w:ind w:firstLine="480" w:firstLineChars="200"/>
        <w:rPr>
          <w:rFonts w:ascii="宋体" w:hAnsi="宋体"/>
          <w:bCs/>
          <w:sz w:val="24"/>
        </w:rPr>
      </w:pPr>
      <w:r>
        <w:rPr>
          <w:rFonts w:hint="eastAsia" w:ascii="宋体" w:hAnsi="宋体"/>
          <w:bCs/>
          <w:sz w:val="24"/>
        </w:rPr>
        <w:t xml:space="preserve">地址：                            地址： </w:t>
      </w:r>
    </w:p>
    <w:p>
      <w:pPr>
        <w:spacing w:line="440" w:lineRule="exact"/>
        <w:ind w:firstLine="480" w:firstLineChars="200"/>
        <w:rPr>
          <w:rFonts w:ascii="宋体" w:hAnsi="宋体"/>
          <w:bCs/>
          <w:sz w:val="24"/>
        </w:rPr>
      </w:pPr>
    </w:p>
    <w:p>
      <w:pPr>
        <w:spacing w:line="440" w:lineRule="exact"/>
        <w:ind w:firstLine="480" w:firstLineChars="200"/>
        <w:rPr>
          <w:rFonts w:ascii="宋体" w:hAnsi="宋体"/>
          <w:bCs/>
          <w:sz w:val="24"/>
        </w:rPr>
      </w:pPr>
      <w:r>
        <w:rPr>
          <w:rFonts w:hint="eastAsia" w:ascii="宋体" w:hAnsi="宋体"/>
          <w:bCs/>
          <w:sz w:val="24"/>
        </w:rPr>
        <w:t>法定（或授权）代表人：            法定（或授权）代表人：</w:t>
      </w:r>
    </w:p>
    <w:p>
      <w:pPr>
        <w:spacing w:line="440" w:lineRule="exact"/>
        <w:ind w:firstLine="480" w:firstLineChars="200"/>
        <w:rPr>
          <w:rFonts w:ascii="宋体" w:hAnsi="宋体"/>
          <w:bCs/>
          <w:sz w:val="24"/>
        </w:rPr>
      </w:pPr>
    </w:p>
    <w:p>
      <w:pPr>
        <w:spacing w:line="440" w:lineRule="exact"/>
        <w:ind w:firstLine="480" w:firstLineChars="200"/>
        <w:rPr>
          <w:rFonts w:ascii="宋体" w:hAnsi="宋体"/>
          <w:bCs/>
          <w:sz w:val="24"/>
        </w:rPr>
      </w:pPr>
      <w:r>
        <w:rPr>
          <w:rFonts w:hint="eastAsia" w:ascii="宋体" w:hAnsi="宋体"/>
          <w:bCs/>
          <w:sz w:val="24"/>
        </w:rPr>
        <w:t>签字日期：   年  月  日          签字日期：   年  月  日</w:t>
      </w:r>
    </w:p>
    <w:p>
      <w:pPr>
        <w:autoSpaceDE w:val="0"/>
        <w:autoSpaceDN w:val="0"/>
        <w:adjustRightInd w:val="0"/>
        <w:spacing w:line="540" w:lineRule="exact"/>
        <w:contextualSpacing/>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br w:type="page"/>
      </w:r>
      <w:bookmarkStart w:id="44" w:name="_Toc29371"/>
      <w:r>
        <w:rPr>
          <w:rFonts w:hint="eastAsia" w:asciiTheme="minorEastAsia" w:hAnsiTheme="minorEastAsia" w:eastAsiaTheme="minorEastAsia" w:cstheme="minorEastAsia"/>
          <w:b/>
          <w:sz w:val="36"/>
          <w:szCs w:val="36"/>
        </w:rPr>
        <w:t>第五章  响应文件格式</w:t>
      </w:r>
      <w:bookmarkEnd w:id="44"/>
    </w:p>
    <w:p>
      <w:pPr>
        <w:pStyle w:val="9"/>
        <w:spacing w:line="360" w:lineRule="auto"/>
        <w:ind w:firstLine="0"/>
        <w:jc w:val="center"/>
        <w:outlineLvl w:val="1"/>
        <w:rPr>
          <w:rFonts w:asciiTheme="minorEastAsia" w:hAnsiTheme="minorEastAsia" w:eastAsiaTheme="minorEastAsia" w:cstheme="minorEastAsia"/>
          <w:b/>
          <w:bCs/>
          <w:spacing w:val="24"/>
          <w:sz w:val="28"/>
          <w:szCs w:val="28"/>
        </w:rPr>
      </w:pPr>
      <w:bookmarkStart w:id="45" w:name="_Toc1541"/>
      <w:r>
        <w:rPr>
          <w:rFonts w:hint="eastAsia" w:asciiTheme="minorEastAsia" w:hAnsiTheme="minorEastAsia" w:eastAsiaTheme="minorEastAsia" w:cstheme="minorEastAsia"/>
          <w:b/>
          <w:bCs/>
          <w:spacing w:val="24"/>
          <w:sz w:val="28"/>
          <w:szCs w:val="28"/>
        </w:rPr>
        <w:t>法定代表人有效身份证明书</w:t>
      </w:r>
      <w:bookmarkEnd w:id="45"/>
    </w:p>
    <w:p>
      <w:pPr>
        <w:pStyle w:val="9"/>
        <w:spacing w:line="360" w:lineRule="auto"/>
        <w:ind w:firstLine="513" w:firstLineChars="156"/>
        <w:jc w:val="center"/>
        <w:rPr>
          <w:rFonts w:asciiTheme="minorEastAsia" w:hAnsiTheme="minorEastAsia" w:eastAsiaTheme="minorEastAsia" w:cstheme="minorEastAsia"/>
          <w:b/>
          <w:bCs/>
          <w:spacing w:val="24"/>
          <w:sz w:val="28"/>
          <w:szCs w:val="28"/>
        </w:rPr>
      </w:pPr>
    </w:p>
    <w:p>
      <w:pPr>
        <w:pStyle w:val="9"/>
        <w:spacing w:line="480" w:lineRule="auto"/>
        <w:ind w:firstLine="840" w:firstLineChars="3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（姓名）</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sz w:val="24"/>
          <w:szCs w:val="24"/>
          <w:u w:val="single"/>
        </w:rPr>
        <w:t>（单位全称）</w:t>
      </w:r>
      <w:r>
        <w:rPr>
          <w:rFonts w:hint="eastAsia" w:asciiTheme="minorEastAsia" w:hAnsiTheme="minorEastAsia" w:eastAsiaTheme="minorEastAsia" w:cstheme="minorEastAsia"/>
          <w:sz w:val="24"/>
          <w:szCs w:val="24"/>
        </w:rPr>
        <w:t>的法定代表人，身份证号码为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pStyle w:val="9"/>
        <w:spacing w:line="480" w:lineRule="auto"/>
        <w:ind w:firstLine="374" w:firstLineChars="156"/>
        <w:rPr>
          <w:rFonts w:asciiTheme="minorEastAsia" w:hAnsiTheme="minorEastAsia" w:eastAsiaTheme="minorEastAsia" w:cstheme="minorEastAsia"/>
          <w:sz w:val="24"/>
          <w:szCs w:val="24"/>
        </w:rPr>
      </w:pPr>
    </w:p>
    <w:p>
      <w:pPr>
        <w:pStyle w:val="9"/>
        <w:spacing w:line="480" w:lineRule="auto"/>
        <w:ind w:firstLine="374" w:firstLineChars="15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特此证明</w:t>
      </w:r>
    </w:p>
    <w:p>
      <w:pPr>
        <w:pStyle w:val="9"/>
        <w:spacing w:line="480" w:lineRule="auto"/>
        <w:ind w:firstLine="0"/>
        <w:rPr>
          <w:rFonts w:asciiTheme="minorEastAsia" w:hAnsiTheme="minorEastAsia" w:eastAsiaTheme="minorEastAsia" w:cstheme="minorEastAsia"/>
          <w:sz w:val="24"/>
          <w:szCs w:val="24"/>
        </w:rPr>
      </w:pPr>
    </w:p>
    <w:p>
      <w:pPr>
        <w:pStyle w:val="9"/>
        <w:spacing w:line="48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供应商：（盖章）                  </w:t>
      </w:r>
    </w:p>
    <w:p>
      <w:pPr>
        <w:pStyle w:val="9"/>
        <w:spacing w:line="48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法定代表人或其授权代理人（签名或盖章）</w:t>
      </w:r>
    </w:p>
    <w:p>
      <w:pPr>
        <w:pStyle w:val="9"/>
        <w:spacing w:line="48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    年   月   日</w:t>
      </w:r>
    </w:p>
    <w:p>
      <w:pPr>
        <w:pStyle w:val="9"/>
        <w:spacing w:line="480" w:lineRule="auto"/>
        <w:ind w:firstLine="0"/>
        <w:rPr>
          <w:rFonts w:asciiTheme="minorEastAsia" w:hAnsiTheme="minorEastAsia" w:eastAsiaTheme="minorEastAsia" w:cstheme="minorEastAsia"/>
          <w:sz w:val="24"/>
          <w:szCs w:val="24"/>
        </w:rPr>
      </w:pPr>
    </w:p>
    <w:p>
      <w:pPr>
        <w:pStyle w:val="9"/>
        <w:spacing w:line="480" w:lineRule="auto"/>
        <w:ind w:firstLine="0"/>
        <w:rPr>
          <w:rFonts w:asciiTheme="minorEastAsia" w:hAnsiTheme="minorEastAsia" w:eastAsiaTheme="minorEastAsia" w:cstheme="minorEastAsia"/>
          <w:sz w:val="24"/>
          <w:szCs w:val="24"/>
        </w:rPr>
      </w:pPr>
    </w:p>
    <w:p>
      <w:pPr>
        <w:pStyle w:val="9"/>
        <w:pBdr>
          <w:bottom w:val="single" w:color="auto" w:sz="6" w:space="1"/>
        </w:pBdr>
        <w:spacing w:line="480" w:lineRule="auto"/>
        <w:ind w:firstLine="0"/>
        <w:rPr>
          <w:rFonts w:asciiTheme="minorEastAsia" w:hAnsiTheme="minorEastAsia" w:eastAsiaTheme="minorEastAsia" w:cstheme="minorEastAsia"/>
          <w:sz w:val="24"/>
          <w:szCs w:val="24"/>
        </w:rPr>
      </w:pPr>
    </w:p>
    <w:p>
      <w:pPr>
        <w:pStyle w:val="9"/>
        <w:spacing w:line="480" w:lineRule="auto"/>
        <w:ind w:firstLine="0"/>
        <w:rPr>
          <w:rFonts w:asciiTheme="minorEastAsia" w:hAnsiTheme="minorEastAsia" w:eastAsiaTheme="minorEastAsia" w:cstheme="minorEastAsia"/>
          <w:sz w:val="24"/>
          <w:szCs w:val="24"/>
        </w:rPr>
      </w:pPr>
    </w:p>
    <w:p>
      <w:pPr>
        <w:pStyle w:val="9"/>
        <w:spacing w:line="480" w:lineRule="auto"/>
        <w:ind w:firstLine="0"/>
        <w:rPr>
          <w:rFonts w:asciiTheme="minorEastAsia" w:hAnsiTheme="minorEastAsia" w:eastAsiaTheme="minorEastAsia" w:cstheme="minorEastAsia"/>
          <w:sz w:val="24"/>
          <w:szCs w:val="24"/>
        </w:rPr>
      </w:pPr>
    </w:p>
    <w:p>
      <w:pPr>
        <w:pStyle w:val="9"/>
        <w:spacing w:line="48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有效身份证明复印件粘贴处</w:t>
      </w:r>
    </w:p>
    <w:p>
      <w:pPr>
        <w:pStyle w:val="9"/>
        <w:spacing w:line="360" w:lineRule="auto"/>
        <w:ind w:firstLine="545" w:firstLineChars="156"/>
        <w:jc w:val="center"/>
        <w:rPr>
          <w:rFonts w:asciiTheme="minorEastAsia" w:hAnsiTheme="minorEastAsia" w:eastAsiaTheme="minorEastAsia" w:cstheme="minorEastAsia"/>
          <w:b/>
          <w:bCs/>
          <w:spacing w:val="24"/>
          <w:sz w:val="30"/>
        </w:rPr>
      </w:pPr>
    </w:p>
    <w:p>
      <w:pPr>
        <w:pStyle w:val="9"/>
        <w:spacing w:line="360" w:lineRule="auto"/>
        <w:ind w:firstLine="0"/>
        <w:jc w:val="center"/>
        <w:rPr>
          <w:rFonts w:asciiTheme="minorEastAsia" w:hAnsiTheme="minorEastAsia" w:eastAsiaTheme="minorEastAsia" w:cstheme="minorEastAsia"/>
          <w:b/>
          <w:bCs/>
          <w:spacing w:val="24"/>
          <w:sz w:val="30"/>
        </w:rPr>
      </w:pPr>
    </w:p>
    <w:p>
      <w:pPr>
        <w:pStyle w:val="9"/>
        <w:spacing w:line="360" w:lineRule="auto"/>
        <w:ind w:firstLine="0"/>
        <w:jc w:val="center"/>
        <w:rPr>
          <w:rFonts w:asciiTheme="minorEastAsia" w:hAnsiTheme="minorEastAsia" w:eastAsiaTheme="minorEastAsia" w:cstheme="minorEastAsia"/>
          <w:b/>
          <w:bCs/>
          <w:spacing w:val="24"/>
          <w:sz w:val="30"/>
        </w:rPr>
      </w:pPr>
    </w:p>
    <w:p>
      <w:pPr>
        <w:pStyle w:val="9"/>
        <w:spacing w:line="360" w:lineRule="auto"/>
        <w:ind w:firstLine="0"/>
        <w:jc w:val="center"/>
        <w:rPr>
          <w:rFonts w:asciiTheme="minorEastAsia" w:hAnsiTheme="minorEastAsia" w:eastAsiaTheme="minorEastAsia" w:cstheme="minorEastAsia"/>
          <w:b/>
          <w:bCs/>
          <w:spacing w:val="24"/>
          <w:sz w:val="30"/>
        </w:rPr>
      </w:pPr>
    </w:p>
    <w:p>
      <w:pPr>
        <w:pStyle w:val="9"/>
        <w:spacing w:line="360" w:lineRule="auto"/>
        <w:ind w:firstLine="0"/>
        <w:jc w:val="center"/>
        <w:rPr>
          <w:rFonts w:asciiTheme="minorEastAsia" w:hAnsiTheme="minorEastAsia" w:eastAsiaTheme="minorEastAsia" w:cstheme="minorEastAsia"/>
          <w:b/>
          <w:bCs/>
          <w:spacing w:val="24"/>
          <w:sz w:val="30"/>
        </w:rPr>
      </w:pPr>
    </w:p>
    <w:p>
      <w:pPr>
        <w:pStyle w:val="9"/>
        <w:spacing w:line="360" w:lineRule="auto"/>
        <w:ind w:firstLine="0"/>
        <w:jc w:val="center"/>
        <w:rPr>
          <w:rFonts w:asciiTheme="minorEastAsia" w:hAnsiTheme="minorEastAsia" w:eastAsiaTheme="minorEastAsia" w:cstheme="minorEastAsia"/>
          <w:b/>
          <w:bCs/>
          <w:spacing w:val="24"/>
          <w:sz w:val="28"/>
          <w:szCs w:val="28"/>
        </w:rPr>
      </w:pPr>
    </w:p>
    <w:p>
      <w:pPr>
        <w:rPr>
          <w:rFonts w:asciiTheme="minorEastAsia" w:hAnsiTheme="minorEastAsia" w:eastAsiaTheme="minorEastAsia" w:cstheme="minorEastAsia"/>
          <w:b/>
          <w:bCs/>
          <w:spacing w:val="24"/>
          <w:sz w:val="28"/>
          <w:szCs w:val="28"/>
        </w:rPr>
      </w:pPr>
      <w:r>
        <w:rPr>
          <w:rFonts w:hint="eastAsia" w:asciiTheme="minorEastAsia" w:hAnsiTheme="minorEastAsia" w:eastAsiaTheme="minorEastAsia" w:cstheme="minorEastAsia"/>
          <w:b/>
          <w:bCs/>
          <w:spacing w:val="24"/>
          <w:sz w:val="28"/>
          <w:szCs w:val="28"/>
        </w:rPr>
        <w:br w:type="page"/>
      </w:r>
    </w:p>
    <w:p>
      <w:pPr>
        <w:pStyle w:val="9"/>
        <w:spacing w:line="360" w:lineRule="auto"/>
        <w:ind w:firstLine="0"/>
        <w:jc w:val="center"/>
        <w:outlineLvl w:val="1"/>
        <w:rPr>
          <w:rFonts w:asciiTheme="minorEastAsia" w:hAnsiTheme="minorEastAsia" w:eastAsiaTheme="minorEastAsia" w:cstheme="minorEastAsia"/>
          <w:b/>
          <w:bCs/>
          <w:spacing w:val="24"/>
          <w:sz w:val="28"/>
          <w:szCs w:val="28"/>
        </w:rPr>
      </w:pPr>
      <w:bookmarkStart w:id="46" w:name="_Toc8244"/>
      <w:r>
        <w:rPr>
          <w:rFonts w:hint="eastAsia" w:asciiTheme="minorEastAsia" w:hAnsiTheme="minorEastAsia" w:eastAsiaTheme="minorEastAsia" w:cstheme="minorEastAsia"/>
          <w:b/>
          <w:bCs/>
          <w:spacing w:val="24"/>
          <w:sz w:val="28"/>
          <w:szCs w:val="28"/>
        </w:rPr>
        <w:t>法定代表人授权委托书</w:t>
      </w:r>
      <w:bookmarkEnd w:id="46"/>
    </w:p>
    <w:p>
      <w:pPr>
        <w:spacing w:line="360" w:lineRule="auto"/>
        <w:ind w:firstLine="600" w:firstLineChars="200"/>
        <w:rPr>
          <w:rFonts w:asciiTheme="minorEastAsia" w:hAnsiTheme="minorEastAsia" w:eastAsiaTheme="minorEastAsia" w:cstheme="minorEastAsia"/>
          <w:sz w:val="30"/>
        </w:rPr>
      </w:pP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本授权委托书声明，我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（供应商名称）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为我单位授权代理人，以本单位的名义参加</w:t>
      </w:r>
      <w:r>
        <w:rPr>
          <w:rFonts w:hint="eastAsia" w:asciiTheme="minorEastAsia" w:hAnsiTheme="minorEastAsia" w:eastAsiaTheme="minorEastAsia" w:cstheme="minorEastAsia"/>
          <w:sz w:val="24"/>
          <w:u w:val="single"/>
        </w:rPr>
        <w:t xml:space="preserve">            项目</w:t>
      </w:r>
      <w:r>
        <w:rPr>
          <w:rFonts w:hint="eastAsia" w:asciiTheme="minorEastAsia" w:hAnsiTheme="minorEastAsia" w:eastAsiaTheme="minorEastAsia" w:cstheme="minorEastAsia"/>
          <w:sz w:val="24"/>
        </w:rPr>
        <w:t>的磋商活动。授权代理人在投标、开标、磋商、合同谈判过程中所签署的一切文件和处理与之有关的一切事务，我均予以承认。</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授权代理人无转委托权，特此委托。</w:t>
      </w:r>
    </w:p>
    <w:p>
      <w:pPr>
        <w:spacing w:after="156" w:line="480" w:lineRule="auto"/>
        <w:rPr>
          <w:rFonts w:asciiTheme="minorEastAsia" w:hAnsiTheme="minorEastAsia" w:eastAsiaTheme="minorEastAsia" w:cstheme="minorEastAsia"/>
          <w:b/>
          <w:sz w:val="24"/>
        </w:rPr>
      </w:pPr>
    </w:p>
    <w:p>
      <w:pPr>
        <w:spacing w:line="480" w:lineRule="auto"/>
        <w:ind w:left="2699"/>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授权代理人：</w:t>
      </w:r>
      <w:r>
        <w:rPr>
          <w:rFonts w:hint="eastAsia" w:asciiTheme="minorEastAsia" w:hAnsiTheme="minorEastAsia" w:eastAsiaTheme="minorEastAsia" w:cstheme="minorEastAsia"/>
          <w:sz w:val="24"/>
          <w:u w:val="single"/>
        </w:rPr>
        <w:t xml:space="preserve">                      （签字）   </w:t>
      </w:r>
    </w:p>
    <w:p>
      <w:pPr>
        <w:spacing w:line="480" w:lineRule="auto"/>
        <w:ind w:left="2699"/>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身份证号码：</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480" w:lineRule="auto"/>
        <w:ind w:left="2699"/>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职务：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480" w:lineRule="auto"/>
        <w:ind w:left="269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u w:val="single"/>
        </w:rPr>
        <w:t xml:space="preserve">                              （盖章）</w:t>
      </w:r>
    </w:p>
    <w:p>
      <w:pPr>
        <w:spacing w:line="480"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法定代表人：</w:t>
      </w:r>
      <w:r>
        <w:rPr>
          <w:rFonts w:hint="eastAsia" w:asciiTheme="minorEastAsia" w:hAnsiTheme="minorEastAsia" w:eastAsiaTheme="minorEastAsia" w:cstheme="minorEastAsia"/>
          <w:sz w:val="24"/>
          <w:u w:val="single"/>
        </w:rPr>
        <w:t xml:space="preserve">                 （签名或盖章）</w:t>
      </w:r>
    </w:p>
    <w:p>
      <w:pPr>
        <w:pStyle w:val="9"/>
        <w:spacing w:line="480" w:lineRule="auto"/>
        <w:ind w:firstLine="2774" w:firstLineChars="115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    年   月  日</w:t>
      </w:r>
    </w:p>
    <w:p>
      <w:pPr>
        <w:pStyle w:val="9"/>
        <w:pBdr>
          <w:bottom w:val="single" w:color="auto" w:sz="6" w:space="1"/>
        </w:pBdr>
        <w:spacing w:line="480" w:lineRule="auto"/>
        <w:ind w:firstLine="2774" w:firstLineChars="1156"/>
        <w:rPr>
          <w:rFonts w:asciiTheme="minorEastAsia" w:hAnsiTheme="minorEastAsia" w:eastAsiaTheme="minorEastAsia" w:cstheme="minorEastAsia"/>
          <w:sz w:val="24"/>
          <w:szCs w:val="24"/>
        </w:rPr>
      </w:pPr>
    </w:p>
    <w:p>
      <w:pPr>
        <w:pStyle w:val="9"/>
        <w:spacing w:line="480" w:lineRule="auto"/>
        <w:ind w:firstLine="0"/>
        <w:rPr>
          <w:rFonts w:asciiTheme="minorEastAsia" w:hAnsiTheme="minorEastAsia" w:eastAsiaTheme="minorEastAsia" w:cstheme="minorEastAsia"/>
          <w:sz w:val="24"/>
          <w:szCs w:val="24"/>
        </w:rPr>
      </w:pPr>
    </w:p>
    <w:p>
      <w:pPr>
        <w:pStyle w:val="9"/>
        <w:spacing w:line="48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授权代理人有效身份证明复印件粘贴处</w:t>
      </w:r>
    </w:p>
    <w:p>
      <w:pPr>
        <w:pStyle w:val="9"/>
        <w:spacing w:line="480" w:lineRule="auto"/>
        <w:ind w:firstLine="0"/>
        <w:rPr>
          <w:rFonts w:asciiTheme="minorEastAsia" w:hAnsiTheme="minorEastAsia" w:eastAsiaTheme="minorEastAsia" w:cstheme="minorEastAsia"/>
          <w:sz w:val="24"/>
          <w:szCs w:val="24"/>
        </w:rPr>
      </w:pPr>
    </w:p>
    <w:p>
      <w:pPr>
        <w:snapToGrid w:val="0"/>
        <w:spacing w:before="156" w:beforeLines="50" w:after="50"/>
        <w:jc w:val="center"/>
        <w:rPr>
          <w:rFonts w:asciiTheme="minorEastAsia" w:hAnsiTheme="minorEastAsia" w:eastAsiaTheme="minorEastAsia" w:cstheme="minorEastAsia"/>
          <w:b/>
          <w:szCs w:val="28"/>
        </w:rPr>
      </w:pPr>
    </w:p>
    <w:p>
      <w:pPr>
        <w:spacing w:line="600" w:lineRule="exact"/>
        <w:jc w:val="center"/>
        <w:rPr>
          <w:rFonts w:asciiTheme="minorEastAsia" w:hAnsiTheme="minorEastAsia" w:eastAsiaTheme="minorEastAsia" w:cstheme="minorEastAsia"/>
          <w:b/>
          <w:bCs/>
          <w:spacing w:val="24"/>
          <w:sz w:val="28"/>
          <w:szCs w:val="28"/>
        </w:rPr>
      </w:pPr>
    </w:p>
    <w:p>
      <w:pPr>
        <w:rPr>
          <w:rFonts w:asciiTheme="minorEastAsia" w:hAnsiTheme="minorEastAsia" w:eastAsiaTheme="minorEastAsia" w:cstheme="minorEastAsia"/>
          <w:b/>
          <w:bCs/>
          <w:spacing w:val="24"/>
          <w:sz w:val="28"/>
          <w:szCs w:val="28"/>
        </w:rPr>
      </w:pPr>
      <w:r>
        <w:rPr>
          <w:rFonts w:hint="eastAsia" w:asciiTheme="minorEastAsia" w:hAnsiTheme="minorEastAsia" w:eastAsiaTheme="minorEastAsia" w:cstheme="minorEastAsia"/>
          <w:b/>
          <w:bCs/>
          <w:spacing w:val="24"/>
          <w:sz w:val="28"/>
          <w:szCs w:val="28"/>
        </w:rPr>
        <w:br w:type="page"/>
      </w:r>
    </w:p>
    <w:p>
      <w:pPr>
        <w:spacing w:line="600" w:lineRule="exact"/>
        <w:jc w:val="center"/>
        <w:outlineLvl w:val="1"/>
        <w:rPr>
          <w:rFonts w:asciiTheme="minorEastAsia" w:hAnsiTheme="minorEastAsia" w:eastAsiaTheme="minorEastAsia" w:cstheme="minorEastAsia"/>
          <w:b/>
          <w:bCs/>
          <w:spacing w:val="24"/>
          <w:sz w:val="28"/>
          <w:szCs w:val="28"/>
        </w:rPr>
      </w:pPr>
      <w:bookmarkStart w:id="47" w:name="_Toc2096"/>
      <w:r>
        <w:rPr>
          <w:rFonts w:hint="eastAsia" w:asciiTheme="minorEastAsia" w:hAnsiTheme="minorEastAsia" w:eastAsiaTheme="minorEastAsia" w:cstheme="minorEastAsia"/>
          <w:b/>
          <w:bCs/>
          <w:spacing w:val="24"/>
          <w:sz w:val="28"/>
          <w:szCs w:val="28"/>
        </w:rPr>
        <w:t>信用承诺书</w:t>
      </w:r>
      <w:bookmarkEnd w:id="47"/>
    </w:p>
    <w:p>
      <w:pPr>
        <w:tabs>
          <w:tab w:val="left" w:pos="1650"/>
        </w:tabs>
        <w:spacing w:line="6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（供应商）</w:t>
      </w:r>
      <w:r>
        <w:rPr>
          <w:rFonts w:hint="eastAsia" w:asciiTheme="minorEastAsia" w:hAnsiTheme="minorEastAsia" w:eastAsiaTheme="minorEastAsia" w:cstheme="minorEastAsia"/>
          <w:sz w:val="24"/>
        </w:rPr>
        <w:t>现参加</w:t>
      </w:r>
      <w:r>
        <w:rPr>
          <w:rFonts w:hint="eastAsia" w:asciiTheme="minorEastAsia" w:hAnsiTheme="minorEastAsia" w:eastAsiaTheme="minorEastAsia" w:cstheme="minorEastAsia"/>
          <w:sz w:val="24"/>
          <w:u w:val="single"/>
        </w:rPr>
        <w:t>（采购项目）</w:t>
      </w:r>
      <w:r>
        <w:rPr>
          <w:rFonts w:hint="eastAsia" w:asciiTheme="minorEastAsia" w:hAnsiTheme="minorEastAsia" w:eastAsiaTheme="minorEastAsia" w:cstheme="minorEastAsia"/>
          <w:sz w:val="24"/>
        </w:rPr>
        <w:t>政府采购活动，郑重承诺如下：</w:t>
      </w:r>
    </w:p>
    <w:p>
      <w:pPr>
        <w:tabs>
          <w:tab w:val="left" w:pos="1650"/>
        </w:tabs>
        <w:spacing w:line="640" w:lineRule="exact"/>
        <w:ind w:firstLine="6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1、对所提供的资料合法性、真实性、准确性和有效性负责；</w:t>
      </w:r>
    </w:p>
    <w:p>
      <w:pPr>
        <w:tabs>
          <w:tab w:val="left" w:pos="1650"/>
        </w:tabs>
        <w:spacing w:line="640" w:lineRule="exact"/>
        <w:ind w:firstLine="6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2、严格按照国家法律、法规和规章，依法开展相关经济活动，全面履行应尽的责任和义务；</w:t>
      </w:r>
    </w:p>
    <w:p>
      <w:pPr>
        <w:tabs>
          <w:tab w:val="left" w:pos="1650"/>
        </w:tabs>
        <w:spacing w:line="640" w:lineRule="exact"/>
        <w:ind w:firstLine="6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3、加强自我约束、自我规范、自我管理，不制假售假、不虚假宣传、不违约毁约、不恶意逃债、不偷税漏税，诚信依法经营；</w:t>
      </w:r>
    </w:p>
    <w:p>
      <w:pPr>
        <w:tabs>
          <w:tab w:val="left" w:pos="1650"/>
        </w:tabs>
        <w:spacing w:line="640" w:lineRule="exact"/>
        <w:ind w:firstLine="6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asciiTheme="minorEastAsia" w:hAnsiTheme="minorEastAsia" w:eastAsiaTheme="minorEastAsia" w:cstheme="minorEastAsia"/>
          <w:sz w:val="24"/>
          <w:u w:val="single"/>
        </w:rPr>
      </w:pPr>
    </w:p>
    <w:p>
      <w:pPr>
        <w:tabs>
          <w:tab w:val="left" w:pos="1650"/>
        </w:tabs>
        <w:spacing w:line="640" w:lineRule="exact"/>
        <w:rPr>
          <w:rFonts w:asciiTheme="minorEastAsia" w:hAnsiTheme="minorEastAsia" w:eastAsiaTheme="minorEastAsia" w:cstheme="minorEastAsia"/>
          <w:sz w:val="24"/>
          <w:u w:val="single"/>
        </w:rPr>
      </w:pPr>
    </w:p>
    <w:p>
      <w:pPr>
        <w:pStyle w:val="28"/>
        <w:spacing w:before="0" w:beforeAutospacing="0" w:after="0" w:afterAutospacing="0" w:line="640" w:lineRule="exact"/>
        <w:ind w:firstLine="600" w:firstLineChars="250"/>
        <w:rPr>
          <w:rFonts w:asciiTheme="minorEastAsia" w:hAnsiTheme="minorEastAsia" w:eastAsiaTheme="minorEastAsia" w:cstheme="minorEastAsia"/>
          <w:spacing w:val="-7"/>
        </w:rPr>
      </w:pPr>
      <w:r>
        <w:rPr>
          <w:rFonts w:hint="eastAsia" w:asciiTheme="minorEastAsia" w:hAnsiTheme="minorEastAsia" w:eastAsiaTheme="minorEastAsia" w:cstheme="minorEastAsia"/>
          <w:kern w:val="2"/>
        </w:rPr>
        <w:t>统一社会信用代码：</w:t>
      </w:r>
    </w:p>
    <w:p>
      <w:pPr>
        <w:pStyle w:val="28"/>
        <w:spacing w:before="0" w:beforeAutospacing="0" w:after="0" w:afterAutospacing="0" w:line="640" w:lineRule="exact"/>
        <w:rPr>
          <w:rFonts w:asciiTheme="minorEastAsia" w:hAnsiTheme="minorEastAsia" w:eastAsiaTheme="minorEastAsia" w:cstheme="minorEastAsia"/>
        </w:rPr>
      </w:pPr>
    </w:p>
    <w:p>
      <w:pPr>
        <w:pStyle w:val="28"/>
        <w:spacing w:before="0" w:beforeAutospacing="0" w:after="0" w:afterAutospacing="0" w:line="640" w:lineRule="exact"/>
        <w:rPr>
          <w:rFonts w:asciiTheme="minorEastAsia" w:hAnsiTheme="minorEastAsia" w:eastAsiaTheme="minorEastAsia" w:cstheme="minorEastAsia"/>
        </w:rPr>
      </w:pPr>
    </w:p>
    <w:p>
      <w:pPr>
        <w:pStyle w:val="28"/>
        <w:spacing w:before="0" w:beforeAutospacing="0" w:after="0" w:afterAutospacing="0" w:line="640" w:lineRule="exact"/>
        <w:ind w:firstLine="3240" w:firstLineChars="1350"/>
        <w:jc w:val="right"/>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承诺单位/个人：（盖章/签名）</w:t>
      </w:r>
    </w:p>
    <w:p>
      <w:pPr>
        <w:spacing w:line="640" w:lineRule="exact"/>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时   间：  年  月  日</w:t>
      </w:r>
    </w:p>
    <w:p>
      <w:pPr>
        <w:pStyle w:val="9"/>
        <w:spacing w:line="600" w:lineRule="exact"/>
        <w:ind w:firstLine="0"/>
        <w:jc w:val="center"/>
        <w:rPr>
          <w:rFonts w:asciiTheme="minorEastAsia" w:hAnsiTheme="minorEastAsia" w:eastAsiaTheme="minorEastAsia" w:cstheme="minorEastAsia"/>
          <w:sz w:val="24"/>
          <w:szCs w:val="24"/>
        </w:rPr>
      </w:pPr>
    </w:p>
    <w:p>
      <w:pPr>
        <w:spacing w:line="360" w:lineRule="auto"/>
        <w:jc w:val="center"/>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4"/>
          <w:sz w:val="28"/>
          <w:szCs w:val="28"/>
        </w:rPr>
        <w:br w:type="page"/>
      </w:r>
      <w:r>
        <w:rPr>
          <w:rFonts w:asciiTheme="minorEastAsia" w:hAnsiTheme="minorEastAsia" w:eastAsiaTheme="minorEastAsia" w:cstheme="minorEastAsia"/>
          <w:b/>
          <w:szCs w:val="28"/>
        </w:rPr>
        <w:t xml:space="preserve"> </w:t>
      </w:r>
      <w:bookmarkStart w:id="48" w:name="_Toc11124"/>
      <w:r>
        <w:rPr>
          <w:rFonts w:hint="eastAsia" w:asciiTheme="minorEastAsia" w:hAnsiTheme="minorEastAsia" w:eastAsiaTheme="minorEastAsia" w:cstheme="minorEastAsia"/>
          <w:b/>
          <w:bCs/>
          <w:sz w:val="28"/>
          <w:szCs w:val="28"/>
        </w:rPr>
        <w:t>供应商自评分索引表</w:t>
      </w:r>
      <w:bookmarkEnd w:id="48"/>
    </w:p>
    <w:p>
      <w:pPr>
        <w:snapToGrid w:val="0"/>
        <w:spacing w:before="50"/>
        <w:jc w:val="center"/>
        <w:rPr>
          <w:rFonts w:asciiTheme="minorEastAsia" w:hAnsiTheme="minorEastAsia" w:eastAsiaTheme="minorEastAsia" w:cstheme="minorEastAsia"/>
          <w:b/>
          <w:szCs w:val="28"/>
        </w:rPr>
      </w:pPr>
    </w:p>
    <w:p>
      <w:pPr>
        <w:pStyle w:val="1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p>
    <w:p>
      <w:pPr>
        <w:pStyle w:val="1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2022-2023年度环渚街道幸福邻里中心运营社会组织采购项目 </w:t>
      </w:r>
    </w:p>
    <w:tbl>
      <w:tblPr>
        <w:tblStyle w:val="22"/>
        <w:tblW w:w="89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3"/>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评分项目</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响应文件对应资料</w:t>
            </w: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自评分</w:t>
            </w: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对应第六章评分办法及评分标准（报价除外）</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sz w:val="24"/>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asciiTheme="minorEastAsia" w:hAnsiTheme="minorEastAsia" w:eastAsiaTheme="minorEastAsia" w:cstheme="minorEastAsia"/>
                <w:sz w:val="24"/>
              </w:rPr>
            </w:pPr>
          </w:p>
        </w:tc>
      </w:tr>
    </w:tbl>
    <w:p>
      <w:pPr>
        <w:snapToGrid w:val="0"/>
        <w:spacing w:line="460" w:lineRule="exact"/>
        <w:ind w:firstLine="4480" w:firstLineChars="1600"/>
        <w:rPr>
          <w:rFonts w:ascii="宋体" w:hAnsi="宋体"/>
          <w:spacing w:val="20"/>
          <w:sz w:val="24"/>
        </w:rPr>
      </w:pPr>
    </w:p>
    <w:p>
      <w:pPr>
        <w:snapToGrid w:val="0"/>
        <w:spacing w:line="460" w:lineRule="exact"/>
        <w:ind w:firstLine="4480" w:firstLineChars="1600"/>
        <w:rPr>
          <w:rFonts w:asciiTheme="minorEastAsia" w:hAnsiTheme="minorEastAsia" w:eastAsiaTheme="minorEastAsia" w:cstheme="minorEastAsia"/>
          <w:sz w:val="24"/>
        </w:rPr>
      </w:pPr>
      <w:r>
        <w:rPr>
          <w:rFonts w:hint="eastAsia" w:ascii="宋体" w:hAnsi="宋体"/>
          <w:spacing w:val="20"/>
          <w:sz w:val="24"/>
        </w:rPr>
        <w:t>供应商盖章：</w:t>
      </w:r>
      <w:r>
        <w:rPr>
          <w:rFonts w:ascii="宋体" w:hAnsi="宋体"/>
          <w:spacing w:val="20"/>
          <w:sz w:val="24"/>
          <w:u w:val="single"/>
        </w:rPr>
        <w:t xml:space="preserve">            </w:t>
      </w:r>
    </w:p>
    <w:p>
      <w:pPr>
        <w:snapToGrid w:val="0"/>
        <w:spacing w:line="460" w:lineRule="exact"/>
        <w:ind w:firstLine="1680" w:firstLineChars="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法定代表人或其授权代理人（签字或盖章）：</w:t>
      </w:r>
    </w:p>
    <w:p>
      <w:pPr>
        <w:snapToGrid w:val="0"/>
        <w:spacing w:line="46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4"/>
        </w:rPr>
        <w:t xml:space="preserve">                         日期：    年  月   日</w:t>
      </w:r>
    </w:p>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br w:type="page"/>
      </w:r>
    </w:p>
    <w:p>
      <w:pPr>
        <w:snapToGrid w:val="0"/>
        <w:spacing w:before="50" w:after="50"/>
        <w:jc w:val="center"/>
        <w:outlineLvl w:val="1"/>
        <w:rPr>
          <w:rFonts w:asciiTheme="minorEastAsia" w:hAnsiTheme="minorEastAsia" w:eastAsiaTheme="minorEastAsia" w:cstheme="minorEastAsia"/>
          <w:b/>
          <w:bCs/>
          <w:sz w:val="28"/>
          <w:szCs w:val="28"/>
        </w:rPr>
      </w:pPr>
      <w:bookmarkStart w:id="49" w:name="_Toc11878"/>
      <w:r>
        <w:rPr>
          <w:rFonts w:hint="eastAsia" w:asciiTheme="minorEastAsia" w:hAnsiTheme="minorEastAsia" w:eastAsiaTheme="minorEastAsia" w:cstheme="minorEastAsia"/>
          <w:b/>
          <w:bCs/>
          <w:sz w:val="28"/>
          <w:szCs w:val="28"/>
        </w:rPr>
        <w:t>人员配备表</w:t>
      </w:r>
      <w:bookmarkEnd w:id="49"/>
    </w:p>
    <w:p>
      <w:pPr>
        <w:pStyle w:val="1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p>
    <w:p>
      <w:pPr>
        <w:pStyle w:val="12"/>
        <w:spacing w:line="360" w:lineRule="auto"/>
        <w:ind w:firstLine="482"/>
        <w:rPr>
          <w:rFonts w:ascii="宋体" w:hAnsi="宋体"/>
          <w:sz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2022-2023年度环渚街道幸福邻里中心运营社会组织采购项目 </w:t>
      </w:r>
      <w:r>
        <w:rPr>
          <w:rFonts w:hint="eastAsia" w:asciiTheme="minorEastAsia" w:hAnsiTheme="minorEastAsia" w:eastAsiaTheme="minorEastAsia" w:cstheme="minorEastAsia"/>
          <w:sz w:val="24"/>
          <w:szCs w:val="24"/>
        </w:rPr>
        <w:t xml:space="preserve">  </w:t>
      </w:r>
      <w:r>
        <w:rPr>
          <w:rFonts w:hint="eastAsia" w:ascii="宋体" w:hAnsi="宋体"/>
          <w:sz w:val="24"/>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3"/>
        <w:gridCol w:w="1116"/>
        <w:gridCol w:w="1957"/>
        <w:gridCol w:w="1640"/>
        <w:gridCol w:w="1656"/>
        <w:gridCol w:w="17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szCs w:val="21"/>
              </w:rPr>
            </w:pPr>
            <w:r>
              <w:rPr>
                <w:rFonts w:hint="eastAsia" w:ascii="宋体" w:hAnsi="宋体" w:cs="宋体"/>
                <w:sz w:val="24"/>
                <w:szCs w:val="21"/>
              </w:rPr>
              <w:t>姓名</w:t>
            </w:r>
          </w:p>
        </w:tc>
        <w:tc>
          <w:tcPr>
            <w:tcW w:w="111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szCs w:val="21"/>
              </w:rPr>
            </w:pPr>
            <w:r>
              <w:rPr>
                <w:rFonts w:hint="eastAsia" w:ascii="宋体" w:hAnsi="宋体" w:cs="宋体"/>
                <w:sz w:val="24"/>
                <w:szCs w:val="21"/>
              </w:rPr>
              <w:t>职位</w:t>
            </w:r>
          </w:p>
        </w:tc>
        <w:tc>
          <w:tcPr>
            <w:tcW w:w="195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szCs w:val="21"/>
              </w:rPr>
            </w:pPr>
            <w:r>
              <w:rPr>
                <w:rFonts w:hint="eastAsia" w:ascii="宋体" w:hAnsi="宋体" w:cs="宋体"/>
                <w:sz w:val="24"/>
                <w:szCs w:val="21"/>
              </w:rPr>
              <w:t>持何种</w:t>
            </w:r>
          </w:p>
          <w:p>
            <w:pPr>
              <w:spacing w:line="0" w:lineRule="atLeast"/>
              <w:jc w:val="center"/>
              <w:rPr>
                <w:rFonts w:ascii="宋体" w:hAnsi="宋体" w:cs="宋体"/>
                <w:sz w:val="24"/>
                <w:szCs w:val="21"/>
              </w:rPr>
            </w:pPr>
            <w:r>
              <w:rPr>
                <w:rFonts w:hint="eastAsia" w:ascii="宋体" w:hAnsi="宋体" w:cs="宋体"/>
                <w:sz w:val="24"/>
                <w:szCs w:val="21"/>
              </w:rPr>
              <w:t>资格证件</w:t>
            </w:r>
          </w:p>
        </w:tc>
        <w:tc>
          <w:tcPr>
            <w:tcW w:w="16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szCs w:val="21"/>
              </w:rPr>
            </w:pPr>
            <w:r>
              <w:rPr>
                <w:rFonts w:hint="eastAsia" w:ascii="宋体" w:hAnsi="宋体" w:cs="宋体"/>
                <w:sz w:val="24"/>
                <w:szCs w:val="21"/>
              </w:rPr>
              <w:t>发证</w:t>
            </w:r>
          </w:p>
          <w:p>
            <w:pPr>
              <w:spacing w:line="0" w:lineRule="atLeast"/>
              <w:jc w:val="center"/>
              <w:rPr>
                <w:rFonts w:ascii="宋体" w:hAnsi="宋体" w:cs="宋体"/>
                <w:sz w:val="24"/>
                <w:szCs w:val="21"/>
              </w:rPr>
            </w:pPr>
            <w:r>
              <w:rPr>
                <w:rFonts w:hint="eastAsia" w:ascii="宋体" w:hAnsi="宋体" w:cs="宋体"/>
                <w:sz w:val="24"/>
                <w:szCs w:val="21"/>
              </w:rPr>
              <w:t>时间</w:t>
            </w:r>
          </w:p>
        </w:tc>
        <w:tc>
          <w:tcPr>
            <w:tcW w:w="165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szCs w:val="21"/>
              </w:rPr>
            </w:pPr>
            <w:r>
              <w:rPr>
                <w:rFonts w:hint="eastAsia" w:ascii="宋体" w:hAnsi="宋体" w:cs="宋体"/>
                <w:sz w:val="24"/>
                <w:szCs w:val="21"/>
              </w:rPr>
              <w:t>从事本</w:t>
            </w:r>
          </w:p>
          <w:p>
            <w:pPr>
              <w:spacing w:line="0" w:lineRule="atLeast"/>
              <w:jc w:val="center"/>
              <w:rPr>
                <w:rFonts w:ascii="宋体" w:hAnsi="宋体" w:cs="宋体"/>
                <w:sz w:val="24"/>
                <w:szCs w:val="21"/>
              </w:rPr>
            </w:pPr>
            <w:r>
              <w:rPr>
                <w:rFonts w:hint="eastAsia" w:ascii="宋体" w:hAnsi="宋体" w:cs="宋体"/>
                <w:sz w:val="24"/>
                <w:szCs w:val="21"/>
              </w:rPr>
              <w:t>工作时间</w:t>
            </w:r>
          </w:p>
        </w:tc>
        <w:tc>
          <w:tcPr>
            <w:tcW w:w="17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szCs w:val="21"/>
              </w:rPr>
            </w:pPr>
            <w:r>
              <w:rPr>
                <w:rFonts w:hint="eastAsia" w:ascii="宋体" w:hAnsi="宋体" w:cs="宋体"/>
                <w:sz w:val="24"/>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szCs w:val="21"/>
              </w:rPr>
            </w:pPr>
          </w:p>
        </w:tc>
      </w:tr>
    </w:tbl>
    <w:p>
      <w:pPr>
        <w:snapToGrid w:val="0"/>
        <w:spacing w:before="50" w:after="50"/>
        <w:rPr>
          <w:rFonts w:ascii="宋体" w:hAnsi="宋体"/>
          <w:b/>
          <w:bCs/>
          <w:spacing w:val="20"/>
          <w:szCs w:val="21"/>
        </w:rPr>
      </w:pPr>
      <w:r>
        <w:rPr>
          <w:rFonts w:hint="eastAsia" w:ascii="宋体" w:hAnsi="宋体"/>
          <w:b/>
          <w:bCs/>
          <w:spacing w:val="20"/>
          <w:szCs w:val="21"/>
        </w:rPr>
        <w:t>注：1.须提供证书复印件等相关证明材料。</w:t>
      </w:r>
    </w:p>
    <w:p>
      <w:pPr>
        <w:spacing w:line="460" w:lineRule="exact"/>
        <w:rPr>
          <w:rFonts w:ascii="宋体" w:hAnsi="宋体" w:cs="宋体"/>
          <w:bCs/>
          <w:sz w:val="24"/>
        </w:rPr>
      </w:pPr>
      <w:r>
        <w:rPr>
          <w:rFonts w:hint="eastAsia" w:ascii="宋体" w:hAnsi="宋体" w:cs="宋体"/>
          <w:sz w:val="24"/>
        </w:rPr>
        <w:t>2.此表仅提供了表格形式，供应商应根据需要准备足够数量的表格来填写。</w:t>
      </w:r>
    </w:p>
    <w:p>
      <w:pPr>
        <w:pStyle w:val="4"/>
        <w:tabs>
          <w:tab w:val="left" w:pos="3420"/>
        </w:tabs>
        <w:rPr>
          <w:spacing w:val="20"/>
          <w:sz w:val="24"/>
        </w:rPr>
      </w:pPr>
    </w:p>
    <w:p>
      <w:pPr>
        <w:snapToGrid w:val="0"/>
        <w:spacing w:before="50" w:after="50"/>
        <w:ind w:firstLine="4200" w:firstLineChars="1500"/>
        <w:rPr>
          <w:rFonts w:ascii="宋体" w:hAnsi="宋体"/>
          <w:spacing w:val="20"/>
          <w:sz w:val="24"/>
          <w:szCs w:val="20"/>
          <w:u w:val="single"/>
        </w:rPr>
      </w:pPr>
    </w:p>
    <w:p>
      <w:pPr>
        <w:snapToGrid w:val="0"/>
        <w:spacing w:line="460" w:lineRule="exact"/>
        <w:ind w:firstLine="4480" w:firstLineChars="1600"/>
        <w:rPr>
          <w:rFonts w:asciiTheme="minorEastAsia" w:hAnsiTheme="minorEastAsia" w:eastAsiaTheme="minorEastAsia" w:cstheme="minorEastAsia"/>
          <w:sz w:val="24"/>
        </w:rPr>
      </w:pPr>
      <w:r>
        <w:rPr>
          <w:rFonts w:hint="eastAsia" w:ascii="宋体" w:hAnsi="宋体"/>
          <w:spacing w:val="20"/>
          <w:sz w:val="24"/>
        </w:rPr>
        <w:t>供应商盖章：</w:t>
      </w:r>
      <w:r>
        <w:rPr>
          <w:rFonts w:ascii="宋体" w:hAnsi="宋体"/>
          <w:spacing w:val="20"/>
          <w:sz w:val="24"/>
          <w:u w:val="single"/>
        </w:rPr>
        <w:t xml:space="preserve">            </w:t>
      </w:r>
    </w:p>
    <w:p>
      <w:pPr>
        <w:snapToGrid w:val="0"/>
        <w:spacing w:line="460" w:lineRule="exact"/>
        <w:ind w:firstLine="1680" w:firstLineChars="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法定代表人或其授权代理人（签字或盖章）：</w:t>
      </w:r>
    </w:p>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4"/>
        </w:rPr>
        <w:t xml:space="preserve">                                      日期：    年  月   日</w:t>
      </w:r>
      <w:r>
        <w:rPr>
          <w:rFonts w:hint="eastAsia" w:asciiTheme="minorEastAsia" w:hAnsiTheme="minorEastAsia" w:eastAsiaTheme="minorEastAsia" w:cstheme="minorEastAsia"/>
          <w:b/>
          <w:bCs/>
          <w:spacing w:val="24"/>
          <w:sz w:val="28"/>
          <w:szCs w:val="28"/>
        </w:rPr>
        <w:br w:type="page"/>
      </w:r>
    </w:p>
    <w:p>
      <w:pPr>
        <w:spacing w:line="560" w:lineRule="exact"/>
        <w:jc w:val="center"/>
        <w:outlineLvl w:val="1"/>
        <w:rPr>
          <w:rFonts w:asciiTheme="minorEastAsia" w:hAnsiTheme="minorEastAsia" w:eastAsiaTheme="minorEastAsia" w:cstheme="minorEastAsia"/>
          <w:b/>
          <w:sz w:val="28"/>
          <w:szCs w:val="28"/>
        </w:rPr>
      </w:pPr>
      <w:bookmarkStart w:id="50" w:name="_Toc15740"/>
      <w:r>
        <w:rPr>
          <w:rFonts w:hint="eastAsia" w:asciiTheme="minorEastAsia" w:hAnsiTheme="minorEastAsia" w:eastAsiaTheme="minorEastAsia" w:cstheme="minorEastAsia"/>
          <w:b/>
          <w:sz w:val="28"/>
          <w:szCs w:val="28"/>
        </w:rPr>
        <w:t>商务响应表</w:t>
      </w:r>
      <w:bookmarkEnd w:id="50"/>
    </w:p>
    <w:p>
      <w:pPr>
        <w:pStyle w:val="12"/>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p>
    <w:p>
      <w:pPr>
        <w:pStyle w:val="6"/>
        <w:spacing w:line="460" w:lineRule="exact"/>
        <w:ind w:firstLine="42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项目名称：</w:t>
      </w:r>
      <w:r>
        <w:rPr>
          <w:rFonts w:hint="eastAsia" w:asciiTheme="minorEastAsia" w:hAnsiTheme="minorEastAsia" w:eastAsiaTheme="minorEastAsia" w:cstheme="minorEastAsia"/>
          <w:color w:val="auto"/>
          <w:u w:val="single"/>
        </w:rPr>
        <w:t xml:space="preserve">2022-2023年度环渚街道幸福邻里中心运营社会组织采购项目 </w:t>
      </w:r>
      <w:r>
        <w:rPr>
          <w:rFonts w:hint="eastAsia" w:asciiTheme="minorEastAsia" w:hAnsiTheme="minorEastAsia" w:eastAsiaTheme="minorEastAsia" w:cstheme="minorEastAsia"/>
          <w:color w:val="auto"/>
        </w:rPr>
        <w:t xml:space="preserve">         </w:t>
      </w:r>
    </w:p>
    <w:tbl>
      <w:tblPr>
        <w:tblStyle w:val="22"/>
        <w:tblW w:w="89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04"/>
        <w:gridCol w:w="3137"/>
        <w:gridCol w:w="1612"/>
        <w:gridCol w:w="1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3" w:hRule="atLeast"/>
          <w:jc w:val="center"/>
        </w:trPr>
        <w:tc>
          <w:tcPr>
            <w:tcW w:w="27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 w:val="24"/>
              </w:rPr>
            </w:pPr>
            <w:r>
              <w:rPr>
                <w:rFonts w:hint="eastAsia" w:ascii="宋体" w:hAnsi="宋体" w:cs="宋体"/>
                <w:sz w:val="24"/>
              </w:rPr>
              <w:t>项目</w:t>
            </w:r>
          </w:p>
        </w:tc>
        <w:tc>
          <w:tcPr>
            <w:tcW w:w="31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 w:val="24"/>
              </w:rPr>
            </w:pPr>
            <w:r>
              <w:rPr>
                <w:rFonts w:hint="eastAsia" w:ascii="宋体" w:hAnsi="宋体" w:cs="宋体"/>
                <w:sz w:val="24"/>
              </w:rPr>
              <w:t>招标文件要求</w:t>
            </w: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 w:val="24"/>
              </w:rPr>
            </w:pPr>
            <w:r>
              <w:rPr>
                <w:rFonts w:hint="eastAsia" w:ascii="宋体" w:hAnsi="宋体" w:cs="宋体"/>
                <w:sz w:val="24"/>
              </w:rPr>
              <w:t>是否</w:t>
            </w:r>
          </w:p>
          <w:p>
            <w:pPr>
              <w:snapToGrid w:val="0"/>
              <w:spacing w:before="156" w:beforeLines="50"/>
              <w:jc w:val="center"/>
              <w:rPr>
                <w:rFonts w:ascii="宋体" w:hAnsi="宋体" w:cs="宋体"/>
                <w:sz w:val="24"/>
              </w:rPr>
            </w:pPr>
            <w:r>
              <w:rPr>
                <w:rFonts w:hint="eastAsia" w:ascii="宋体" w:hAnsi="宋体" w:cs="宋体"/>
                <w:sz w:val="24"/>
              </w:rPr>
              <w:t>响应</w:t>
            </w: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sz w:val="24"/>
              </w:rPr>
            </w:pPr>
            <w:r>
              <w:rPr>
                <w:rFonts w:hint="eastAsia" w:ascii="宋体" w:hAnsi="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服务期</w:t>
            </w:r>
          </w:p>
        </w:tc>
        <w:tc>
          <w:tcPr>
            <w:tcW w:w="31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服务地点</w:t>
            </w:r>
          </w:p>
        </w:tc>
        <w:tc>
          <w:tcPr>
            <w:tcW w:w="31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rPr>
                <w:rFonts w:ascii="宋体" w:hAnsi="宋体" w:cs="宋体"/>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付款方式</w:t>
            </w:r>
          </w:p>
        </w:tc>
        <w:tc>
          <w:tcPr>
            <w:tcW w:w="31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rPr>
                <w:rFonts w:ascii="宋体" w:hAnsi="宋体" w:cs="宋体"/>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704" w:type="dxa"/>
            <w:tcBorders>
              <w:top w:val="single" w:color="auto" w:sz="4" w:space="0"/>
              <w:left w:val="single" w:color="auto" w:sz="4" w:space="0"/>
              <w:bottom w:val="single" w:color="auto" w:sz="4" w:space="0"/>
              <w:right w:val="single" w:color="auto" w:sz="4" w:space="0"/>
            </w:tcBorders>
            <w:vAlign w:val="center"/>
          </w:tcPr>
          <w:p>
            <w:pPr>
              <w:pStyle w:val="31"/>
              <w:kinsoku w:val="0"/>
              <w:overflowPunct w:val="0"/>
              <w:snapToGrid w:val="0"/>
              <w:spacing w:line="400" w:lineRule="exact"/>
              <w:ind w:right="102"/>
              <w:jc w:val="center"/>
              <w:rPr>
                <w:rFonts w:ascii="宋体" w:hAnsi="宋体" w:cs="宋体"/>
                <w:sz w:val="24"/>
              </w:rPr>
            </w:pPr>
            <w:r>
              <w:rPr>
                <w:rFonts w:ascii="Arial" w:hAnsi="Arial" w:cs="Arial"/>
                <w:sz w:val="24"/>
              </w:rPr>
              <w:t>……</w:t>
            </w:r>
          </w:p>
        </w:tc>
        <w:tc>
          <w:tcPr>
            <w:tcW w:w="31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FF0000"/>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sz w:val="24"/>
                <w:highlight w:val="yellow"/>
              </w:rPr>
            </w:pP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sz w:val="24"/>
                <w:highlight w:val="yellow"/>
              </w:rPr>
            </w:pPr>
          </w:p>
        </w:tc>
      </w:tr>
    </w:tbl>
    <w:p>
      <w:pPr>
        <w:spacing w:line="560" w:lineRule="exact"/>
        <w:rPr>
          <w:rFonts w:ascii="宋体" w:hAnsi="宋体" w:cs="宋体"/>
          <w:b/>
          <w:sz w:val="22"/>
          <w:szCs w:val="22"/>
        </w:rPr>
      </w:pPr>
      <w:r>
        <w:rPr>
          <w:rFonts w:hint="eastAsia" w:ascii="宋体" w:hAnsi="宋体" w:cs="宋体"/>
          <w:b/>
          <w:sz w:val="22"/>
          <w:szCs w:val="22"/>
        </w:rPr>
        <w:t>注：本表格</w:t>
      </w:r>
      <w:r>
        <w:rPr>
          <w:rFonts w:hint="eastAsia" w:ascii="宋体" w:hAnsi="宋体" w:cs="宋体"/>
          <w:b/>
          <w:bCs/>
          <w:sz w:val="22"/>
          <w:szCs w:val="22"/>
        </w:rPr>
        <w:t>不填写视同完全响应招标文件要求，</w:t>
      </w:r>
      <w:r>
        <w:rPr>
          <w:rFonts w:hint="eastAsia" w:ascii="宋体" w:hAnsi="宋体" w:cs="宋体"/>
          <w:b/>
          <w:sz w:val="22"/>
          <w:szCs w:val="22"/>
        </w:rPr>
        <w:t>此表可在不改变格式的情况下自行制作。</w:t>
      </w:r>
    </w:p>
    <w:p>
      <w:pPr>
        <w:snapToGrid w:val="0"/>
        <w:spacing w:line="360" w:lineRule="auto"/>
        <w:ind w:firstLine="4200" w:firstLineChars="1500"/>
        <w:rPr>
          <w:rFonts w:ascii="宋体" w:hAnsi="宋体"/>
          <w:spacing w:val="20"/>
          <w:sz w:val="24"/>
        </w:rPr>
      </w:pPr>
    </w:p>
    <w:p>
      <w:pPr>
        <w:snapToGrid w:val="0"/>
        <w:spacing w:line="460" w:lineRule="exact"/>
        <w:ind w:firstLine="4480" w:firstLineChars="1600"/>
        <w:rPr>
          <w:rFonts w:asciiTheme="minorEastAsia" w:hAnsiTheme="minorEastAsia" w:eastAsiaTheme="minorEastAsia" w:cstheme="minorEastAsia"/>
          <w:sz w:val="24"/>
        </w:rPr>
      </w:pPr>
      <w:r>
        <w:rPr>
          <w:rFonts w:hint="eastAsia" w:ascii="宋体" w:hAnsi="宋体"/>
          <w:spacing w:val="20"/>
          <w:sz w:val="24"/>
        </w:rPr>
        <w:t>供应商盖章：</w:t>
      </w:r>
      <w:r>
        <w:rPr>
          <w:rFonts w:ascii="宋体" w:hAnsi="宋体"/>
          <w:spacing w:val="20"/>
          <w:sz w:val="24"/>
          <w:u w:val="single"/>
        </w:rPr>
        <w:t xml:space="preserve">            </w:t>
      </w:r>
    </w:p>
    <w:p>
      <w:pPr>
        <w:snapToGrid w:val="0"/>
        <w:spacing w:line="460" w:lineRule="exact"/>
        <w:ind w:firstLine="1680" w:firstLineChars="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法定代表人或其授权代理人（签字或盖章）：</w:t>
      </w:r>
    </w:p>
    <w:p>
      <w:pPr>
        <w:snapToGrid w:val="0"/>
        <w:spacing w:before="50" w:after="156" w:afterLines="5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 xml:space="preserve">                                      日期：    年  月   日</w:t>
      </w:r>
    </w:p>
    <w:p>
      <w:pPr>
        <w:snapToGrid w:val="0"/>
        <w:spacing w:before="50" w:after="156" w:afterLines="50"/>
        <w:jc w:val="left"/>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pStyle w:val="4"/>
        <w:rPr>
          <w:rFonts w:asciiTheme="minorEastAsia" w:hAnsiTheme="minorEastAsia" w:eastAsiaTheme="minorEastAsia" w:cstheme="minorEastAsia"/>
          <w:b/>
          <w:sz w:val="24"/>
        </w:rPr>
      </w:pPr>
    </w:p>
    <w:p/>
    <w:p>
      <w:pPr>
        <w:widowControl/>
        <w:jc w:val="left"/>
        <w:rPr>
          <w:rFonts w:asciiTheme="minorEastAsia" w:hAnsiTheme="minorEastAsia" w:eastAsiaTheme="minorEastAsia" w:cstheme="minorEastAsia"/>
          <w:b/>
          <w:bCs/>
          <w:spacing w:val="24"/>
          <w:sz w:val="28"/>
          <w:szCs w:val="28"/>
        </w:rPr>
      </w:pPr>
      <w:bookmarkStart w:id="51" w:name="_Toc743"/>
      <w:r>
        <w:rPr>
          <w:rFonts w:asciiTheme="minorEastAsia" w:hAnsiTheme="minorEastAsia" w:eastAsiaTheme="minorEastAsia" w:cstheme="minorEastAsia"/>
          <w:b/>
          <w:bCs/>
          <w:spacing w:val="24"/>
          <w:sz w:val="28"/>
          <w:szCs w:val="28"/>
        </w:rPr>
        <w:br w:type="page"/>
      </w:r>
    </w:p>
    <w:p>
      <w:pPr>
        <w:spacing w:line="600" w:lineRule="exact"/>
        <w:jc w:val="center"/>
        <w:outlineLvl w:val="1"/>
        <w:rPr>
          <w:rFonts w:asciiTheme="minorEastAsia" w:hAnsiTheme="minorEastAsia" w:eastAsiaTheme="minorEastAsia" w:cstheme="minorEastAsia"/>
          <w:b/>
          <w:szCs w:val="28"/>
        </w:rPr>
      </w:pPr>
      <w:r>
        <w:rPr>
          <w:rFonts w:hint="eastAsia" w:asciiTheme="minorEastAsia" w:hAnsiTheme="minorEastAsia" w:eastAsiaTheme="minorEastAsia" w:cstheme="minorEastAsia"/>
          <w:b/>
          <w:bCs/>
          <w:spacing w:val="24"/>
          <w:sz w:val="28"/>
          <w:szCs w:val="28"/>
        </w:rPr>
        <w:t>企业业绩</w:t>
      </w:r>
      <w:bookmarkEnd w:id="51"/>
    </w:p>
    <w:p>
      <w:pPr>
        <w:spacing w:line="6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p>
      <w:pPr>
        <w:spacing w:line="6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2022-2023年度环渚街道幸福邻里中心运营社会组织采购项目</w:t>
      </w:r>
      <w:r>
        <w:rPr>
          <w:rFonts w:hint="eastAsia" w:asciiTheme="minorEastAsia" w:hAnsiTheme="minorEastAsia" w:eastAsiaTheme="minorEastAsia" w:cstheme="minorEastAsia"/>
          <w:sz w:val="24"/>
        </w:rPr>
        <w:t xml:space="preserve"> </w:t>
      </w:r>
    </w:p>
    <w:tbl>
      <w:tblPr>
        <w:tblStyle w:val="2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330"/>
        <w:gridCol w:w="1632"/>
        <w:gridCol w:w="1632"/>
        <w:gridCol w:w="2235"/>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序号</w:t>
            </w:r>
          </w:p>
        </w:tc>
        <w:tc>
          <w:tcPr>
            <w:tcW w:w="1330" w:type="dxa"/>
            <w:noWrap/>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项目名称</w:t>
            </w:r>
          </w:p>
        </w:tc>
        <w:tc>
          <w:tcPr>
            <w:tcW w:w="1632" w:type="dxa"/>
            <w:noWrap/>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使用方</w:t>
            </w:r>
          </w:p>
        </w:tc>
        <w:tc>
          <w:tcPr>
            <w:tcW w:w="1632" w:type="dxa"/>
            <w:noWrap/>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签订时间</w:t>
            </w:r>
          </w:p>
        </w:tc>
        <w:tc>
          <w:tcPr>
            <w:tcW w:w="2235" w:type="dxa"/>
            <w:noWrap/>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使用方联系人</w:t>
            </w:r>
          </w:p>
        </w:tc>
        <w:tc>
          <w:tcPr>
            <w:tcW w:w="1632" w:type="dxa"/>
            <w:noWrap/>
            <w:vAlign w:val="center"/>
          </w:tcPr>
          <w:p>
            <w:pPr>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asciiTheme="minorEastAsia" w:hAnsiTheme="minorEastAsia" w:eastAsiaTheme="minorEastAsia" w:cstheme="minorEastAsia"/>
                <w:bCs/>
                <w:sz w:val="24"/>
              </w:rPr>
            </w:pPr>
          </w:p>
        </w:tc>
        <w:tc>
          <w:tcPr>
            <w:tcW w:w="1330"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c>
          <w:tcPr>
            <w:tcW w:w="2235" w:type="dxa"/>
            <w:noWrap/>
            <w:vAlign w:val="center"/>
          </w:tcPr>
          <w:p>
            <w:pPr>
              <w:spacing w:line="360" w:lineRule="auto"/>
              <w:jc w:val="center"/>
              <w:rPr>
                <w:rFonts w:asciiTheme="minorEastAsia" w:hAnsiTheme="minorEastAsia" w:eastAsiaTheme="minorEastAsia" w:cstheme="minorEastAsia"/>
                <w:bCs/>
                <w:sz w:val="24"/>
              </w:rPr>
            </w:pPr>
          </w:p>
        </w:tc>
        <w:tc>
          <w:tcPr>
            <w:tcW w:w="1632" w:type="dxa"/>
            <w:noWrap/>
            <w:vAlign w:val="center"/>
          </w:tcPr>
          <w:p>
            <w:pPr>
              <w:spacing w:line="360" w:lineRule="auto"/>
              <w:jc w:val="center"/>
              <w:rPr>
                <w:rFonts w:asciiTheme="minorEastAsia" w:hAnsiTheme="minorEastAsia" w:eastAsiaTheme="minorEastAsia" w:cstheme="minorEastAsia"/>
                <w:bCs/>
                <w:sz w:val="24"/>
              </w:rPr>
            </w:pPr>
          </w:p>
        </w:tc>
      </w:tr>
    </w:tbl>
    <w:p>
      <w:pPr>
        <w:rPr>
          <w:rFonts w:asciiTheme="minorEastAsia" w:hAnsiTheme="minorEastAsia" w:eastAsiaTheme="minorEastAsia" w:cstheme="minorEastAsia"/>
          <w:sz w:val="24"/>
        </w:rPr>
      </w:pPr>
    </w:p>
    <w:p>
      <w:pPr>
        <w:snapToGrid w:val="0"/>
        <w:spacing w:line="460" w:lineRule="exact"/>
        <w:ind w:firstLine="4480" w:firstLineChars="1600"/>
        <w:rPr>
          <w:rFonts w:asciiTheme="minorEastAsia" w:hAnsiTheme="minorEastAsia" w:eastAsiaTheme="minorEastAsia" w:cstheme="minorEastAsia"/>
          <w:sz w:val="24"/>
        </w:rPr>
      </w:pPr>
      <w:r>
        <w:rPr>
          <w:rFonts w:hint="eastAsia" w:ascii="宋体" w:hAnsi="宋体"/>
          <w:spacing w:val="20"/>
          <w:sz w:val="24"/>
        </w:rPr>
        <w:t>供应商盖章：</w:t>
      </w:r>
      <w:r>
        <w:rPr>
          <w:rFonts w:ascii="宋体" w:hAnsi="宋体"/>
          <w:spacing w:val="20"/>
          <w:sz w:val="24"/>
          <w:u w:val="single"/>
        </w:rPr>
        <w:t xml:space="preserve">            </w:t>
      </w:r>
    </w:p>
    <w:p>
      <w:pPr>
        <w:snapToGrid w:val="0"/>
        <w:spacing w:line="460" w:lineRule="exact"/>
        <w:ind w:firstLine="1680" w:firstLineChars="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法定代表人或其授权代理人（签字或盖章）：</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日期：    年  月   日</w:t>
      </w:r>
    </w:p>
    <w:p>
      <w:pPr>
        <w:spacing w:line="50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注：</w:t>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bCs/>
          <w:sz w:val="24"/>
        </w:rPr>
        <w:t>须附合同复印件并加盖供应商公章；</w:t>
      </w:r>
    </w:p>
    <w:p>
      <w:pPr>
        <w:spacing w:line="50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2.此表仅提供了表格形式，供应商应根据需要准备足够数量的表格来填写</w:t>
      </w:r>
      <w:r>
        <w:rPr>
          <w:rFonts w:hint="eastAsia" w:asciiTheme="minorEastAsia" w:hAnsiTheme="minorEastAsia" w:eastAsiaTheme="minorEastAsia" w:cstheme="minorEastAsia"/>
          <w:bCs/>
          <w:sz w:val="24"/>
        </w:rPr>
        <w:t>。</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bCs/>
          <w:spacing w:val="24"/>
          <w:sz w:val="28"/>
          <w:szCs w:val="28"/>
        </w:rPr>
        <w:br w:type="page"/>
      </w:r>
    </w:p>
    <w:p>
      <w:pPr>
        <w:snapToGrid w:val="0"/>
        <w:spacing w:before="156" w:beforeLines="50" w:after="50" w:line="400" w:lineRule="exact"/>
        <w:jc w:val="center"/>
        <w:outlineLvl w:val="1"/>
        <w:rPr>
          <w:rFonts w:asciiTheme="minorEastAsia" w:hAnsiTheme="minorEastAsia" w:eastAsiaTheme="minorEastAsia" w:cstheme="minorEastAsia"/>
          <w:b/>
          <w:sz w:val="28"/>
          <w:szCs w:val="28"/>
        </w:rPr>
      </w:pPr>
      <w:bookmarkStart w:id="52" w:name="_Toc27474"/>
      <w:r>
        <w:rPr>
          <w:rFonts w:hint="eastAsia" w:asciiTheme="minorEastAsia" w:hAnsiTheme="minorEastAsia" w:eastAsiaTheme="minorEastAsia" w:cstheme="minorEastAsia"/>
          <w:b/>
          <w:sz w:val="28"/>
          <w:szCs w:val="28"/>
        </w:rPr>
        <w:t>响 应 函</w:t>
      </w:r>
      <w:bookmarkEnd w:id="52"/>
    </w:p>
    <w:p>
      <w:pPr>
        <w:snapToGrid w:val="0"/>
        <w:spacing w:line="600" w:lineRule="exac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（采购人名称）</w:t>
      </w:r>
      <w:r>
        <w:rPr>
          <w:rFonts w:hint="eastAsia" w:asciiTheme="minorEastAsia" w:hAnsiTheme="minorEastAsia" w:eastAsiaTheme="minorEastAsia" w:cstheme="minorEastAsia"/>
          <w:sz w:val="24"/>
        </w:rPr>
        <w:t>：</w:t>
      </w:r>
    </w:p>
    <w:p>
      <w:pPr>
        <w:snapToGrid w:val="0"/>
        <w:spacing w:line="600" w:lineRule="exact"/>
        <w:ind w:firstLine="600" w:firstLineChars="25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根据贵方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项目的磋商公告</w:t>
      </w:r>
      <w:r>
        <w:rPr>
          <w:rFonts w:hint="eastAsia" w:asciiTheme="minorEastAsia" w:hAnsiTheme="minorEastAsia" w:eastAsiaTheme="minorEastAsia" w:cstheme="minorEastAsia"/>
          <w:sz w:val="24"/>
          <w:u w:val="single"/>
        </w:rPr>
        <w:t>（项目编号：）</w:t>
      </w:r>
      <w:r>
        <w:rPr>
          <w:rFonts w:hint="eastAsia" w:asciiTheme="minorEastAsia" w:hAnsiTheme="minorEastAsia" w:eastAsiaTheme="minorEastAsia" w:cstheme="minorEastAsia"/>
          <w:sz w:val="24"/>
        </w:rPr>
        <w:t>，签字代表</w:t>
      </w:r>
      <w:r>
        <w:rPr>
          <w:rFonts w:hint="eastAsia" w:asciiTheme="minorEastAsia" w:hAnsiTheme="minorEastAsia" w:eastAsiaTheme="minorEastAsia" w:cstheme="minorEastAsia"/>
          <w:sz w:val="24"/>
          <w:u w:val="single"/>
        </w:rPr>
        <w:t>（全名）</w:t>
      </w:r>
      <w:r>
        <w:rPr>
          <w:rFonts w:hint="eastAsia" w:asciiTheme="minorEastAsia" w:hAnsiTheme="minorEastAsia" w:eastAsiaTheme="minorEastAsia" w:cstheme="minorEastAsia"/>
          <w:sz w:val="24"/>
        </w:rPr>
        <w:t>经正式授权并代表供应商</w:t>
      </w:r>
      <w:r>
        <w:rPr>
          <w:rFonts w:hint="eastAsia" w:asciiTheme="minorEastAsia" w:hAnsiTheme="minorEastAsia" w:eastAsiaTheme="minorEastAsia" w:cstheme="minorEastAsia"/>
          <w:sz w:val="24"/>
          <w:u w:val="single"/>
        </w:rPr>
        <w:t>（供应商名称）</w:t>
      </w:r>
      <w:r>
        <w:rPr>
          <w:rFonts w:hint="eastAsia" w:asciiTheme="minorEastAsia" w:hAnsiTheme="minorEastAsia" w:eastAsiaTheme="minorEastAsia" w:cstheme="minorEastAsia"/>
          <w:sz w:val="24"/>
        </w:rPr>
        <w:t>提交《技术、商务、资信及其他文件》和《首次报价文件》。</w:t>
      </w:r>
    </w:p>
    <w:p>
      <w:pPr>
        <w:snapToGrid w:val="0"/>
        <w:spacing w:line="6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据此函，签字代表宣布同意如下：</w:t>
      </w:r>
    </w:p>
    <w:p>
      <w:pPr>
        <w:snapToGrid w:val="0"/>
        <w:spacing w:line="6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1.供应商已详细审查全部“磋商文件”，包括修改文件（如有的话）以及全部参考资料和有关附件，已经了解我方对于磋商文件、采购过程、采购结果有依法进行询问、质疑、投诉的权利及相关渠道和要求。</w:t>
      </w:r>
    </w:p>
    <w:p>
      <w:pPr>
        <w:snapToGrid w:val="0"/>
        <w:spacing w:line="6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2.供应商在磋商之前已经与贵方进行了充分的沟通，完全理解并接受磋商文件的各项规定和要求，对磋商文件的合理性、合法性不再有异议。</w:t>
      </w:r>
    </w:p>
    <w:p>
      <w:pPr>
        <w:snapToGrid w:val="0"/>
        <w:spacing w:line="6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3.本磋商有效期自开标日起</w:t>
      </w:r>
      <w:r>
        <w:rPr>
          <w:rFonts w:hint="eastAsia" w:asciiTheme="minorEastAsia" w:hAnsiTheme="minorEastAsia" w:eastAsiaTheme="minorEastAsia" w:cstheme="minorEastAsia"/>
          <w:sz w:val="24"/>
          <w:u w:val="single"/>
        </w:rPr>
        <w:t>60</w:t>
      </w:r>
      <w:r>
        <w:rPr>
          <w:rFonts w:hint="eastAsia" w:asciiTheme="minorEastAsia" w:hAnsiTheme="minorEastAsia" w:eastAsiaTheme="minorEastAsia" w:cstheme="minorEastAsia"/>
          <w:sz w:val="24"/>
        </w:rPr>
        <w:t>个日历天。</w:t>
      </w:r>
    </w:p>
    <w:p>
      <w:pPr>
        <w:snapToGrid w:val="0"/>
        <w:spacing w:line="6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4.如成交，本响应文件至本项目合同履行完毕止均保持有效，本供应商将按“磋商文件”及政府采购法律、法规的规定履行合同责任和义务。</w:t>
      </w:r>
    </w:p>
    <w:p>
      <w:pPr>
        <w:snapToGrid w:val="0"/>
        <w:spacing w:line="6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5.供应商同意按照贵方要求提供与磋商有关的一切数据或资料。</w:t>
      </w:r>
    </w:p>
    <w:p>
      <w:pPr>
        <w:snapToGrid w:val="0"/>
        <w:spacing w:line="6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6.与本磋商有关的一切正式往来信函请寄：</w:t>
      </w:r>
    </w:p>
    <w:p>
      <w:pPr>
        <w:snapToGrid w:val="0"/>
        <w:spacing w:line="600" w:lineRule="exact"/>
        <w:ind w:firstLine="480" w:firstLineChars="200"/>
        <w:rPr>
          <w:rFonts w:asciiTheme="minorEastAsia" w:hAnsiTheme="minorEastAsia" w:eastAsiaTheme="minorEastAsia" w:cstheme="minorEastAsia"/>
          <w:sz w:val="24"/>
          <w:szCs w:val="20"/>
        </w:rPr>
      </w:pPr>
    </w:p>
    <w:p>
      <w:pPr>
        <w:snapToGrid w:val="0"/>
        <w:spacing w:line="600" w:lineRule="exac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地址：                       邮编：                        电话：</w:t>
      </w:r>
    </w:p>
    <w:p>
      <w:pPr>
        <w:snapToGrid w:val="0"/>
        <w:spacing w:line="600" w:lineRule="exac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传真：                       供应商代表姓名：              职务：</w:t>
      </w:r>
    </w:p>
    <w:p>
      <w:pPr>
        <w:snapToGrid w:val="0"/>
        <w:spacing w:line="60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供应商名称(公章):</w:t>
      </w:r>
    </w:p>
    <w:p>
      <w:pPr>
        <w:snapToGrid w:val="0"/>
        <w:spacing w:line="600" w:lineRule="exact"/>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开户银行：                   银行帐号：</w:t>
      </w:r>
    </w:p>
    <w:p>
      <w:pPr>
        <w:snapToGrid w:val="0"/>
        <w:spacing w:line="600" w:lineRule="exact"/>
        <w:rPr>
          <w:rFonts w:asciiTheme="minorEastAsia" w:hAnsiTheme="minorEastAsia" w:eastAsiaTheme="minorEastAsia" w:cstheme="minorEastAsia"/>
          <w:sz w:val="30"/>
          <w:szCs w:val="20"/>
        </w:rPr>
      </w:pPr>
      <w:r>
        <w:rPr>
          <w:rFonts w:hint="eastAsia" w:asciiTheme="minorEastAsia" w:hAnsiTheme="minorEastAsia" w:eastAsiaTheme="minorEastAsia" w:cstheme="minorEastAsia"/>
          <w:sz w:val="24"/>
        </w:rPr>
        <w:t>授权代理人签字:              日期:年月日</w:t>
      </w:r>
    </w:p>
    <w:p>
      <w:pPr>
        <w:rPr>
          <w:rFonts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br w:type="page"/>
      </w:r>
    </w:p>
    <w:p>
      <w:pPr>
        <w:snapToGrid w:val="0"/>
        <w:spacing w:before="156" w:beforeLines="50" w:after="50"/>
        <w:jc w:val="center"/>
        <w:outlineLvl w:val="1"/>
        <w:rPr>
          <w:rFonts w:asciiTheme="minorEastAsia" w:hAnsiTheme="minorEastAsia" w:eastAsiaTheme="minorEastAsia" w:cstheme="minorEastAsia"/>
          <w:b/>
          <w:sz w:val="28"/>
          <w:szCs w:val="28"/>
          <w:lang w:val="zh-CN"/>
        </w:rPr>
      </w:pPr>
      <w:bookmarkStart w:id="53" w:name="_Toc5631"/>
      <w:r>
        <w:rPr>
          <w:rFonts w:hint="eastAsia" w:asciiTheme="minorEastAsia" w:hAnsiTheme="minorEastAsia" w:eastAsiaTheme="minorEastAsia" w:cstheme="minorEastAsia"/>
          <w:b/>
          <w:sz w:val="28"/>
          <w:szCs w:val="28"/>
          <w:lang w:val="zh-CN"/>
        </w:rPr>
        <w:t>磋商报价表（首次报价）</w:t>
      </w:r>
      <w:bookmarkEnd w:id="53"/>
    </w:p>
    <w:p>
      <w:pPr>
        <w:autoSpaceDE w:val="0"/>
        <w:autoSpaceDN w:val="0"/>
        <w:adjustRightInd w:val="0"/>
        <w:spacing w:line="600" w:lineRule="exac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zh-CN"/>
        </w:rPr>
        <w:t>项目编号：</w:t>
      </w:r>
      <w:r>
        <w:rPr>
          <w:rFonts w:hint="eastAsia" w:asciiTheme="minorEastAsia" w:hAnsiTheme="minorEastAsia" w:eastAsiaTheme="minorEastAsia" w:cstheme="minorEastAsia"/>
          <w:bCs/>
          <w:snapToGrid w:val="0"/>
          <w:sz w:val="24"/>
          <w:u w:val="single"/>
          <w:lang w:eastAsia="zh-CN"/>
        </w:rPr>
        <w:t>同欣采字[2022]-002号</w:t>
      </w:r>
    </w:p>
    <w:p>
      <w:pPr>
        <w:autoSpaceDE w:val="0"/>
        <w:autoSpaceDN w:val="0"/>
        <w:adjustRightInd w:val="0"/>
        <w:spacing w:line="60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2022-2023年度环渚街道幸福邻里中心运营社会组织采购项目</w:t>
      </w:r>
    </w:p>
    <w:p>
      <w:pPr>
        <w:autoSpaceDE w:val="0"/>
        <w:autoSpaceDN w:val="0"/>
        <w:adjustRightInd w:val="0"/>
        <w:spacing w:line="6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报价单位：</w:t>
      </w:r>
      <w:r>
        <w:rPr>
          <w:rFonts w:hint="eastAsia" w:asciiTheme="minorEastAsia" w:hAnsiTheme="minorEastAsia" w:eastAsiaTheme="minorEastAsia" w:cstheme="minorEastAsia"/>
          <w:sz w:val="24"/>
          <w:u w:val="single"/>
          <w:lang w:val="zh-CN"/>
        </w:rPr>
        <w:t>人民币（元）</w:t>
      </w:r>
    </w:p>
    <w:tbl>
      <w:tblPr>
        <w:tblStyle w:val="22"/>
        <w:tblW w:w="95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80"/>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1985" w:type="dxa"/>
            <w:vMerge w:val="restart"/>
            <w:tcBorders>
              <w:top w:val="single" w:color="auto" w:sz="4" w:space="0"/>
            </w:tcBorders>
            <w:noWrap/>
            <w:vAlign w:val="center"/>
          </w:tcPr>
          <w:p>
            <w:pPr>
              <w:spacing w:line="5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磋商总报价</w:t>
            </w:r>
          </w:p>
          <w:p>
            <w:pPr>
              <w:spacing w:line="5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（人民币/元）</w:t>
            </w:r>
          </w:p>
        </w:tc>
        <w:tc>
          <w:tcPr>
            <w:tcW w:w="1180" w:type="dxa"/>
            <w:tcBorders>
              <w:top w:val="single" w:color="auto" w:sz="4" w:space="0"/>
              <w:bottom w:val="single" w:color="auto" w:sz="4" w:space="0"/>
            </w:tcBorders>
            <w:noWrap/>
            <w:vAlign w:val="center"/>
          </w:tcPr>
          <w:p>
            <w:pPr>
              <w:widowControl/>
              <w:spacing w:line="5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小写</w:t>
            </w:r>
          </w:p>
        </w:tc>
        <w:tc>
          <w:tcPr>
            <w:tcW w:w="6414" w:type="dxa"/>
            <w:noWrap/>
            <w:vAlign w:val="center"/>
          </w:tcPr>
          <w:p>
            <w:pPr>
              <w:spacing w:line="54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6" w:hRule="atLeast"/>
        </w:trPr>
        <w:tc>
          <w:tcPr>
            <w:tcW w:w="1985" w:type="dxa"/>
            <w:vMerge w:val="continue"/>
            <w:noWrap/>
            <w:vAlign w:val="center"/>
          </w:tcPr>
          <w:p>
            <w:pPr>
              <w:spacing w:line="540" w:lineRule="exact"/>
              <w:jc w:val="center"/>
              <w:rPr>
                <w:rFonts w:asciiTheme="minorEastAsia" w:hAnsiTheme="minorEastAsia" w:eastAsiaTheme="minorEastAsia" w:cstheme="minorEastAsia"/>
                <w:sz w:val="24"/>
              </w:rPr>
            </w:pPr>
          </w:p>
        </w:tc>
        <w:tc>
          <w:tcPr>
            <w:tcW w:w="1180" w:type="dxa"/>
            <w:tcBorders>
              <w:top w:val="single" w:color="auto" w:sz="4" w:space="0"/>
              <w:bottom w:val="single" w:color="auto" w:sz="4" w:space="0"/>
            </w:tcBorders>
            <w:noWrap/>
            <w:vAlign w:val="center"/>
          </w:tcPr>
          <w:p>
            <w:pPr>
              <w:spacing w:line="5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大写</w:t>
            </w:r>
          </w:p>
        </w:tc>
        <w:tc>
          <w:tcPr>
            <w:tcW w:w="6414" w:type="dxa"/>
            <w:noWrap/>
            <w:vAlign w:val="center"/>
          </w:tcPr>
          <w:p>
            <w:pPr>
              <w:spacing w:line="540" w:lineRule="exact"/>
              <w:jc w:val="center"/>
              <w:rPr>
                <w:rFonts w:asciiTheme="minorEastAsia" w:hAnsiTheme="minorEastAsia" w:eastAsiaTheme="minorEastAsia" w:cstheme="minorEastAsia"/>
                <w:sz w:val="24"/>
              </w:rPr>
            </w:pPr>
          </w:p>
        </w:tc>
      </w:tr>
    </w:tbl>
    <w:p>
      <w:pPr>
        <w:pStyle w:val="15"/>
        <w:spacing w:before="156" w:after="156" w:line="480" w:lineRule="exact"/>
        <w:ind w:firstLine="482" w:firstLineChars="200"/>
        <w:rPr>
          <w:rFonts w:asciiTheme="minorEastAsia" w:hAnsiTheme="minorEastAsia" w:eastAsiaTheme="minorEastAsia" w:cstheme="minorEastAsia"/>
          <w:b/>
        </w:rPr>
      </w:pPr>
      <w:r>
        <w:rPr>
          <w:rFonts w:hint="eastAsia" w:asciiTheme="minorEastAsia" w:hAnsiTheme="minorEastAsia" w:eastAsiaTheme="minorEastAsia" w:cstheme="minorEastAsia"/>
          <w:b/>
        </w:rPr>
        <w:t>注：▲1、报价一经涂改，应在涂改处加盖单位公章或者由法定代表人或授权委托人签字或盖章，否则其磋商作无效标处理。</w:t>
      </w:r>
    </w:p>
    <w:p>
      <w:pPr>
        <w:pStyle w:val="15"/>
        <w:spacing w:before="156" w:after="156" w:line="480" w:lineRule="exact"/>
        <w:ind w:firstLine="482" w:firstLineChars="200"/>
        <w:rPr>
          <w:rFonts w:asciiTheme="minorEastAsia" w:hAnsiTheme="minorEastAsia" w:eastAsiaTheme="minorEastAsia" w:cstheme="minorEastAsia"/>
          <w:b/>
        </w:rPr>
      </w:pPr>
      <w:r>
        <w:rPr>
          <w:rFonts w:hint="eastAsia" w:asciiTheme="minorEastAsia" w:hAnsiTheme="minorEastAsia" w:eastAsiaTheme="minorEastAsia" w:cstheme="minorEastAsia"/>
          <w:b/>
        </w:rPr>
        <w:t>▲2、应包含服务所发生的费用及供应商认为完成本磋商文件规定内容所需发生的其它费用，凡未列入的，将被视为均已包含在磋商总报价中。只允许有一个报价，任何有选择的或有条件的报价将不予接受，凡未列入的，将被视为均已包含在磋商总报价中。</w:t>
      </w:r>
    </w:p>
    <w:p>
      <w:pPr>
        <w:pStyle w:val="15"/>
        <w:spacing w:before="156" w:after="156" w:line="480" w:lineRule="exact"/>
        <w:ind w:firstLine="482" w:firstLineChars="200"/>
        <w:rPr>
          <w:rFonts w:asciiTheme="minorEastAsia" w:hAnsiTheme="minorEastAsia" w:eastAsiaTheme="minorEastAsia" w:cstheme="minorEastAsia"/>
          <w:b/>
        </w:rPr>
      </w:pPr>
      <w:r>
        <w:rPr>
          <w:rFonts w:hint="eastAsia" w:asciiTheme="minorEastAsia" w:hAnsiTheme="minorEastAsia" w:eastAsiaTheme="minorEastAsia" w:cstheme="minorEastAsia"/>
          <w:b/>
        </w:rPr>
        <w:t>▲3、不提供此表格的将视为没有实质性响应磋商文件。</w:t>
      </w:r>
    </w:p>
    <w:p>
      <w:pPr>
        <w:spacing w:line="360" w:lineRule="auto"/>
        <w:rPr>
          <w:rFonts w:asciiTheme="minorEastAsia" w:hAnsiTheme="minorEastAsia" w:eastAsiaTheme="minorEastAsia" w:cstheme="minorEastAsia"/>
          <w:sz w:val="24"/>
        </w:rPr>
      </w:pPr>
    </w:p>
    <w:p>
      <w:pPr>
        <w:snapToGrid w:val="0"/>
        <w:spacing w:line="460" w:lineRule="exact"/>
        <w:ind w:firstLine="4480" w:firstLineChars="1600"/>
        <w:rPr>
          <w:rFonts w:asciiTheme="minorEastAsia" w:hAnsiTheme="minorEastAsia" w:eastAsiaTheme="minorEastAsia" w:cstheme="minorEastAsia"/>
          <w:sz w:val="24"/>
        </w:rPr>
      </w:pPr>
      <w:r>
        <w:rPr>
          <w:rFonts w:hint="eastAsia" w:ascii="宋体" w:hAnsi="宋体"/>
          <w:spacing w:val="20"/>
          <w:sz w:val="24"/>
        </w:rPr>
        <w:t>供应商盖章：</w:t>
      </w:r>
      <w:r>
        <w:rPr>
          <w:rFonts w:ascii="宋体" w:hAnsi="宋体"/>
          <w:spacing w:val="20"/>
          <w:sz w:val="24"/>
          <w:u w:val="single"/>
        </w:rPr>
        <w:t xml:space="preserve">            </w:t>
      </w:r>
    </w:p>
    <w:p>
      <w:pPr>
        <w:snapToGrid w:val="0"/>
        <w:spacing w:line="460" w:lineRule="exact"/>
        <w:ind w:firstLine="1680" w:firstLineChars="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法定代表人或其授权代理人（签字或盖章）：</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4"/>
        </w:rPr>
        <w:t xml:space="preserve">                                      日期：    年  月   日</w:t>
      </w:r>
    </w:p>
    <w:p>
      <w:pPr>
        <w:spacing w:line="360" w:lineRule="auto"/>
        <w:jc w:val="center"/>
        <w:rPr>
          <w:rFonts w:asciiTheme="minorEastAsia" w:hAnsiTheme="minorEastAsia" w:eastAsiaTheme="minorEastAsia" w:cstheme="minorEastAsia"/>
          <w:b/>
          <w:bCs/>
          <w:sz w:val="28"/>
          <w:szCs w:val="28"/>
        </w:rPr>
      </w:pPr>
    </w:p>
    <w:p>
      <w:pPr>
        <w:spacing w:line="360" w:lineRule="auto"/>
        <w:rPr>
          <w:rFonts w:asciiTheme="minorEastAsia" w:hAnsiTheme="minorEastAsia" w:eastAsiaTheme="minorEastAsia" w:cstheme="minorEastAsia"/>
          <w:b/>
          <w:szCs w:val="28"/>
        </w:rPr>
      </w:pPr>
    </w:p>
    <w:p>
      <w:pPr>
        <w:spacing w:line="360" w:lineRule="auto"/>
        <w:rPr>
          <w:rFonts w:asciiTheme="minorEastAsia" w:hAnsiTheme="minorEastAsia" w:eastAsiaTheme="minorEastAsia" w:cstheme="minorEastAsia"/>
          <w:b/>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br w:type="page"/>
      </w:r>
    </w:p>
    <w:p>
      <w:pPr>
        <w:pStyle w:val="9"/>
        <w:spacing w:line="500" w:lineRule="exact"/>
        <w:jc w:val="center"/>
        <w:outlineLvl w:val="1"/>
        <w:rPr>
          <w:rFonts w:asciiTheme="minorEastAsia" w:hAnsiTheme="minorEastAsia" w:eastAsiaTheme="minorEastAsia" w:cstheme="minorEastAsia"/>
          <w:b/>
          <w:bCs/>
          <w:sz w:val="28"/>
          <w:szCs w:val="28"/>
        </w:rPr>
      </w:pPr>
      <w:bookmarkStart w:id="54" w:name="_Toc90"/>
      <w:r>
        <w:rPr>
          <w:rFonts w:hint="eastAsia" w:asciiTheme="minorEastAsia" w:hAnsiTheme="minorEastAsia" w:eastAsiaTheme="minorEastAsia" w:cstheme="minorEastAsia"/>
          <w:b/>
          <w:bCs/>
          <w:sz w:val="28"/>
          <w:szCs w:val="28"/>
        </w:rPr>
        <w:t>磋商代理服务费承诺函</w:t>
      </w:r>
      <w:bookmarkEnd w:id="54"/>
    </w:p>
    <w:p>
      <w:pPr>
        <w:pStyle w:val="9"/>
        <w:spacing w:line="500" w:lineRule="exact"/>
        <w:jc w:val="center"/>
        <w:rPr>
          <w:rFonts w:asciiTheme="minorEastAsia" w:hAnsiTheme="minorEastAsia" w:eastAsiaTheme="minorEastAsia" w:cstheme="minorEastAsia"/>
          <w:b/>
          <w:sz w:val="28"/>
          <w:szCs w:val="28"/>
        </w:rPr>
      </w:pPr>
    </w:p>
    <w:p>
      <w:pPr>
        <w:pStyle w:val="9"/>
        <w:spacing w:line="720" w:lineRule="exact"/>
        <w:ind w:firstLine="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浙江同欣工程管理有限公司</w:t>
      </w:r>
      <w:r>
        <w:rPr>
          <w:rFonts w:hint="eastAsia" w:asciiTheme="minorEastAsia" w:hAnsiTheme="minorEastAsia" w:eastAsiaTheme="minorEastAsia" w:cstheme="minorEastAsia"/>
          <w:sz w:val="24"/>
        </w:rPr>
        <w:t>：</w:t>
      </w:r>
    </w:p>
    <w:p>
      <w:pPr>
        <w:pStyle w:val="9"/>
        <w:spacing w:line="7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根据磋商文件的规定，一旦我公司成交，我公司同意按磋商文件要求向贵公司交纳成交项目的磋商代理服务费，在收到成交通知书后的当天一次性结清。</w:t>
      </w:r>
    </w:p>
    <w:p>
      <w:pPr>
        <w:pStyle w:val="9"/>
        <w:spacing w:line="7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本承诺函自开标之日起至本次采购期满有效。</w:t>
      </w:r>
    </w:p>
    <w:p>
      <w:pPr>
        <w:pStyle w:val="9"/>
        <w:spacing w:line="720" w:lineRule="exact"/>
        <w:jc w:val="left"/>
        <w:rPr>
          <w:rFonts w:asciiTheme="minorEastAsia" w:hAnsiTheme="minorEastAsia" w:eastAsiaTheme="minorEastAsia" w:cstheme="minorEastAsia"/>
          <w:sz w:val="24"/>
        </w:rPr>
      </w:pPr>
    </w:p>
    <w:p>
      <w:pPr>
        <w:pStyle w:val="9"/>
        <w:spacing w:line="720" w:lineRule="exact"/>
        <w:jc w:val="left"/>
        <w:rPr>
          <w:rFonts w:asciiTheme="minorEastAsia" w:hAnsiTheme="minorEastAsia" w:eastAsiaTheme="minorEastAsia" w:cstheme="minorEastAsia"/>
          <w:sz w:val="24"/>
        </w:rPr>
      </w:pPr>
    </w:p>
    <w:p>
      <w:pPr>
        <w:pStyle w:val="9"/>
        <w:spacing w:line="720" w:lineRule="exact"/>
        <w:ind w:firstLine="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法定代表人或授权代理人签字：</w:t>
      </w:r>
    </w:p>
    <w:p>
      <w:pPr>
        <w:pStyle w:val="9"/>
        <w:spacing w:line="720" w:lineRule="exact"/>
        <w:ind w:firstLine="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p>
    <w:p>
      <w:pPr>
        <w:pStyle w:val="9"/>
        <w:spacing w:line="720" w:lineRule="exact"/>
        <w:ind w:firstLine="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rPr>
          <w:rFonts w:asciiTheme="minorEastAsia" w:hAnsiTheme="minorEastAsia" w:eastAsiaTheme="minorEastAsia" w:cstheme="minorEastAsia"/>
          <w:sz w:val="36"/>
          <w:szCs w:val="36"/>
        </w:rPr>
      </w:pPr>
    </w:p>
    <w:p>
      <w:pPr>
        <w:pStyle w:val="4"/>
        <w:rPr>
          <w:rFonts w:asciiTheme="minorEastAsia" w:hAnsiTheme="minorEastAsia" w:eastAsiaTheme="minorEastAsia" w:cstheme="minorEastAsia"/>
          <w:sz w:val="36"/>
          <w:szCs w:val="36"/>
        </w:rPr>
      </w:pPr>
    </w:p>
    <w:p>
      <w:pPr>
        <w:rPr>
          <w:rFonts w:asciiTheme="minorEastAsia" w:hAnsiTheme="minorEastAsia" w:eastAsiaTheme="minorEastAsia" w:cstheme="minorEastAsia"/>
          <w:sz w:val="36"/>
          <w:szCs w:val="36"/>
        </w:rPr>
      </w:pPr>
    </w:p>
    <w:p>
      <w:pPr>
        <w:pStyle w:val="4"/>
        <w:rPr>
          <w:rFonts w:asciiTheme="minorEastAsia" w:hAnsiTheme="minorEastAsia" w:eastAsiaTheme="minorEastAsia" w:cstheme="minorEastAsia"/>
          <w:sz w:val="36"/>
          <w:szCs w:val="36"/>
        </w:rPr>
      </w:pPr>
    </w:p>
    <w:p>
      <w:pPr>
        <w:rPr>
          <w:rFonts w:asciiTheme="minorEastAsia" w:hAnsiTheme="minorEastAsia" w:eastAsiaTheme="minorEastAsia" w:cstheme="minorEastAsia"/>
          <w:sz w:val="36"/>
          <w:szCs w:val="36"/>
        </w:rPr>
      </w:pPr>
    </w:p>
    <w:p>
      <w:pPr>
        <w:pStyle w:val="4"/>
        <w:rPr>
          <w:rFonts w:asciiTheme="minorEastAsia" w:hAnsiTheme="minorEastAsia" w:eastAsiaTheme="minorEastAsia" w:cstheme="minorEastAsia"/>
          <w:sz w:val="36"/>
          <w:szCs w:val="36"/>
        </w:rPr>
      </w:pPr>
    </w:p>
    <w:p>
      <w:pPr>
        <w:rPr>
          <w:rFonts w:asciiTheme="minorEastAsia" w:hAnsiTheme="minorEastAsia" w:eastAsiaTheme="minorEastAsia" w:cstheme="minorEastAsia"/>
          <w:sz w:val="36"/>
          <w:szCs w:val="36"/>
        </w:rPr>
      </w:pPr>
    </w:p>
    <w:p>
      <w:pPr>
        <w:pStyle w:val="4"/>
        <w:rPr>
          <w:rFonts w:asciiTheme="minorEastAsia" w:hAnsiTheme="minorEastAsia" w:eastAsiaTheme="minorEastAsia" w:cstheme="minorEastAsia"/>
          <w:sz w:val="36"/>
          <w:szCs w:val="36"/>
        </w:rPr>
      </w:pPr>
    </w:p>
    <w:p>
      <w:pPr>
        <w:rPr>
          <w:rFonts w:asciiTheme="minorEastAsia" w:hAnsiTheme="minorEastAsia" w:eastAsiaTheme="minorEastAsia" w:cstheme="minorEastAsia"/>
          <w:sz w:val="36"/>
          <w:szCs w:val="36"/>
        </w:rPr>
      </w:pPr>
    </w:p>
    <w:p>
      <w:pPr>
        <w:pStyle w:val="4"/>
        <w:rPr>
          <w:rFonts w:asciiTheme="minorEastAsia" w:hAnsiTheme="minorEastAsia" w:eastAsiaTheme="minorEastAsia" w:cstheme="minorEastAsia"/>
          <w:sz w:val="36"/>
          <w:szCs w:val="36"/>
        </w:rPr>
      </w:pPr>
    </w:p>
    <w:p>
      <w:pPr>
        <w:pStyle w:val="4"/>
        <w:ind w:firstLine="0"/>
      </w:pPr>
    </w:p>
    <w:p>
      <w:pPr>
        <w:pStyle w:val="7"/>
        <w:spacing w:line="460" w:lineRule="exact"/>
        <w:jc w:val="center"/>
        <w:rPr>
          <w:rFonts w:asciiTheme="minorEastAsia" w:hAnsiTheme="minorEastAsia" w:eastAsiaTheme="minorEastAsia" w:cstheme="minorEastAsia"/>
          <w:sz w:val="36"/>
          <w:szCs w:val="36"/>
        </w:rPr>
      </w:pPr>
      <w:bookmarkStart w:id="55" w:name="_Toc32663"/>
      <w:r>
        <w:rPr>
          <w:rFonts w:hint="eastAsia" w:asciiTheme="minorEastAsia" w:hAnsiTheme="minorEastAsia" w:eastAsiaTheme="minorEastAsia" w:cstheme="minorEastAsia"/>
          <w:kern w:val="2"/>
          <w:sz w:val="36"/>
          <w:szCs w:val="36"/>
        </w:rPr>
        <w:t>第六章 磋商办法及评分标准</w:t>
      </w:r>
      <w:bookmarkEnd w:id="55"/>
    </w:p>
    <w:p>
      <w:pPr>
        <w:spacing w:line="550" w:lineRule="exact"/>
        <w:ind w:firstLine="42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为公正、公平、科学地选择成交供应商，根据《中华人民共和国政府采购法》、《政府采购竞争性磋商采购方式暂行办法》等有关法律法规的规定，并结合本项目的实际，制定本办法。</w:t>
      </w:r>
    </w:p>
    <w:p>
      <w:pPr>
        <w:spacing w:line="550" w:lineRule="exact"/>
        <w:ind w:firstLine="472" w:firstLineChars="196"/>
        <w:outlineLvl w:val="1"/>
        <w:rPr>
          <w:rFonts w:asciiTheme="minorEastAsia" w:hAnsiTheme="minorEastAsia" w:eastAsiaTheme="minorEastAsia" w:cstheme="minorEastAsia"/>
          <w:b/>
          <w:bCs/>
          <w:sz w:val="24"/>
        </w:rPr>
      </w:pPr>
      <w:bookmarkStart w:id="56" w:name="_Toc3749"/>
      <w:r>
        <w:rPr>
          <w:rFonts w:hint="eastAsia" w:asciiTheme="minorEastAsia" w:hAnsiTheme="minorEastAsia" w:eastAsiaTheme="minorEastAsia" w:cstheme="minorEastAsia"/>
          <w:b/>
          <w:bCs/>
          <w:sz w:val="24"/>
        </w:rPr>
        <w:t>一、总则：</w:t>
      </w:r>
      <w:bookmarkEnd w:id="56"/>
    </w:p>
    <w:p>
      <w:pPr>
        <w:spacing w:line="550" w:lineRule="exact"/>
        <w:ind w:left="47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（一）磋商小组遵循公开、公平、公正、科学合理、竞争择优的原则；</w:t>
      </w:r>
    </w:p>
    <w:p>
      <w:pPr>
        <w:spacing w:line="55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（二）磋商由磋商小组负责，磋商小组由采购人以及相关专业的专家共</w:t>
      </w:r>
      <w:r>
        <w:rPr>
          <w:rFonts w:hint="eastAsia" w:asciiTheme="minorEastAsia" w:hAnsiTheme="minorEastAsia" w:eastAsiaTheme="minorEastAsia" w:cstheme="minorEastAsia"/>
          <w:sz w:val="24"/>
          <w:u w:val="single"/>
        </w:rPr>
        <w:t>3</w:t>
      </w:r>
      <w:r>
        <w:rPr>
          <w:rFonts w:hint="eastAsia" w:asciiTheme="minorEastAsia" w:hAnsiTheme="minorEastAsia" w:eastAsiaTheme="minorEastAsia" w:cstheme="minorEastAsia"/>
          <w:sz w:val="24"/>
        </w:rPr>
        <w:t>人组成。磋商小组由磋商采购人依据有关规定组建，其中技术、经济专家于磋商前在监管人员的监督下从专家库中随机抽取。有关人员对磋商小组成员名单必须严格保密，与磋商有利害关系的人员不得参加磋商会；</w:t>
      </w:r>
    </w:p>
    <w:p>
      <w:pPr>
        <w:spacing w:line="55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（三）磋商小组成员及参加磋商的其他相关人员应严格遵守国家有关保密的法律、法规和规定，并接受有关部门的监督；</w:t>
      </w:r>
    </w:p>
    <w:p>
      <w:pPr>
        <w:spacing w:line="55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（四）磋商小组应按磋商文件规定的程序进行磋商；</w:t>
      </w:r>
    </w:p>
    <w:p>
      <w:pPr>
        <w:spacing w:line="55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（五）通讯工具管理：在磋商期间，磋商小组每个成员的手机都必须关机；</w:t>
      </w:r>
    </w:p>
    <w:p>
      <w:pPr>
        <w:spacing w:line="55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（六）在磋商期间，磋商小组各成员不得随意离开规定的磋商地点，所有资料由采购代理机构工作人员专门保管和发放。磋商小组成员完成磋商时应如数、及时归还，任何与本项目有关的资料不得带离磋商现场；</w:t>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七）本次磋商采用综合评分法，总分为100分，其中价格分10分、技术、商务、资信及其他90分。合格供应商的磋商得分为各项目汇总得分，成交候选资格按磋商得分由高到低顺序排列，得分相同的，按磋商报价由低到高顺序排列；得分且磋商报价相同的，按技术得分由高到低顺序排列。</w:t>
      </w:r>
      <w:r>
        <w:rPr>
          <w:rFonts w:hint="eastAsia" w:asciiTheme="minorEastAsia" w:hAnsiTheme="minorEastAsia" w:eastAsiaTheme="minorEastAsia" w:cstheme="minorEastAsia"/>
          <w:kern w:val="0"/>
          <w:sz w:val="24"/>
        </w:rPr>
        <w:t>技术部分得分仍相同的，由采购人采用随机抽取的方式决定，排名第一的供应商为第一成交候选人,其他供应商成交候选资格依此类推。第一成交候选人放弃成交或者因不可抗力提出不能履行合同，采购人可以确定第二成交候选人为成交人，排名第二的成交候选人因前款同样的原因不能签订合同，采购人可以确定排名第三的成交候选人为成交人。采购人也可以选择重新采购。评分过程中采用四舍五入法，并保留小数2位。</w:t>
      </w:r>
    </w:p>
    <w:p>
      <w:pPr>
        <w:tabs>
          <w:tab w:val="left" w:pos="3870"/>
          <w:tab w:val="left" w:pos="4085"/>
        </w:tabs>
        <w:snapToGrid w:val="0"/>
        <w:spacing w:line="550" w:lineRule="exact"/>
        <w:ind w:firstLine="482" w:firstLineChars="200"/>
        <w:jc w:val="left"/>
        <w:outlineLvl w:val="1"/>
        <w:rPr>
          <w:rFonts w:asciiTheme="minorEastAsia" w:hAnsiTheme="minorEastAsia" w:eastAsiaTheme="minorEastAsia" w:cstheme="minorEastAsia"/>
          <w:b/>
          <w:bCs/>
          <w:sz w:val="24"/>
        </w:rPr>
      </w:pPr>
      <w:bookmarkStart w:id="57" w:name="_Toc9242"/>
      <w:r>
        <w:rPr>
          <w:rFonts w:hint="eastAsia" w:asciiTheme="minorEastAsia" w:hAnsiTheme="minorEastAsia" w:eastAsiaTheme="minorEastAsia" w:cstheme="minorEastAsia"/>
          <w:b/>
          <w:bCs/>
          <w:sz w:val="24"/>
        </w:rPr>
        <w:t>二、计算方法：（按评分标准）</w:t>
      </w:r>
      <w:bookmarkEnd w:id="57"/>
    </w:p>
    <w:p>
      <w:pPr>
        <w:spacing w:line="550" w:lineRule="exact"/>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（一）报价部分：10分</w:t>
      </w:r>
    </w:p>
    <w:p>
      <w:pPr>
        <w:spacing w:line="550" w:lineRule="exact"/>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1、价格分采用低价优先法计算，即满足磋商文件要求且最后报价最低的供应商的价格为磋商基准价，其价格分为满分。其他供应商的价格分统一按照下列公式计算：</w:t>
      </w:r>
    </w:p>
    <w:p>
      <w:pPr>
        <w:spacing w:line="550" w:lineRule="exact"/>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磋商报价得分=（基准价/磋商报价）×100×10%</w:t>
      </w:r>
    </w:p>
    <w:p>
      <w:pPr>
        <w:spacing w:line="550" w:lineRule="exact"/>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（二）技术分、商务分、资信及其他部分：90分 </w:t>
      </w:r>
    </w:p>
    <w:p>
      <w:pPr>
        <w:spacing w:line="550" w:lineRule="exact"/>
        <w:ind w:firstLine="42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1、技术分、商务分、资信及其他分的计算 </w:t>
      </w:r>
    </w:p>
    <w:p>
      <w:pPr>
        <w:spacing w:line="640" w:lineRule="exact"/>
        <w:ind w:firstLine="42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技术、商务、资信及其他分按照磋商小组成员的独立评分结果汇总数的算术平均</w:t>
      </w:r>
    </w:p>
    <w:p>
      <w:pPr>
        <w:spacing w:line="64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分计算，计算公式为： </w:t>
      </w:r>
    </w:p>
    <w:p>
      <w:pPr>
        <w:spacing w:line="640" w:lineRule="exact"/>
        <w:ind w:firstLine="240" w:firstLineChars="1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技术分、商务分、资信及其他分=（磋商小组所有成员评分合计数）/（磋商小组人员数） </w:t>
      </w:r>
    </w:p>
    <w:p>
      <w:pPr>
        <w:spacing w:line="64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磋商小组在评审时发现供应商得报价明显高于其市场报价或低于成本价的，应当要求供应商书面说明并提供相关证明材料。供应商不能当场合理说明原因并提供证明材料</w:t>
      </w:r>
    </w:p>
    <w:p>
      <w:pPr>
        <w:spacing w:line="64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的，磋商小组应将该供应商的磋商文件作无效处理，并在评审报告中说明。</w:t>
      </w:r>
    </w:p>
    <w:p>
      <w:pPr>
        <w:spacing w:before="156" w:beforeLines="50" w:after="156" w:afterLines="50"/>
        <w:rPr>
          <w:rFonts w:ascii="宋体" w:hAnsi="宋体"/>
          <w:b/>
          <w:sz w:val="24"/>
        </w:rPr>
      </w:pPr>
      <w:r>
        <w:rPr>
          <w:rFonts w:hint="eastAsia" w:ascii="宋体" w:hAnsi="宋体"/>
          <w:b/>
          <w:sz w:val="24"/>
        </w:rPr>
        <w:t>附件：评分表格式（技术、商务、资信及其他分，共90分）</w:t>
      </w:r>
    </w:p>
    <w:tbl>
      <w:tblPr>
        <w:tblStyle w:val="22"/>
        <w:tblW w:w="97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930"/>
        <w:gridCol w:w="7371"/>
        <w:gridCol w:w="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z w:val="24"/>
              </w:rPr>
            </w:pPr>
            <w:r>
              <w:rPr>
                <w:rFonts w:hint="eastAsia" w:cs="宋体"/>
                <w:b/>
                <w:sz w:val="24"/>
              </w:rPr>
              <w:t>序号</w:t>
            </w:r>
          </w:p>
        </w:tc>
        <w:tc>
          <w:tcPr>
            <w:tcW w:w="93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z w:val="24"/>
              </w:rPr>
            </w:pPr>
            <w:r>
              <w:rPr>
                <w:rFonts w:hint="eastAsia" w:cs="宋体"/>
                <w:b/>
                <w:sz w:val="24"/>
              </w:rPr>
              <w:t>评审</w:t>
            </w:r>
          </w:p>
          <w:p>
            <w:pPr>
              <w:pStyle w:val="5"/>
              <w:snapToGrid w:val="0"/>
              <w:jc w:val="center"/>
              <w:rPr>
                <w:rFonts w:cs="宋体"/>
                <w:b/>
                <w:sz w:val="24"/>
              </w:rPr>
            </w:pPr>
            <w:r>
              <w:rPr>
                <w:rFonts w:hint="eastAsia" w:cs="宋体"/>
                <w:b/>
                <w:sz w:val="24"/>
              </w:rPr>
              <w:t>内容</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z w:val="24"/>
              </w:rPr>
            </w:pPr>
            <w:r>
              <w:rPr>
                <w:rFonts w:hint="eastAsia" w:cs="宋体"/>
                <w:b/>
                <w:sz w:val="24"/>
              </w:rPr>
              <w:t>评分标准</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z w:val="24"/>
              </w:rPr>
            </w:pPr>
            <w:r>
              <w:rPr>
                <w:rFonts w:hint="eastAsia" w:cs="宋体"/>
                <w:b/>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10"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z w:val="24"/>
              </w:rPr>
            </w:pPr>
            <w:r>
              <w:rPr>
                <w:rFonts w:hint="eastAsia" w:cs="宋体"/>
                <w:b/>
                <w:sz w:val="24"/>
              </w:rPr>
              <w:t>技术分</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z w:val="24"/>
              </w:rPr>
            </w:pPr>
            <w:r>
              <w:rPr>
                <w:rFonts w:hint="eastAsia" w:cs="宋体"/>
                <w:b/>
                <w:sz w:val="24"/>
              </w:rPr>
              <w:t>46分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组织</w:t>
            </w:r>
          </w:p>
          <w:p>
            <w:pPr>
              <w:pStyle w:val="5"/>
              <w:snapToGrid w:val="0"/>
              <w:jc w:val="center"/>
              <w:rPr>
                <w:rFonts w:cs="宋体"/>
                <w:sz w:val="24"/>
              </w:rPr>
            </w:pPr>
            <w:r>
              <w:rPr>
                <w:rFonts w:hint="eastAsia" w:cs="宋体"/>
                <w:sz w:val="24"/>
              </w:rPr>
              <w:t>实施</w:t>
            </w:r>
          </w:p>
          <w:p>
            <w:pPr>
              <w:pStyle w:val="5"/>
              <w:snapToGrid w:val="0"/>
              <w:jc w:val="center"/>
              <w:rPr>
                <w:rFonts w:cs="宋体"/>
                <w:sz w:val="24"/>
              </w:rPr>
            </w:pPr>
            <w:r>
              <w:rPr>
                <w:rFonts w:hint="eastAsia" w:cs="宋体"/>
                <w:sz w:val="24"/>
              </w:rPr>
              <w:t>方案</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snapToGrid w:val="0"/>
              <w:ind w:firstLine="235" w:firstLineChars="98"/>
              <w:rPr>
                <w:rFonts w:cs="宋体"/>
                <w:bCs/>
                <w:sz w:val="24"/>
              </w:rPr>
            </w:pPr>
            <w:r>
              <w:rPr>
                <w:rFonts w:hint="eastAsia" w:cs="宋体"/>
                <w:bCs/>
                <w:sz w:val="24"/>
              </w:rPr>
              <w:t>1、针对本项目的近期、远期服务目标，目标层次非常清晰、具体，可执行、可测量的得6分；针对本项目的近期、远期服务目标，目标层次相对清晰、具体，可执行、可测量的得4-5分；针对本项目的近期、远期服务目标，目标层次模糊、不具体，执行、测量有难度的得1-3分；最高得6分。</w:t>
            </w:r>
          </w:p>
          <w:p>
            <w:pPr>
              <w:pStyle w:val="5"/>
              <w:snapToGrid w:val="0"/>
              <w:ind w:firstLine="235" w:firstLineChars="98"/>
              <w:rPr>
                <w:rFonts w:cs="宋体"/>
                <w:bCs/>
                <w:sz w:val="24"/>
              </w:rPr>
            </w:pPr>
            <w:r>
              <w:rPr>
                <w:rFonts w:hint="eastAsia" w:cs="宋体"/>
                <w:bCs/>
                <w:sz w:val="24"/>
              </w:rPr>
              <w:t>2、明确项目进度安排，时间节点明确，任务分解清晰具体的得6分；项目进度安排，时间节点明确，任务分解较清晰具体的得4-5分；项目进度安排，时间节点不明确，任务分解含糊不清的得1-3分。最高6分。</w:t>
            </w:r>
          </w:p>
          <w:p>
            <w:pPr>
              <w:pStyle w:val="5"/>
              <w:snapToGrid w:val="0"/>
              <w:ind w:firstLine="235" w:firstLineChars="98"/>
              <w:rPr>
                <w:rFonts w:cs="宋体"/>
                <w:bCs/>
                <w:sz w:val="24"/>
              </w:rPr>
            </w:pPr>
            <w:r>
              <w:rPr>
                <w:rFonts w:hint="eastAsia" w:cs="宋体"/>
                <w:bCs/>
                <w:sz w:val="24"/>
              </w:rPr>
              <w:t>3、服务方案的先后、主次安排逻辑合理，有效回应项目需求，能体现专业能力、关键技术和创新性。优得6分，良得4-5分，一般得1-3分。最高得6分。</w:t>
            </w:r>
          </w:p>
          <w:p>
            <w:pPr>
              <w:pStyle w:val="5"/>
              <w:snapToGrid w:val="0"/>
              <w:ind w:firstLine="235" w:firstLineChars="98"/>
              <w:rPr>
                <w:rFonts w:cs="宋体"/>
                <w:bCs/>
                <w:sz w:val="24"/>
              </w:rPr>
            </w:pPr>
            <w:r>
              <w:rPr>
                <w:rFonts w:hint="eastAsia" w:cs="宋体"/>
                <w:bCs/>
                <w:sz w:val="24"/>
              </w:rPr>
              <w:t>4、服务方案回应所有项目服务需求类别无缺漏的得6分。每缺一项扣1分，扣完为止。不提供不得分。最高得6分。</w:t>
            </w:r>
          </w:p>
          <w:p>
            <w:pPr>
              <w:pStyle w:val="5"/>
              <w:snapToGrid w:val="0"/>
              <w:ind w:firstLine="235" w:firstLineChars="98"/>
              <w:rPr>
                <w:rFonts w:cs="宋体"/>
                <w:bCs/>
                <w:sz w:val="24"/>
              </w:rPr>
            </w:pPr>
            <w:r>
              <w:rPr>
                <w:rFonts w:hint="eastAsia" w:cs="宋体"/>
                <w:bCs/>
                <w:sz w:val="24"/>
              </w:rPr>
              <w:t>5、应急实施方案(临时突发性特殊、急件等服务项目)的科学的、合理的方案得3分，方案良好的得2分，一般的得1分，没有的不得分。最高得3分。</w:t>
            </w:r>
          </w:p>
          <w:p>
            <w:pPr>
              <w:pStyle w:val="5"/>
              <w:snapToGrid w:val="0"/>
              <w:ind w:firstLine="235" w:firstLineChars="98"/>
              <w:rPr>
                <w:rFonts w:cs="宋体"/>
                <w:bCs/>
                <w:sz w:val="24"/>
              </w:rPr>
            </w:pPr>
            <w:r>
              <w:rPr>
                <w:rFonts w:hint="eastAsia" w:cs="宋体"/>
                <w:bCs/>
                <w:sz w:val="24"/>
              </w:rPr>
              <w:t>供应商针对项目现状、存在的问题和服务的难点、要点等问题进行调查剖析的得1-2分，并针对性的提出克服难点和要点技术措施得1-3 分；最高得5分。</w:t>
            </w:r>
          </w:p>
          <w:p>
            <w:pPr>
              <w:pStyle w:val="5"/>
              <w:snapToGrid w:val="0"/>
              <w:ind w:firstLine="235" w:firstLineChars="98"/>
              <w:rPr>
                <w:rFonts w:cs="宋体"/>
                <w:bCs/>
                <w:sz w:val="24"/>
              </w:rPr>
            </w:pPr>
            <w:r>
              <w:rPr>
                <w:rFonts w:hint="eastAsia" w:cs="宋体"/>
                <w:bCs/>
                <w:sz w:val="24"/>
              </w:rPr>
              <w:t>7、社会组织培育孵化方案：社会组织培育孵化方案完善、合理、可行的，得7-10分；社会组织培育孵化方案欠完善、欠合理、欠可行的，得</w:t>
            </w:r>
            <w:r>
              <w:rPr>
                <w:rFonts w:cs="宋体"/>
                <w:bCs/>
                <w:sz w:val="24"/>
              </w:rPr>
              <w:t>3</w:t>
            </w:r>
            <w:r>
              <w:rPr>
                <w:rFonts w:hint="eastAsia" w:cs="宋体"/>
                <w:bCs/>
                <w:sz w:val="24"/>
              </w:rPr>
              <w:t>～6分；社会组织培育孵化方案不完善、不合理、不可行的，得0-3分；最高得10分。</w:t>
            </w:r>
          </w:p>
          <w:p>
            <w:pPr>
              <w:pStyle w:val="5"/>
              <w:snapToGrid w:val="0"/>
              <w:ind w:firstLine="235" w:firstLineChars="98"/>
              <w:rPr>
                <w:rFonts w:cs="宋体"/>
                <w:bCs/>
                <w:sz w:val="24"/>
              </w:rPr>
            </w:pPr>
            <w:r>
              <w:rPr>
                <w:rFonts w:hint="eastAsia" w:cs="宋体"/>
                <w:bCs/>
                <w:sz w:val="24"/>
              </w:rPr>
              <w:t>8、与采购单位的配合：0-2分。</w:t>
            </w:r>
          </w:p>
          <w:p>
            <w:pPr>
              <w:pStyle w:val="5"/>
              <w:snapToGrid w:val="0"/>
              <w:ind w:firstLine="429" w:firstLineChars="178"/>
              <w:rPr>
                <w:rFonts w:cs="宋体"/>
                <w:b/>
                <w:sz w:val="24"/>
                <w:u w:val="single"/>
              </w:rPr>
            </w:pPr>
            <w:r>
              <w:rPr>
                <w:rFonts w:hint="eastAsia" w:cs="宋体"/>
                <w:b/>
                <w:sz w:val="24"/>
              </w:rPr>
              <w:t>以上方案未提供不得分。</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44分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2</w:t>
            </w:r>
          </w:p>
        </w:tc>
        <w:tc>
          <w:tcPr>
            <w:tcW w:w="930" w:type="dxa"/>
            <w:tcBorders>
              <w:top w:val="single" w:color="auto" w:sz="4" w:space="0"/>
              <w:left w:val="single" w:color="auto" w:sz="4" w:space="0"/>
              <w:bottom w:val="single" w:color="auto" w:sz="4" w:space="0"/>
              <w:right w:val="single" w:color="auto" w:sz="4" w:space="0"/>
            </w:tcBorders>
            <w:vAlign w:val="center"/>
          </w:tcPr>
          <w:p>
            <w:pPr>
              <w:pStyle w:val="5"/>
              <w:spacing w:line="420" w:lineRule="exact"/>
              <w:jc w:val="center"/>
              <w:rPr>
                <w:rFonts w:cs="宋体"/>
                <w:bCs/>
                <w:sz w:val="24"/>
              </w:rPr>
            </w:pPr>
            <w:r>
              <w:rPr>
                <w:rFonts w:hint="eastAsia" w:cs="宋体"/>
                <w:bCs/>
                <w:sz w:val="24"/>
              </w:rPr>
              <w:t>合理化建议</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spacing w:line="420" w:lineRule="exact"/>
              <w:jc w:val="left"/>
              <w:rPr>
                <w:rFonts w:cs="宋体"/>
                <w:bCs/>
                <w:sz w:val="24"/>
              </w:rPr>
            </w:pPr>
            <w:r>
              <w:rPr>
                <w:rFonts w:hint="eastAsia" w:cs="宋体"/>
                <w:bCs/>
                <w:sz w:val="24"/>
              </w:rPr>
              <w:t>本项目的了解程度，系统是否存在不足之处，针对本项目提出合理化建议，每提出一条合理化建议的得1分，最高得2分。</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pacing w:line="420" w:lineRule="exact"/>
              <w:jc w:val="center"/>
              <w:rPr>
                <w:rFonts w:cs="宋体"/>
                <w:sz w:val="24"/>
              </w:rPr>
            </w:pPr>
            <w:r>
              <w:rPr>
                <w:rFonts w:hint="eastAsia" w:cs="宋体"/>
                <w:bCs/>
                <w:sz w:val="24"/>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10"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pacing w:val="-10"/>
                <w:sz w:val="24"/>
              </w:rPr>
            </w:pPr>
            <w:r>
              <w:rPr>
                <w:rFonts w:hint="eastAsia" w:cs="宋体"/>
                <w:b/>
                <w:sz w:val="24"/>
              </w:rPr>
              <w:t>商务、资信及其他分</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b/>
                <w:sz w:val="24"/>
              </w:rPr>
            </w:pPr>
            <w:r>
              <w:rPr>
                <w:rFonts w:hint="eastAsia" w:cs="宋体"/>
                <w:b/>
                <w:sz w:val="24"/>
              </w:rPr>
              <w:t>44分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8" w:hRule="atLeast"/>
          <w:jc w:val="center"/>
        </w:trPr>
        <w:tc>
          <w:tcPr>
            <w:tcW w:w="709" w:type="dxa"/>
            <w:tcBorders>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3</w:t>
            </w:r>
          </w:p>
        </w:tc>
        <w:tc>
          <w:tcPr>
            <w:tcW w:w="930" w:type="dxa"/>
            <w:tcBorders>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售后服务承诺</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snapToGrid w:val="0"/>
              <w:ind w:firstLine="235" w:firstLineChars="98"/>
              <w:rPr>
                <w:rFonts w:cs="宋体"/>
                <w:bCs/>
                <w:sz w:val="24"/>
              </w:rPr>
            </w:pPr>
            <w:r>
              <w:rPr>
                <w:rFonts w:hint="eastAsia" w:cs="宋体"/>
                <w:bCs/>
                <w:sz w:val="24"/>
              </w:rPr>
              <w:t>1、服务承诺：服务方案全面周到的得3-5分，服务方案不全面的得0-2分。最高得5分；</w:t>
            </w:r>
          </w:p>
          <w:p>
            <w:pPr>
              <w:pStyle w:val="5"/>
              <w:snapToGrid w:val="0"/>
              <w:ind w:firstLine="235" w:firstLineChars="98"/>
              <w:rPr>
                <w:rFonts w:cs="宋体"/>
                <w:bCs/>
                <w:sz w:val="24"/>
              </w:rPr>
            </w:pPr>
            <w:r>
              <w:rPr>
                <w:rFonts w:hint="eastAsia" w:cs="宋体"/>
                <w:bCs/>
                <w:sz w:val="24"/>
              </w:rPr>
              <w:t>2、响应时间：接到采购人通知（电话、电传等）后3小时现场响应，每减少 0.5 小时加 1 分，最高得3分；</w:t>
            </w:r>
          </w:p>
          <w:p>
            <w:pPr>
              <w:pStyle w:val="5"/>
              <w:snapToGrid w:val="0"/>
              <w:ind w:firstLine="235" w:firstLineChars="98"/>
              <w:rPr>
                <w:rFonts w:cs="宋体"/>
                <w:bCs/>
                <w:sz w:val="24"/>
              </w:rPr>
            </w:pPr>
            <w:r>
              <w:rPr>
                <w:rFonts w:hint="eastAsia" w:cs="宋体"/>
                <w:bCs/>
                <w:sz w:val="24"/>
              </w:rPr>
              <w:t>3、每提出一个对采购项目有实质建设性作用的承诺得 1 分，最高得3分。</w:t>
            </w:r>
          </w:p>
          <w:p>
            <w:pPr>
              <w:pStyle w:val="5"/>
              <w:snapToGrid w:val="0"/>
              <w:ind w:firstLine="429" w:firstLineChars="178"/>
              <w:rPr>
                <w:rFonts w:cs="宋体"/>
                <w:bCs/>
                <w:sz w:val="24"/>
              </w:rPr>
            </w:pPr>
            <w:r>
              <w:rPr>
                <w:rFonts w:hint="eastAsia" w:cs="宋体"/>
                <w:b/>
                <w:sz w:val="24"/>
              </w:rPr>
              <w:t>以上承诺不提供的不得分。</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11分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9" w:type="dxa"/>
            <w:tcBorders>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4</w:t>
            </w:r>
          </w:p>
        </w:tc>
        <w:tc>
          <w:tcPr>
            <w:tcW w:w="930" w:type="dxa"/>
            <w:tcBorders>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人员</w:t>
            </w:r>
          </w:p>
          <w:p>
            <w:pPr>
              <w:pStyle w:val="5"/>
              <w:snapToGrid w:val="0"/>
              <w:jc w:val="center"/>
              <w:rPr>
                <w:rFonts w:cs="宋体"/>
                <w:sz w:val="24"/>
              </w:rPr>
            </w:pPr>
            <w:r>
              <w:rPr>
                <w:rFonts w:hint="eastAsia" w:cs="宋体"/>
                <w:sz w:val="24"/>
              </w:rPr>
              <w:t>配备</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snapToGrid w:val="0"/>
              <w:ind w:firstLine="235" w:firstLineChars="98"/>
              <w:rPr>
                <w:rFonts w:cs="宋体"/>
                <w:bCs/>
                <w:sz w:val="24"/>
              </w:rPr>
            </w:pPr>
            <w:r>
              <w:rPr>
                <w:rFonts w:hint="eastAsia" w:cs="宋体"/>
                <w:bCs/>
                <w:sz w:val="24"/>
              </w:rPr>
              <w:t>1、人员配置齐全、岗位分工完整，能很好的分工协调项目实施事宜1.每有1名中级社工师得2分，初级助理社会工作师得1分；最高得4分；（提供社会工作证书及最近三个月社保证明）</w:t>
            </w:r>
          </w:p>
          <w:p>
            <w:pPr>
              <w:pStyle w:val="5"/>
              <w:snapToGrid w:val="0"/>
              <w:ind w:firstLine="235" w:firstLineChars="98"/>
              <w:rPr>
                <w:rFonts w:cs="宋体"/>
                <w:bCs/>
                <w:sz w:val="24"/>
              </w:rPr>
            </w:pPr>
            <w:r>
              <w:rPr>
                <w:rFonts w:hint="eastAsia" w:cs="宋体"/>
                <w:bCs/>
                <w:sz w:val="24"/>
              </w:rPr>
              <w:t>2.每有1名二级或以上心理咨询师的，得1分；最高得3分；（提供心理咨询师证书及最近三个月社保证明）</w:t>
            </w:r>
          </w:p>
          <w:p>
            <w:pPr>
              <w:pStyle w:val="5"/>
              <w:snapToGrid w:val="0"/>
              <w:ind w:firstLine="235" w:firstLineChars="98"/>
              <w:rPr>
                <w:rFonts w:cs="宋体"/>
                <w:b/>
                <w:sz w:val="24"/>
                <w:u w:val="single"/>
              </w:rPr>
            </w:pPr>
            <w:r>
              <w:rPr>
                <w:rFonts w:hint="eastAsia" w:cs="宋体"/>
                <w:bCs/>
                <w:sz w:val="24"/>
              </w:rPr>
              <w:t>3.有1名及以上社会工作领军人才的，得5分；每增加1名加5分，最多加10分；（提供相关文件及最近三个月社保证明）</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17分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9" w:type="dxa"/>
            <w:tcBorders>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5</w:t>
            </w:r>
          </w:p>
        </w:tc>
        <w:tc>
          <w:tcPr>
            <w:tcW w:w="930" w:type="dxa"/>
            <w:tcBorders>
              <w:left w:val="single" w:color="auto" w:sz="4" w:space="0"/>
              <w:bottom w:val="single" w:color="auto" w:sz="4" w:space="0"/>
              <w:right w:val="single" w:color="auto" w:sz="4" w:space="0"/>
            </w:tcBorders>
            <w:vAlign w:val="center"/>
          </w:tcPr>
          <w:p>
            <w:pPr>
              <w:tabs>
                <w:tab w:val="left" w:pos="1080"/>
              </w:tabs>
              <w:snapToGrid w:val="0"/>
              <w:jc w:val="center"/>
              <w:rPr>
                <w:rFonts w:cs="宋体"/>
                <w:sz w:val="24"/>
              </w:rPr>
            </w:pPr>
            <w:r>
              <w:rPr>
                <w:rFonts w:hint="eastAsia" w:cs="宋体"/>
                <w:sz w:val="24"/>
              </w:rPr>
              <w:t>企业</w:t>
            </w:r>
          </w:p>
          <w:p>
            <w:pPr>
              <w:tabs>
                <w:tab w:val="left" w:pos="1080"/>
              </w:tabs>
              <w:snapToGrid w:val="0"/>
              <w:jc w:val="center"/>
              <w:rPr>
                <w:rFonts w:cs="宋体"/>
                <w:sz w:val="24"/>
              </w:rPr>
            </w:pPr>
            <w:r>
              <w:rPr>
                <w:rFonts w:hint="eastAsia" w:cs="宋体"/>
                <w:sz w:val="24"/>
              </w:rPr>
              <w:t>业绩</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snapToGrid w:val="0"/>
              <w:ind w:firstLine="235" w:firstLineChars="98"/>
              <w:rPr>
                <w:rFonts w:cs="宋体"/>
                <w:bCs/>
                <w:sz w:val="24"/>
              </w:rPr>
            </w:pPr>
            <w:r>
              <w:rPr>
                <w:rFonts w:hint="eastAsia" w:cs="宋体"/>
                <w:bCs/>
                <w:sz w:val="24"/>
              </w:rPr>
              <w:t>评委根据供应商2017年1月1日至今提供的类似合同进行评定：</w:t>
            </w:r>
          </w:p>
          <w:p>
            <w:pPr>
              <w:pStyle w:val="5"/>
              <w:snapToGrid w:val="0"/>
              <w:ind w:firstLine="235" w:firstLineChars="98"/>
              <w:rPr>
                <w:rFonts w:cs="宋体"/>
                <w:bCs/>
                <w:sz w:val="24"/>
              </w:rPr>
            </w:pPr>
            <w:r>
              <w:rPr>
                <w:rFonts w:hint="eastAsia" w:cs="宋体"/>
                <w:bCs/>
                <w:sz w:val="24"/>
              </w:rPr>
              <w:t>供应商每提供1个同类项目合同的得1分，最多得5分。</w:t>
            </w:r>
          </w:p>
          <w:p>
            <w:pPr>
              <w:pStyle w:val="5"/>
              <w:snapToGrid w:val="0"/>
              <w:ind w:firstLine="235" w:firstLineChars="98"/>
              <w:rPr>
                <w:rFonts w:cs="宋体"/>
                <w:bCs/>
                <w:sz w:val="24"/>
              </w:rPr>
            </w:pPr>
            <w:r>
              <w:rPr>
                <w:rFonts w:hint="eastAsia" w:cs="宋体"/>
                <w:bCs/>
                <w:sz w:val="24"/>
              </w:rPr>
              <w:t xml:space="preserve">提供中标（成交）通知书或合同复印件并加盖公章。； </w:t>
            </w:r>
          </w:p>
          <w:p>
            <w:pPr>
              <w:pStyle w:val="5"/>
              <w:snapToGrid w:val="0"/>
              <w:ind w:firstLine="429" w:firstLineChars="178"/>
              <w:rPr>
                <w:i/>
                <w:iCs/>
              </w:rPr>
            </w:pPr>
            <w:r>
              <w:rPr>
                <w:rFonts w:hint="eastAsia" w:cs="宋体"/>
                <w:b/>
                <w:sz w:val="24"/>
              </w:rPr>
              <w:t>相关业绩须提供合同复印件加盖公章。合同或相关证明材料的复印件应制作在磋商响应文件中，否则不得分。</w:t>
            </w:r>
          </w:p>
        </w:tc>
        <w:tc>
          <w:tcPr>
            <w:tcW w:w="787" w:type="dxa"/>
            <w:tcBorders>
              <w:top w:val="single" w:color="auto" w:sz="4" w:space="0"/>
              <w:left w:val="single" w:color="auto" w:sz="4" w:space="0"/>
              <w:bottom w:val="single" w:color="auto" w:sz="4" w:space="0"/>
              <w:right w:val="single" w:color="auto" w:sz="4" w:space="0"/>
            </w:tcBorders>
            <w:vAlign w:val="center"/>
          </w:tcPr>
          <w:p>
            <w:pPr>
              <w:pStyle w:val="20"/>
              <w:snapToGrid w:val="0"/>
              <w:spacing w:line="240" w:lineRule="auto"/>
              <w:ind w:firstLine="0" w:firstLineChars="0"/>
              <w:rPr>
                <w:rFonts w:ascii="宋体" w:hAnsi="宋体" w:cs="宋体"/>
              </w:rPr>
            </w:pPr>
            <w:r>
              <w:rPr>
                <w:rFonts w:hint="eastAsia" w:ascii="宋体" w:hAnsi="宋体" w:cs="宋体"/>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9" w:type="dxa"/>
            <w:tcBorders>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6</w:t>
            </w:r>
          </w:p>
        </w:tc>
        <w:tc>
          <w:tcPr>
            <w:tcW w:w="930" w:type="dxa"/>
            <w:tcBorders>
              <w:left w:val="single" w:color="auto" w:sz="4" w:space="0"/>
              <w:bottom w:val="single" w:color="auto" w:sz="4" w:space="0"/>
              <w:right w:val="single" w:color="auto" w:sz="4" w:space="0"/>
            </w:tcBorders>
            <w:vAlign w:val="center"/>
          </w:tcPr>
          <w:p>
            <w:pPr>
              <w:tabs>
                <w:tab w:val="left" w:pos="1080"/>
              </w:tabs>
              <w:snapToGrid w:val="0"/>
              <w:jc w:val="center"/>
              <w:rPr>
                <w:rFonts w:ascii="宋体" w:hAnsi="宋体" w:cs="宋体"/>
                <w:sz w:val="24"/>
              </w:rPr>
            </w:pPr>
            <w:r>
              <w:rPr>
                <w:rFonts w:hint="eastAsia" w:ascii="宋体" w:hAnsi="宋体" w:cs="宋体"/>
                <w:sz w:val="24"/>
              </w:rPr>
              <w:t>企业荣誉</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pBdr>
                <w:bottom w:val="single" w:color="B8CCE4" w:sz="4" w:space="2"/>
              </w:pBdr>
              <w:snapToGrid w:val="0"/>
              <w:ind w:firstLine="235" w:firstLineChars="98"/>
              <w:rPr>
                <w:rFonts w:cs="宋体"/>
                <w:sz w:val="24"/>
              </w:rPr>
            </w:pPr>
            <w:r>
              <w:rPr>
                <w:rFonts w:hint="eastAsia" w:cs="宋体"/>
                <w:bCs/>
                <w:sz w:val="24"/>
              </w:rPr>
              <w:t>供应商具备经民政部门认定的社会组织等级荣誉的，5A级3分，4A级2分，3A级1分，最高3分。</w:t>
            </w:r>
          </w:p>
        </w:tc>
        <w:tc>
          <w:tcPr>
            <w:tcW w:w="787" w:type="dxa"/>
            <w:tcBorders>
              <w:top w:val="single" w:color="auto" w:sz="4" w:space="0"/>
              <w:left w:val="single" w:color="auto" w:sz="4" w:space="0"/>
              <w:bottom w:val="single" w:color="auto" w:sz="4" w:space="0"/>
              <w:right w:val="single" w:color="auto" w:sz="4" w:space="0"/>
            </w:tcBorders>
            <w:vAlign w:val="center"/>
          </w:tcPr>
          <w:p>
            <w:pPr>
              <w:pStyle w:val="20"/>
              <w:snapToGrid w:val="0"/>
              <w:spacing w:line="240" w:lineRule="auto"/>
              <w:ind w:firstLine="0" w:firstLineChars="0"/>
              <w:jc w:val="center"/>
              <w:rPr>
                <w:rFonts w:ascii="宋体" w:hAnsi="宋体" w:cs="宋体"/>
              </w:rPr>
            </w:pPr>
            <w:r>
              <w:rPr>
                <w:rFonts w:hint="eastAsia" w:ascii="宋体" w:hAnsi="宋体" w:cs="宋体"/>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9" w:type="dxa"/>
            <w:tcBorders>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7</w:t>
            </w:r>
          </w:p>
        </w:tc>
        <w:tc>
          <w:tcPr>
            <w:tcW w:w="930" w:type="dxa"/>
            <w:tcBorders>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企业</w:t>
            </w:r>
          </w:p>
          <w:p>
            <w:pPr>
              <w:snapToGrid w:val="0"/>
              <w:jc w:val="center"/>
              <w:rPr>
                <w:rFonts w:ascii="宋体" w:hAnsi="宋体" w:cs="宋体"/>
                <w:sz w:val="24"/>
              </w:rPr>
            </w:pPr>
            <w:r>
              <w:rPr>
                <w:rFonts w:hint="eastAsia" w:ascii="宋体" w:hAnsi="宋体" w:cs="宋体"/>
                <w:sz w:val="24"/>
              </w:rPr>
              <w:t>实力</w:t>
            </w:r>
          </w:p>
        </w:tc>
        <w:tc>
          <w:tcPr>
            <w:tcW w:w="7371" w:type="dxa"/>
            <w:tcBorders>
              <w:top w:val="single" w:color="auto" w:sz="4" w:space="0"/>
              <w:left w:val="single" w:color="auto" w:sz="4" w:space="0"/>
              <w:bottom w:val="single" w:color="auto" w:sz="4" w:space="0"/>
              <w:right w:val="single" w:color="auto" w:sz="4" w:space="0"/>
            </w:tcBorders>
            <w:vAlign w:val="center"/>
          </w:tcPr>
          <w:p>
            <w:pPr>
              <w:pStyle w:val="5"/>
              <w:snapToGrid w:val="0"/>
              <w:ind w:firstLine="235" w:firstLineChars="98"/>
              <w:rPr>
                <w:rFonts w:cs="宋体"/>
                <w:bCs/>
                <w:sz w:val="24"/>
              </w:rPr>
            </w:pPr>
            <w:r>
              <w:rPr>
                <w:rFonts w:hint="eastAsia" w:cs="宋体"/>
                <w:bCs/>
                <w:sz w:val="24"/>
              </w:rPr>
              <w:t>1.星级幸福邻里中心评定，五星级3分，四星级2分，三星级1分，最高得6分；（限2家，需提供相关证明文件、证书等）；</w:t>
            </w:r>
          </w:p>
          <w:p>
            <w:pPr>
              <w:pStyle w:val="5"/>
              <w:snapToGrid w:val="0"/>
              <w:ind w:firstLine="235" w:firstLineChars="98"/>
              <w:rPr>
                <w:rFonts w:cs="宋体"/>
                <w:bCs/>
                <w:sz w:val="24"/>
              </w:rPr>
            </w:pPr>
            <w:r>
              <w:rPr>
                <w:rFonts w:hint="eastAsia" w:cs="宋体"/>
                <w:bCs/>
                <w:sz w:val="24"/>
              </w:rPr>
              <w:t>2.品牌社会组织、品牌公益服务项目等，每个1分，最高得2分；（相关证明文件、证书等）；</w:t>
            </w:r>
          </w:p>
          <w:p>
            <w:pPr>
              <w:pStyle w:val="5"/>
              <w:snapToGrid w:val="0"/>
              <w:ind w:firstLine="235" w:firstLineChars="98"/>
              <w:rPr>
                <w:rFonts w:cs="宋体"/>
                <w:b/>
                <w:sz w:val="24"/>
                <w:u w:val="single"/>
              </w:rPr>
            </w:pPr>
            <w:r>
              <w:rPr>
                <w:rFonts w:hint="eastAsia" w:cs="宋体"/>
                <w:bCs/>
                <w:sz w:val="24"/>
              </w:rPr>
              <w:t>相关荣誉须提供证明文件或荣誉证书等，否则不得分</w:t>
            </w:r>
          </w:p>
        </w:tc>
        <w:tc>
          <w:tcPr>
            <w:tcW w:w="787" w:type="dxa"/>
            <w:tcBorders>
              <w:top w:val="single" w:color="auto" w:sz="4" w:space="0"/>
              <w:left w:val="single" w:color="auto" w:sz="4" w:space="0"/>
              <w:bottom w:val="single" w:color="auto" w:sz="4" w:space="0"/>
              <w:right w:val="single" w:color="auto" w:sz="4" w:space="0"/>
            </w:tcBorders>
            <w:vAlign w:val="center"/>
          </w:tcPr>
          <w:p>
            <w:pPr>
              <w:pStyle w:val="5"/>
              <w:snapToGrid w:val="0"/>
              <w:jc w:val="center"/>
              <w:rPr>
                <w:rFonts w:cs="宋体"/>
                <w:sz w:val="24"/>
              </w:rPr>
            </w:pPr>
            <w:r>
              <w:rPr>
                <w:rFonts w:hint="eastAsia" w:cs="宋体"/>
                <w:sz w:val="24"/>
              </w:rPr>
              <w:t>8分</w:t>
            </w:r>
          </w:p>
        </w:tc>
      </w:tr>
    </w:tbl>
    <w:p>
      <w:pPr>
        <w:spacing w:line="380" w:lineRule="exact"/>
        <w:rPr>
          <w:rFonts w:ascii="宋体" w:hAnsi="宋体" w:cs="宋体"/>
          <w:b/>
          <w:sz w:val="24"/>
          <w:lang w:bidi="en-US"/>
        </w:rPr>
      </w:pPr>
    </w:p>
    <w:p>
      <w:pPr>
        <w:spacing w:line="380" w:lineRule="exact"/>
        <w:rPr>
          <w:rFonts w:ascii="宋体" w:hAnsi="宋体" w:cs="宋体"/>
          <w:b/>
          <w:sz w:val="24"/>
        </w:rPr>
      </w:pPr>
      <w:r>
        <w:rPr>
          <w:rFonts w:hint="eastAsia" w:ascii="宋体" w:hAnsi="宋体" w:cs="宋体"/>
          <w:b/>
          <w:sz w:val="24"/>
          <w:lang w:bidi="en-US"/>
        </w:rPr>
        <w:t>注：以</w:t>
      </w:r>
      <w:r>
        <w:rPr>
          <w:rFonts w:hint="eastAsia" w:ascii="宋体" w:hAnsi="宋体" w:cs="宋体"/>
          <w:b/>
          <w:sz w:val="24"/>
        </w:rPr>
        <w:t>上证明文件复印件均需加盖公章，附在投标文件中；提供材料不真实、不完整或伪造证明材料的，后果自负。</w:t>
      </w:r>
    </w:p>
    <w:p>
      <w:pPr>
        <w:spacing w:line="540" w:lineRule="exact"/>
        <w:ind w:right="420" w:rightChars="200"/>
        <w:rPr>
          <w:rFonts w:asciiTheme="minorEastAsia" w:hAnsiTheme="minorEastAsia" w:eastAsiaTheme="minorEastAsia" w:cstheme="minorEastAsia"/>
        </w:rPr>
      </w:pPr>
    </w:p>
    <w:sectPr>
      <w:headerReference r:id="rId9" w:type="default"/>
      <w:footerReference r:id="rId10" w:type="default"/>
      <w:pgSz w:w="11906" w:h="16838"/>
      <w:pgMar w:top="1134" w:right="1247" w:bottom="1032" w:left="1247"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b/>
        <w:lang w:eastAsia="zh-CN"/>
      </w:rPr>
    </w:pPr>
    <w:r>
      <w:rPr>
        <w:rFonts w:hint="eastAsia"/>
        <w: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b/>
        <w:lang w:eastAsia="zh-CN"/>
      </w:rPr>
      <w:t>浙江同欣工程管理有限公司</w:t>
    </w:r>
    <w:r>
      <w:rPr>
        <w:rFonts w:hint="eastAsia"/>
        <w:b/>
      </w:rPr>
      <w:t xml:space="preserve">                                 </w:t>
    </w:r>
    <w:r>
      <w:rPr>
        <w:rFonts w:hint="eastAsia"/>
        <w:b/>
        <w:lang w:eastAsia="zh-CN"/>
      </w:rPr>
      <w:t>0572-2751688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20" w:leftChars="-200" w:right="-409" w:rightChars="-195"/>
      <w:jc w:val="center"/>
      <w:rPr>
        <w:rFonts w:hint="eastAsia" w:eastAsiaTheme="minorEastAsia"/>
        <w:sz w:val="21"/>
        <w:szCs w:val="21"/>
        <w:u w:val="single"/>
        <w:lang w:eastAsia="zh-CN"/>
      </w:rPr>
    </w:pPr>
    <w:r>
      <w:rPr>
        <w:rFonts w:asciiTheme="minorEastAsia" w:hAnsiTheme="minorEastAsia" w:eastAsiaTheme="minorEastAsia"/>
        <w:sz w:val="21"/>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r>
      <w:rPr>
        <w:rFonts w:hint="eastAsia" w:asciiTheme="minorEastAsia" w:hAnsiTheme="minorEastAsia" w:eastAsiaTheme="minorEastAsia"/>
        <w:b/>
        <w:sz w:val="21"/>
        <w:szCs w:val="21"/>
        <w:lang w:eastAsia="zh-CN"/>
      </w:rPr>
      <w:t>浙江同欣工程管理有限公司</w:t>
    </w:r>
    <w:r>
      <w:rPr>
        <w:rFonts w:hint="eastAsia" w:asciiTheme="minorEastAsia" w:hAnsiTheme="minorEastAsia" w:eastAsiaTheme="minorEastAsia"/>
        <w:b/>
        <w:sz w:val="21"/>
        <w:szCs w:val="21"/>
      </w:rPr>
      <w:t xml:space="preserve">                                 </w:t>
    </w:r>
    <w:r>
      <w:rPr>
        <w:rFonts w:hint="eastAsia" w:asciiTheme="minorEastAsia" w:hAnsiTheme="minorEastAsia" w:eastAsiaTheme="minorEastAsia"/>
        <w:b/>
        <w:sz w:val="21"/>
        <w:szCs w:val="21"/>
        <w:lang w:eastAsia="zh-CN"/>
      </w:rPr>
      <w:t>0572-2751688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5"/>
      </w:rPr>
    </w:pPr>
    <w:r>
      <w:fldChar w:fldCharType="begin"/>
    </w:r>
    <w:r>
      <w:rPr>
        <w:rStyle w:val="25"/>
      </w:rPr>
      <w:instrText xml:space="preserve">PAGE  </w:instrText>
    </w:r>
    <w:r>
      <w:fldChar w:fldCharType="end"/>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rPr>
        <w:rFonts w:hint="eastAsia" w:ascii="仿宋" w:hAnsi="仿宋" w:eastAsiaTheme="minorEastAsia"/>
        <w:sz w:val="21"/>
        <w:szCs w:val="21"/>
        <w:u w:val="single"/>
        <w:lang w:eastAsia="zh-CN"/>
      </w:rPr>
    </w:pPr>
    <w:r>
      <w:rPr>
        <w:sz w:val="21"/>
        <w:szCs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22</w:t>
                    </w:r>
                    <w:r>
                      <w:fldChar w:fldCharType="end"/>
                    </w:r>
                  </w:p>
                </w:txbxContent>
              </v:textbox>
            </v:shape>
          </w:pict>
        </mc:Fallback>
      </mc:AlternateContent>
    </w:r>
    <w:r>
      <w:rPr>
        <w:rFonts w:hint="eastAsia" w:asciiTheme="minorEastAsia" w:hAnsiTheme="minorEastAsia" w:eastAsiaTheme="minorEastAsia"/>
        <w:b/>
        <w:sz w:val="21"/>
        <w:szCs w:val="21"/>
        <w:lang w:eastAsia="zh-CN"/>
      </w:rPr>
      <w:t>浙江同欣工程管理有限公司</w:t>
    </w:r>
    <w:r>
      <w:rPr>
        <w:rFonts w:hint="eastAsia" w:asciiTheme="minorEastAsia" w:hAnsiTheme="minorEastAsia" w:eastAsiaTheme="minorEastAsia"/>
        <w:b/>
        <w:sz w:val="21"/>
        <w:szCs w:val="21"/>
      </w:rPr>
      <w:t xml:space="preserve">                                 </w:t>
    </w:r>
    <w:r>
      <w:rPr>
        <w:rFonts w:hint="eastAsia" w:asciiTheme="minorEastAsia" w:hAnsiTheme="minorEastAsia" w:eastAsiaTheme="minorEastAsia"/>
        <w:b/>
        <w:sz w:val="21"/>
        <w:szCs w:val="21"/>
        <w:lang w:eastAsia="zh-CN"/>
      </w:rPr>
      <w:t>0572-2751688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color w:val="000000"/>
        <w:sz w:val="21"/>
        <w:szCs w:val="21"/>
      </w:rPr>
      <w:t xml:space="preserve">2022-2023年度环渚街道幸福邻里中心运营社会组织采购项目 </w:t>
    </w:r>
    <w:r>
      <w:rPr>
        <w:rFonts w:hint="eastAsia" w:asciiTheme="minorEastAsia" w:hAnsiTheme="minorEastAsia" w:eastAsiaTheme="minorEastAsia" w:cstheme="minorEastAsia"/>
        <w:b/>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仿宋" w:hAnsi="仿宋" w:eastAsia="仿宋"/>
        <w:sz w:val="24"/>
      </w:rPr>
    </w:pPr>
    <w:r>
      <w:rPr>
        <w:rFonts w:hint="eastAsia" w:asciiTheme="minorEastAsia" w:hAnsiTheme="minorEastAsia" w:eastAsiaTheme="minorEastAsia" w:cstheme="minorEastAsia"/>
        <w:color w:val="000000"/>
        <w:sz w:val="21"/>
        <w:szCs w:val="21"/>
      </w:rPr>
      <w:t>2022-2023年度环渚街道幸福邻里中心运营社会组织采购项目</w:t>
    </w:r>
    <w:r>
      <w:rPr>
        <w:rFonts w:hint="eastAsia" w:asciiTheme="minorEastAsia" w:hAnsiTheme="minorEastAsia" w:eastAsiaTheme="minorEastAsia" w:cstheme="minorEastAsia"/>
        <w:sz w:val="21"/>
        <w:szCs w:val="21"/>
      </w:rPr>
      <w:t xml:space="preserve">    </w:t>
    </w:r>
    <w:r>
      <w:rPr>
        <w:rFonts w:hint="eastAsia" w:ascii="仿宋" w:hAnsi="仿宋" w:eastAsia="仿宋"/>
        <w:sz w:val="24"/>
      </w:rPr>
      <w:t xml:space="preserve">                  </w:t>
    </w:r>
    <w:r>
      <w:rPr>
        <w:rFonts w:hint="eastAsia" w:asciiTheme="minorEastAsia" w:hAnsiTheme="minorEastAsia" w:eastAsiaTheme="minorEastAsia" w:cstheme="minorEastAsia"/>
        <w:sz w:val="21"/>
        <w:szCs w:val="21"/>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仿宋" w:hAnsi="仿宋" w:eastAsia="仿宋"/>
        <w:b/>
        <w:szCs w:val="21"/>
      </w:rPr>
    </w:pPr>
    <w:r>
      <w:rPr>
        <w:rFonts w:hint="eastAsia" w:asciiTheme="minorEastAsia" w:hAnsiTheme="minorEastAsia" w:eastAsiaTheme="minorEastAsia" w:cstheme="minorEastAsia"/>
        <w:b/>
        <w:color w:val="000000"/>
        <w:sz w:val="21"/>
        <w:szCs w:val="21"/>
      </w:rPr>
      <w:t xml:space="preserve">2022-2023年度环渚街道幸福邻里中心运营社会组织采购项目 </w:t>
    </w:r>
    <w:r>
      <w:rPr>
        <w:rFonts w:hint="eastAsia" w:asciiTheme="minorEastAsia" w:hAnsiTheme="minorEastAsia" w:eastAsiaTheme="minorEastAsia" w:cstheme="minorEastAsia"/>
        <w:b/>
        <w:sz w:val="21"/>
        <w:szCs w:val="21"/>
      </w:rPr>
      <w:t xml:space="preserve">                    竞争性磋商文件</w:t>
    </w:r>
    <w:r>
      <w:rPr>
        <w:rFonts w:hint="eastAsia" w:ascii="仿宋" w:hAnsi="仿宋" w:eastAsia="仿宋"/>
        <w:b/>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B21A3"/>
    <w:multiLevelType w:val="singleLevel"/>
    <w:tmpl w:val="B31B21A3"/>
    <w:lvl w:ilvl="0" w:tentative="0">
      <w:start w:val="1"/>
      <w:numFmt w:val="decimal"/>
      <w:lvlText w:val="%1."/>
      <w:lvlJc w:val="left"/>
      <w:pPr>
        <w:tabs>
          <w:tab w:val="left" w:pos="312"/>
        </w:tabs>
        <w:ind w:left="481" w:firstLine="0"/>
      </w:pPr>
    </w:lvl>
  </w:abstractNum>
  <w:abstractNum w:abstractNumId="1">
    <w:nsid w:val="0EAFB0E8"/>
    <w:multiLevelType w:val="singleLevel"/>
    <w:tmpl w:val="0EAFB0E8"/>
    <w:lvl w:ilvl="0" w:tentative="0">
      <w:start w:val="4"/>
      <w:numFmt w:val="chineseCounting"/>
      <w:suff w:val="nothing"/>
      <w:lvlText w:val="%1、"/>
      <w:lvlJc w:val="left"/>
      <w:rPr>
        <w:rFonts w:hint="eastAsia"/>
      </w:rPr>
    </w:lvl>
  </w:abstractNum>
  <w:abstractNum w:abstractNumId="2">
    <w:nsid w:val="177F1145"/>
    <w:multiLevelType w:val="multilevel"/>
    <w:tmpl w:val="177F1145"/>
    <w:lvl w:ilvl="0" w:tentative="0">
      <w:start w:val="1"/>
      <w:numFmt w:val="japaneseCounting"/>
      <w:lvlText w:val="第%1章"/>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D0"/>
    <w:rsid w:val="00080146"/>
    <w:rsid w:val="001159D0"/>
    <w:rsid w:val="00122854"/>
    <w:rsid w:val="00125D02"/>
    <w:rsid w:val="001E73E7"/>
    <w:rsid w:val="0024512E"/>
    <w:rsid w:val="00290F87"/>
    <w:rsid w:val="002C2EA1"/>
    <w:rsid w:val="002C583A"/>
    <w:rsid w:val="00372B57"/>
    <w:rsid w:val="00381EE4"/>
    <w:rsid w:val="003D3B1C"/>
    <w:rsid w:val="004419EA"/>
    <w:rsid w:val="004E18AB"/>
    <w:rsid w:val="00510E63"/>
    <w:rsid w:val="0051715B"/>
    <w:rsid w:val="00522715"/>
    <w:rsid w:val="00524EB2"/>
    <w:rsid w:val="005319EC"/>
    <w:rsid w:val="005B48BA"/>
    <w:rsid w:val="00647EE4"/>
    <w:rsid w:val="00680DD0"/>
    <w:rsid w:val="006C2DC1"/>
    <w:rsid w:val="006D27F5"/>
    <w:rsid w:val="00766776"/>
    <w:rsid w:val="008008FC"/>
    <w:rsid w:val="008561C3"/>
    <w:rsid w:val="009123B0"/>
    <w:rsid w:val="00964E79"/>
    <w:rsid w:val="009976B0"/>
    <w:rsid w:val="009D23C2"/>
    <w:rsid w:val="00A559A7"/>
    <w:rsid w:val="00AE6CF5"/>
    <w:rsid w:val="00B82224"/>
    <w:rsid w:val="00C86878"/>
    <w:rsid w:val="00CA387A"/>
    <w:rsid w:val="00CC061A"/>
    <w:rsid w:val="00D321CA"/>
    <w:rsid w:val="00D831EA"/>
    <w:rsid w:val="00D87874"/>
    <w:rsid w:val="00DD0AD4"/>
    <w:rsid w:val="00EA1921"/>
    <w:rsid w:val="00EA7398"/>
    <w:rsid w:val="00F85A85"/>
    <w:rsid w:val="027D4C2D"/>
    <w:rsid w:val="02973924"/>
    <w:rsid w:val="042A27D4"/>
    <w:rsid w:val="04F179E6"/>
    <w:rsid w:val="06BB3CE5"/>
    <w:rsid w:val="070B26EF"/>
    <w:rsid w:val="074C3905"/>
    <w:rsid w:val="0771579B"/>
    <w:rsid w:val="082D0FEC"/>
    <w:rsid w:val="091706B1"/>
    <w:rsid w:val="09D07D3B"/>
    <w:rsid w:val="0AB06A35"/>
    <w:rsid w:val="0B1008C8"/>
    <w:rsid w:val="0B6E767D"/>
    <w:rsid w:val="0BEB24AE"/>
    <w:rsid w:val="0C07111F"/>
    <w:rsid w:val="0C3969CD"/>
    <w:rsid w:val="0D1B3E30"/>
    <w:rsid w:val="0DA341AF"/>
    <w:rsid w:val="0E4512A2"/>
    <w:rsid w:val="0EB03525"/>
    <w:rsid w:val="0F4032D4"/>
    <w:rsid w:val="11617E2F"/>
    <w:rsid w:val="11E361B0"/>
    <w:rsid w:val="12A72D69"/>
    <w:rsid w:val="1335758E"/>
    <w:rsid w:val="14CF159F"/>
    <w:rsid w:val="15ED5270"/>
    <w:rsid w:val="16443A9D"/>
    <w:rsid w:val="16891F9F"/>
    <w:rsid w:val="18801768"/>
    <w:rsid w:val="19333658"/>
    <w:rsid w:val="194014D0"/>
    <w:rsid w:val="1990646A"/>
    <w:rsid w:val="1CD52333"/>
    <w:rsid w:val="1E4D69E5"/>
    <w:rsid w:val="1EF6339E"/>
    <w:rsid w:val="1F2418C4"/>
    <w:rsid w:val="1F4D2260"/>
    <w:rsid w:val="1FE07DF0"/>
    <w:rsid w:val="202F059C"/>
    <w:rsid w:val="20922CB7"/>
    <w:rsid w:val="20A53B59"/>
    <w:rsid w:val="21921E86"/>
    <w:rsid w:val="224A2BFB"/>
    <w:rsid w:val="232D20FA"/>
    <w:rsid w:val="23552DFB"/>
    <w:rsid w:val="237F7C33"/>
    <w:rsid w:val="23977379"/>
    <w:rsid w:val="23D1105D"/>
    <w:rsid w:val="23FB0100"/>
    <w:rsid w:val="25302054"/>
    <w:rsid w:val="270333F6"/>
    <w:rsid w:val="27DD65BA"/>
    <w:rsid w:val="289831A1"/>
    <w:rsid w:val="28DE3252"/>
    <w:rsid w:val="291034CC"/>
    <w:rsid w:val="29810579"/>
    <w:rsid w:val="29B8498C"/>
    <w:rsid w:val="2A492A2D"/>
    <w:rsid w:val="2ADE1DB0"/>
    <w:rsid w:val="2B0214BD"/>
    <w:rsid w:val="2B190124"/>
    <w:rsid w:val="2B5826F8"/>
    <w:rsid w:val="2CBB6D5D"/>
    <w:rsid w:val="2EAB2B9C"/>
    <w:rsid w:val="2EF8624D"/>
    <w:rsid w:val="2EFB6551"/>
    <w:rsid w:val="2FFF4851"/>
    <w:rsid w:val="30336C7D"/>
    <w:rsid w:val="31552F9F"/>
    <w:rsid w:val="31CC6AA5"/>
    <w:rsid w:val="32595081"/>
    <w:rsid w:val="325A322E"/>
    <w:rsid w:val="32A004DC"/>
    <w:rsid w:val="33013677"/>
    <w:rsid w:val="333B3FD9"/>
    <w:rsid w:val="34F15104"/>
    <w:rsid w:val="35C534F2"/>
    <w:rsid w:val="36D35A1E"/>
    <w:rsid w:val="374B4E10"/>
    <w:rsid w:val="38CA6533"/>
    <w:rsid w:val="39F64DC7"/>
    <w:rsid w:val="3A4C711F"/>
    <w:rsid w:val="3A980D0D"/>
    <w:rsid w:val="3B3910A0"/>
    <w:rsid w:val="3B646736"/>
    <w:rsid w:val="3C7E180B"/>
    <w:rsid w:val="3CBB7950"/>
    <w:rsid w:val="3CD07B52"/>
    <w:rsid w:val="3D5D60A8"/>
    <w:rsid w:val="3DB35225"/>
    <w:rsid w:val="3DC201B3"/>
    <w:rsid w:val="3DC924E9"/>
    <w:rsid w:val="3DFE4168"/>
    <w:rsid w:val="3F42139D"/>
    <w:rsid w:val="413127D1"/>
    <w:rsid w:val="42D9110E"/>
    <w:rsid w:val="42FF6DD2"/>
    <w:rsid w:val="4426130F"/>
    <w:rsid w:val="44D07F90"/>
    <w:rsid w:val="45D03E80"/>
    <w:rsid w:val="464B3AF8"/>
    <w:rsid w:val="46A40DD0"/>
    <w:rsid w:val="470775A3"/>
    <w:rsid w:val="47531442"/>
    <w:rsid w:val="480C5D35"/>
    <w:rsid w:val="486B1FD7"/>
    <w:rsid w:val="4A1C197E"/>
    <w:rsid w:val="4A8065F0"/>
    <w:rsid w:val="4BB900ED"/>
    <w:rsid w:val="4BF60E13"/>
    <w:rsid w:val="4D025E5F"/>
    <w:rsid w:val="4D060757"/>
    <w:rsid w:val="4D292CDE"/>
    <w:rsid w:val="4D3F1A00"/>
    <w:rsid w:val="4D4E345E"/>
    <w:rsid w:val="4DB73B3A"/>
    <w:rsid w:val="4E094FEC"/>
    <w:rsid w:val="4E0B4E03"/>
    <w:rsid w:val="4E115C61"/>
    <w:rsid w:val="4E213FB1"/>
    <w:rsid w:val="4F0E0B39"/>
    <w:rsid w:val="4F5C3E56"/>
    <w:rsid w:val="518A6B82"/>
    <w:rsid w:val="52103846"/>
    <w:rsid w:val="527A293B"/>
    <w:rsid w:val="53090C02"/>
    <w:rsid w:val="531A4AB2"/>
    <w:rsid w:val="532F71C7"/>
    <w:rsid w:val="539427B6"/>
    <w:rsid w:val="547B0759"/>
    <w:rsid w:val="57862D68"/>
    <w:rsid w:val="57DF24CB"/>
    <w:rsid w:val="57F62CC3"/>
    <w:rsid w:val="585113A0"/>
    <w:rsid w:val="585322D1"/>
    <w:rsid w:val="5871327B"/>
    <w:rsid w:val="58991383"/>
    <w:rsid w:val="58C45656"/>
    <w:rsid w:val="58D03A3A"/>
    <w:rsid w:val="58D46C4C"/>
    <w:rsid w:val="5A762E3E"/>
    <w:rsid w:val="5ABE3D59"/>
    <w:rsid w:val="5B5B7E08"/>
    <w:rsid w:val="5BE06E65"/>
    <w:rsid w:val="5D7F13FC"/>
    <w:rsid w:val="5E2F1776"/>
    <w:rsid w:val="5F641286"/>
    <w:rsid w:val="61E27004"/>
    <w:rsid w:val="620B4C69"/>
    <w:rsid w:val="62515E8F"/>
    <w:rsid w:val="64192BD0"/>
    <w:rsid w:val="641D3E8F"/>
    <w:rsid w:val="645D3FD0"/>
    <w:rsid w:val="66E52CB4"/>
    <w:rsid w:val="66F652E5"/>
    <w:rsid w:val="67211A33"/>
    <w:rsid w:val="678F3DBF"/>
    <w:rsid w:val="692071C3"/>
    <w:rsid w:val="692B5F5D"/>
    <w:rsid w:val="694C6837"/>
    <w:rsid w:val="6A793230"/>
    <w:rsid w:val="6A8E299D"/>
    <w:rsid w:val="6A927217"/>
    <w:rsid w:val="6ACE0985"/>
    <w:rsid w:val="6B6C2B09"/>
    <w:rsid w:val="6BA82C30"/>
    <w:rsid w:val="6C2E4B41"/>
    <w:rsid w:val="6CF13D2F"/>
    <w:rsid w:val="6D3558E2"/>
    <w:rsid w:val="6E37145A"/>
    <w:rsid w:val="6E97376B"/>
    <w:rsid w:val="70A96034"/>
    <w:rsid w:val="70F36BB4"/>
    <w:rsid w:val="7173413E"/>
    <w:rsid w:val="72515C8C"/>
    <w:rsid w:val="731C29AB"/>
    <w:rsid w:val="74330669"/>
    <w:rsid w:val="745A656D"/>
    <w:rsid w:val="74A44223"/>
    <w:rsid w:val="74A67F54"/>
    <w:rsid w:val="77D35EBA"/>
    <w:rsid w:val="78E63D42"/>
    <w:rsid w:val="7A7D5833"/>
    <w:rsid w:val="7CC01B5A"/>
    <w:rsid w:val="7CE8316E"/>
    <w:rsid w:val="7D246948"/>
    <w:rsid w:val="7D577F36"/>
    <w:rsid w:val="7EC148B6"/>
    <w:rsid w:val="7F8205EE"/>
    <w:rsid w:val="7F896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0"/>
    <w:pPr>
      <w:keepNext/>
      <w:keepLines/>
      <w:spacing w:line="578" w:lineRule="auto"/>
      <w:outlineLvl w:val="0"/>
    </w:pPr>
    <w:rPr>
      <w:b/>
      <w:bCs/>
      <w:kern w:val="44"/>
      <w:sz w:val="44"/>
      <w:szCs w:val="44"/>
    </w:rPr>
  </w:style>
  <w:style w:type="paragraph" w:styleId="8">
    <w:name w:val="heading 2"/>
    <w:basedOn w:val="1"/>
    <w:next w:val="9"/>
    <w:qFormat/>
    <w:uiPriority w:val="0"/>
    <w:pPr>
      <w:keepNext/>
      <w:keepLines/>
      <w:spacing w:line="416" w:lineRule="auto"/>
      <w:outlineLvl w:val="1"/>
    </w:pPr>
    <w:rPr>
      <w:rFonts w:ascii="Arial" w:hAnsi="Arial" w:eastAsia="黑体"/>
      <w:b/>
      <w:bCs/>
      <w:sz w:val="32"/>
      <w:szCs w:val="32"/>
    </w:rPr>
  </w:style>
  <w:style w:type="paragraph" w:styleId="10">
    <w:name w:val="heading 4"/>
    <w:basedOn w:val="1"/>
    <w:next w:val="1"/>
    <w:qFormat/>
    <w:uiPriority w:val="99"/>
    <w:pPr>
      <w:keepNext/>
      <w:keepLines/>
      <w:spacing w:before="280" w:after="290" w:line="376" w:lineRule="auto"/>
      <w:outlineLvl w:val="3"/>
    </w:pPr>
    <w:rPr>
      <w:rFonts w:ascii="Arial" w:hAnsi="Arial" w:eastAsia="黑体" w:cs="Arial"/>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tabs>
        <w:tab w:val="left" w:pos="0"/>
        <w:tab w:val="left" w:pos="993"/>
        <w:tab w:val="left" w:pos="1134"/>
      </w:tabs>
      <w:spacing w:after="120" w:line="240" w:lineRule="auto"/>
      <w:ind w:left="420" w:leftChars="200" w:firstLine="420"/>
    </w:pPr>
    <w:rPr>
      <w:sz w:val="21"/>
      <w:szCs w:val="21"/>
    </w:rPr>
  </w:style>
  <w:style w:type="paragraph" w:styleId="3">
    <w:name w:val="Body Text Indent"/>
    <w:basedOn w:val="1"/>
    <w:next w:val="2"/>
    <w:qFormat/>
    <w:uiPriority w:val="0"/>
    <w:pPr>
      <w:spacing w:line="360" w:lineRule="auto"/>
      <w:ind w:firstLine="600" w:firstLineChars="200"/>
    </w:pPr>
    <w:rPr>
      <w:rFonts w:ascii="仿宋_GB2312" w:hAnsi="宋体" w:eastAsia="仿宋_GB2312"/>
      <w:sz w:val="30"/>
    </w:rPr>
  </w:style>
  <w:style w:type="paragraph" w:styleId="4">
    <w:name w:val="Body Text First Indent"/>
    <w:basedOn w:val="5"/>
    <w:next w:val="1"/>
    <w:qFormat/>
    <w:uiPriority w:val="0"/>
    <w:pPr>
      <w:spacing w:line="312" w:lineRule="auto"/>
      <w:ind w:firstLine="420"/>
    </w:pPr>
  </w:style>
  <w:style w:type="paragraph" w:styleId="5">
    <w:name w:val="Body Text"/>
    <w:basedOn w:val="1"/>
    <w:next w:val="6"/>
    <w:link w:val="42"/>
    <w:qFormat/>
    <w:uiPriority w:val="0"/>
    <w:rPr>
      <w:rFonts w:ascii="宋体" w:hAnsi="宋体"/>
      <w:sz w:val="28"/>
    </w:rPr>
  </w:style>
  <w:style w:type="paragraph" w:customStyle="1" w:styleId="6">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9">
    <w:name w:val="Normal Indent"/>
    <w:basedOn w:val="1"/>
    <w:qFormat/>
    <w:uiPriority w:val="0"/>
    <w:pPr>
      <w:ind w:firstLine="420"/>
    </w:pPr>
    <w:rPr>
      <w:szCs w:val="20"/>
    </w:rPr>
  </w:style>
  <w:style w:type="paragraph" w:styleId="11">
    <w:name w:val="List Number 2"/>
    <w:basedOn w:val="1"/>
    <w:qFormat/>
    <w:uiPriority w:val="0"/>
    <w:pPr>
      <w:widowControl/>
      <w:tabs>
        <w:tab w:val="left" w:pos="1680"/>
      </w:tabs>
      <w:ind w:left="1680" w:hanging="420"/>
      <w:jc w:val="left"/>
    </w:pPr>
    <w:rPr>
      <w:rFonts w:ascii="Times New Roman" w:hAnsi="Times New Roman"/>
      <w:kern w:val="0"/>
      <w:sz w:val="24"/>
      <w:szCs w:val="20"/>
    </w:rPr>
  </w:style>
  <w:style w:type="paragraph" w:styleId="12">
    <w:name w:val="caption"/>
    <w:basedOn w:val="1"/>
    <w:next w:val="1"/>
    <w:qFormat/>
    <w:uiPriority w:val="0"/>
    <w:rPr>
      <w:rFonts w:ascii="Arial" w:hAnsi="Arial" w:eastAsia="黑体"/>
      <w:sz w:val="20"/>
      <w:szCs w:val="20"/>
    </w:rPr>
  </w:style>
  <w:style w:type="paragraph" w:styleId="13">
    <w:name w:val="annotation text"/>
    <w:basedOn w:val="1"/>
    <w:qFormat/>
    <w:uiPriority w:val="0"/>
    <w:pPr>
      <w:jc w:val="left"/>
    </w:pPr>
  </w:style>
  <w:style w:type="paragraph" w:styleId="14">
    <w:name w:val="Block Text"/>
    <w:basedOn w:val="1"/>
    <w:qFormat/>
    <w:uiPriority w:val="99"/>
    <w:pPr>
      <w:adjustRightInd w:val="0"/>
      <w:ind w:left="420" w:right="33"/>
      <w:textAlignment w:val="baseline"/>
    </w:pPr>
    <w:rPr>
      <w:sz w:val="24"/>
    </w:rPr>
  </w:style>
  <w:style w:type="paragraph" w:styleId="15">
    <w:name w:val="Plain Text"/>
    <w:basedOn w:val="1"/>
    <w:next w:val="1"/>
    <w:qFormat/>
    <w:uiPriority w:val="0"/>
    <w:pPr>
      <w:spacing w:beforeLines="50" w:afterLines="50" w:line="400" w:lineRule="exact"/>
    </w:pPr>
    <w:rPr>
      <w:rFonts w:ascii="宋体" w:hAnsi="Courier New"/>
      <w:sz w:val="24"/>
    </w:rPr>
  </w:style>
  <w:style w:type="paragraph" w:styleId="16">
    <w:name w:val="Balloon Text"/>
    <w:basedOn w:val="1"/>
    <w:link w:val="40"/>
    <w:qFormat/>
    <w:uiPriority w:val="0"/>
    <w:rPr>
      <w:sz w:val="18"/>
      <w:szCs w:val="18"/>
    </w:rPr>
  </w:style>
  <w:style w:type="paragraph" w:styleId="17">
    <w:name w:val="footer"/>
    <w:basedOn w:val="1"/>
    <w:link w:val="41"/>
    <w:qFormat/>
    <w:uiPriority w:val="99"/>
    <w:pPr>
      <w:tabs>
        <w:tab w:val="center" w:pos="4153"/>
        <w:tab w:val="right" w:pos="8306"/>
      </w:tabs>
      <w:snapToGrid w:val="0"/>
      <w:jc w:val="left"/>
    </w:pPr>
    <w:rPr>
      <w:sz w:val="18"/>
      <w:szCs w:val="18"/>
    </w:rPr>
  </w:style>
  <w:style w:type="paragraph" w:styleId="18">
    <w:name w:val="header"/>
    <w:basedOn w:val="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9">
    <w:name w:val="footnote text"/>
    <w:basedOn w:val="1"/>
    <w:qFormat/>
    <w:uiPriority w:val="99"/>
    <w:pPr>
      <w:snapToGrid w:val="0"/>
      <w:jc w:val="left"/>
    </w:pPr>
    <w:rPr>
      <w:sz w:val="18"/>
    </w:rPr>
  </w:style>
  <w:style w:type="paragraph" w:styleId="20">
    <w:name w:val="Body Text Indent 3"/>
    <w:basedOn w:val="1"/>
    <w:qFormat/>
    <w:uiPriority w:val="99"/>
    <w:pPr>
      <w:spacing w:line="500" w:lineRule="atLeast"/>
      <w:ind w:firstLine="720" w:firstLineChars="300"/>
    </w:pPr>
    <w:rPr>
      <w:rFonts w:ascii="Times New Roman" w:hAnsi="Times New Roman"/>
      <w:sz w:val="24"/>
    </w:rPr>
  </w:style>
  <w:style w:type="paragraph" w:styleId="21">
    <w:name w:val="Title"/>
    <w:basedOn w:val="1"/>
    <w:next w:val="1"/>
    <w:qFormat/>
    <w:uiPriority w:val="0"/>
    <w:pPr>
      <w:adjustRightInd w:val="0"/>
      <w:spacing w:before="240" w:after="60"/>
      <w:jc w:val="center"/>
      <w:outlineLvl w:val="0"/>
    </w:pPr>
    <w:rPr>
      <w:rFonts w:ascii="Calibri Light" w:hAnsi="Calibri Light"/>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qFormat/>
    <w:uiPriority w:val="99"/>
    <w:rPr>
      <w:color w:val="1F1F1F"/>
      <w:u w:val="none"/>
    </w:rPr>
  </w:style>
  <w:style w:type="character" w:styleId="27">
    <w:name w:val="annotation reference"/>
    <w:basedOn w:val="24"/>
    <w:qFormat/>
    <w:uiPriority w:val="0"/>
    <w:rPr>
      <w:sz w:val="21"/>
      <w:szCs w:val="21"/>
    </w:rPr>
  </w:style>
  <w:style w:type="paragraph" w:customStyle="1" w:styleId="2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BodyText1I2"/>
    <w:basedOn w:val="30"/>
    <w:qFormat/>
    <w:uiPriority w:val="0"/>
    <w:pPr>
      <w:tabs>
        <w:tab w:val="left" w:pos="720"/>
        <w:tab w:val="left" w:pos="1260"/>
        <w:tab w:val="left" w:pos="2160"/>
        <w:tab w:val="left" w:pos="2880"/>
        <w:tab w:val="left" w:pos="3600"/>
        <w:tab w:val="left" w:pos="4320"/>
        <w:tab w:val="left" w:pos="5040"/>
        <w:tab w:val="left" w:pos="5760"/>
      </w:tabs>
      <w:ind w:firstLine="210"/>
    </w:pPr>
    <w:rPr>
      <w:szCs w:val="24"/>
    </w:rPr>
  </w:style>
  <w:style w:type="paragraph" w:customStyle="1" w:styleId="30">
    <w:name w:val="BodyTextIndent"/>
    <w:basedOn w:val="1"/>
    <w:qFormat/>
    <w:uiPriority w:val="0"/>
    <w:pPr>
      <w:widowControl/>
      <w:tabs>
        <w:tab w:val="left" w:pos="720"/>
        <w:tab w:val="left" w:pos="1260"/>
        <w:tab w:val="left" w:pos="2160"/>
        <w:tab w:val="left" w:pos="2880"/>
        <w:tab w:val="left" w:pos="3600"/>
        <w:tab w:val="left" w:pos="4320"/>
        <w:tab w:val="left" w:pos="5040"/>
        <w:tab w:val="left" w:pos="5760"/>
      </w:tabs>
      <w:spacing w:line="360" w:lineRule="auto"/>
      <w:ind w:right="25" w:rightChars="12" w:firstLine="720" w:firstLineChars="300"/>
      <w:jc w:val="left"/>
      <w:textAlignment w:val="baseline"/>
    </w:pPr>
    <w:rPr>
      <w:rFonts w:ascii="宋体"/>
      <w:color w:val="000000"/>
      <w:kern w:val="0"/>
      <w:sz w:val="24"/>
      <w:szCs w:val="20"/>
    </w:rPr>
  </w:style>
  <w:style w:type="paragraph" w:customStyle="1" w:styleId="31">
    <w:name w:val="Table Paragraph"/>
    <w:basedOn w:val="1"/>
    <w:qFormat/>
    <w:uiPriority w:val="1"/>
  </w:style>
  <w:style w:type="paragraph" w:styleId="32">
    <w:name w:val="List Paragraph"/>
    <w:basedOn w:val="1"/>
    <w:qFormat/>
    <w:uiPriority w:val="0"/>
    <w:pPr>
      <w:ind w:firstLine="420" w:firstLineChars="200"/>
    </w:pPr>
  </w:style>
  <w:style w:type="paragraph" w:customStyle="1" w:styleId="33">
    <w:name w:val="*正文"/>
    <w:basedOn w:val="1"/>
    <w:qFormat/>
    <w:uiPriority w:val="0"/>
    <w:pPr>
      <w:widowControl/>
      <w:spacing w:line="360" w:lineRule="auto"/>
      <w:ind w:firstLine="200" w:firstLineChars="200"/>
      <w:jc w:val="left"/>
    </w:pPr>
    <w:rPr>
      <w:rFonts w:ascii="宋体" w:hAnsi="宋体"/>
      <w:kern w:val="0"/>
      <w:sz w:val="24"/>
    </w:rPr>
  </w:style>
  <w:style w:type="paragraph" w:customStyle="1" w:styleId="34">
    <w:name w:val="本文件正文"/>
    <w:basedOn w:val="1"/>
    <w:qFormat/>
    <w:uiPriority w:val="0"/>
    <w:pPr>
      <w:spacing w:line="600" w:lineRule="exact"/>
      <w:ind w:firstLine="640" w:firstLineChars="200"/>
    </w:pPr>
    <w:rPr>
      <w:rFonts w:ascii="仿宋_GB2312" w:eastAsia="仿宋_GB2312" w:cs="仿宋_GB2312"/>
      <w:sz w:val="32"/>
      <w:szCs w:val="32"/>
    </w:rPr>
  </w:style>
  <w:style w:type="paragraph" w:customStyle="1" w:styleId="35">
    <w:name w:val="首行缩进"/>
    <w:basedOn w:val="1"/>
    <w:qFormat/>
    <w:uiPriority w:val="0"/>
    <w:pPr>
      <w:ind w:firstLine="480" w:firstLineChars="200"/>
    </w:pPr>
    <w:rPr>
      <w:rFonts w:ascii="Times New Roman" w:hAnsi="Times New Roman"/>
      <w:szCs w:val="20"/>
      <w:lang w:val="zh-CN"/>
    </w:rPr>
  </w:style>
  <w:style w:type="paragraph" w:customStyle="1" w:styleId="36">
    <w:name w:val="BZ_正文"/>
    <w:basedOn w:val="1"/>
    <w:qFormat/>
    <w:uiPriority w:val="0"/>
    <w:pPr>
      <w:widowControl/>
      <w:spacing w:line="360" w:lineRule="auto"/>
      <w:ind w:firstLine="200" w:firstLineChars="200"/>
    </w:pPr>
    <w:rPr>
      <w:rFonts w:ascii="宋体" w:hAnsi="华文中宋"/>
      <w:kern w:val="0"/>
      <w:sz w:val="24"/>
    </w:rPr>
  </w:style>
  <w:style w:type="paragraph" w:customStyle="1" w:styleId="37">
    <w:name w:val="Normal Indent1"/>
    <w:basedOn w:val="1"/>
    <w:qFormat/>
    <w:uiPriority w:val="0"/>
    <w:pPr>
      <w:ind w:firstLine="420" w:firstLineChars="200"/>
    </w:p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0">
    <w:name w:val="批注框文本 Char"/>
    <w:basedOn w:val="24"/>
    <w:link w:val="16"/>
    <w:qFormat/>
    <w:uiPriority w:val="0"/>
    <w:rPr>
      <w:rFonts w:ascii="Calibri" w:hAnsi="Calibri"/>
      <w:kern w:val="2"/>
      <w:sz w:val="18"/>
      <w:szCs w:val="18"/>
    </w:rPr>
  </w:style>
  <w:style w:type="character" w:customStyle="1" w:styleId="41">
    <w:name w:val="页脚 Char"/>
    <w:basedOn w:val="24"/>
    <w:link w:val="17"/>
    <w:qFormat/>
    <w:uiPriority w:val="99"/>
    <w:rPr>
      <w:rFonts w:ascii="Calibri" w:hAnsi="Calibri"/>
      <w:kern w:val="2"/>
      <w:sz w:val="18"/>
      <w:szCs w:val="18"/>
    </w:rPr>
  </w:style>
  <w:style w:type="character" w:customStyle="1" w:styleId="42">
    <w:name w:val="正文文本 Char"/>
    <w:link w:val="5"/>
    <w:qFormat/>
    <w:uiPriority w:val="0"/>
    <w:rPr>
      <w:rFonts w:ascii="宋体" w:hAnsi="宋体"/>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76E5F-A9AA-4B3C-8366-3B8EE65435FA}">
  <ds:schemaRefs/>
</ds:datastoreItem>
</file>

<file path=docProps/app.xml><?xml version="1.0" encoding="utf-8"?>
<Properties xmlns="http://schemas.openxmlformats.org/officeDocument/2006/extended-properties" xmlns:vt="http://schemas.openxmlformats.org/officeDocument/2006/docPropsVTypes">
  <Template>Normal</Template>
  <Pages>51</Pages>
  <Words>31102</Words>
  <Characters>5367</Characters>
  <Lines>44</Lines>
  <Paragraphs>72</Paragraphs>
  <TotalTime>5</TotalTime>
  <ScaleCrop>false</ScaleCrop>
  <LinksUpToDate>false</LinksUpToDate>
  <CharactersWithSpaces>36397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2021-05-17T02:32:00Z</dcterms:created>
  <dc:creator>Administrator.PC-20160716QTOZ</dc:creator>
  <cp:lastModifiedBy>爱郁郁的鱼</cp:lastModifiedBy>
  <dcterms:modified xsi:type="dcterms:W3CDTF">2022-01-26T14:11:40Z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E77C474527A84D4C84C810DD530A97B6</vt:lpwstr>
  </property>
  <property fmtid="{D5CDD505-2E9C-101B-9397-08002B2CF9AE}" pid="4" name="KSOSaveFontToCloudKey">
    <vt:lpwstr>240195731_btnclosed</vt:lpwstr>
  </property>
</Properties>
</file>