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湖州市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民宗局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年度行政执法统计年报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目   录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 行政执法总体情况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一、行政执法信息情况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二、行政执法情况综述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第二部分 行政执法数据统计情况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一、行政许可实施情况统计表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二、行政处罚实施情况统计表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三、行政强制实施情况统计表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四、其他行政执法行为实施情况统计表</w:t>
      </w:r>
    </w:p>
    <w:p/>
    <w:p/>
    <w:p/>
    <w:p/>
    <w:p/>
    <w:p/>
    <w:p/>
    <w:p/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第一部分 行政执法总体情况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行政执法信息情况</w:t>
      </w:r>
    </w:p>
    <w:p>
      <w:pPr>
        <w:ind w:firstLine="640" w:firstLineChars="20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湖州市委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统战部（民族宗教事务局）</w:t>
      </w: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  <w:lang w:eastAsia="zh-CN"/>
        </w:rPr>
        <w:t>民族宗教</w:t>
      </w:r>
      <w:r>
        <w:rPr>
          <w:rFonts w:hint="eastAsia" w:ascii="仿宋_GB2312" w:eastAsia="仿宋_GB2312"/>
          <w:sz w:val="32"/>
          <w:szCs w:val="32"/>
        </w:rPr>
        <w:t>领域相关法律法规及三定方案等确定的职权行使相关行政许可、行政处罚、行政检查等行政执法事项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。目前共有执法人员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人。行政执法信息以及相关行政执法公示内容在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市委统战部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通知公告栏均已公开，具体网址如下：</w:t>
      </w:r>
      <w:r>
        <w:rPr>
          <w:rFonts w:hint="eastAsia"/>
        </w:rPr>
        <w:t>http://hztz.huzhou.gov.cn/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" w:eastAsia="zh-CN"/>
        </w:rPr>
        <w:t>行政执法情况综述</w:t>
      </w:r>
    </w:p>
    <w:p>
      <w:pPr>
        <w:ind w:firstLine="642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" w:eastAsia="zh-CN"/>
        </w:rPr>
        <w:t>（一）开展监督检查工作情况：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2021年湖州市民宗局共开展监督检查319次，与2020年相比同比减少48.3%。其中，“双随机一公开”监管次数52，同比增加52.94% ；即时检查265次，同比减少53.35%；联合检查8 次，同比增加60%；专项检查2次，同比减少86.67%。</w:t>
      </w:r>
      <w:r>
        <w:rPr>
          <w:rFonts w:hint="eastAsia" w:ascii="仿宋_GB2312" w:eastAsia="仿宋_GB2312"/>
          <w:sz w:val="32"/>
          <w:szCs w:val="32"/>
        </w:rPr>
        <w:t>本系统202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年度行政检查无被申请行政复议、提起行政诉讼情况。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（二）具体行政执法实施情况：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1、行政许可实施情况：2021年湖州市民宗局行政许可申请总数为29件，同比增加163.64% ；予以许可29件，同比增加163.64% 。</w:t>
      </w:r>
      <w:r>
        <w:rPr>
          <w:rFonts w:hint="eastAsia" w:ascii="仿宋_GB2312" w:eastAsia="仿宋_GB2312"/>
          <w:sz w:val="32"/>
          <w:szCs w:val="32"/>
        </w:rPr>
        <w:t>本系统202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年度行政确认无被申请行政复议、提起行政诉讼情况。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2、行政处罚实施情况：2021年湖州市民宗局行政处罚总数为0件，与上年相比无变化；罚没总额0元，与上年相比无变化。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"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/>
    <w:p/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第二部分 行政执法数据统计情况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表一</w:t>
      </w:r>
    </w:p>
    <w:p>
      <w:pPr>
        <w:jc w:val="center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 w:val="36"/>
          <w:szCs w:val="36"/>
        </w:rPr>
        <w:t>行政许可实施情况统计表（件）</w:t>
      </w:r>
    </w:p>
    <w:p>
      <w:pPr>
        <w:jc w:val="center"/>
        <w:rPr>
          <w:rFonts w:ascii="宋体" w:hAnsi="宋体" w:eastAsia="宋体"/>
          <w:b/>
          <w:szCs w:val="21"/>
        </w:rPr>
      </w:pPr>
    </w:p>
    <w:tbl>
      <w:tblPr>
        <w:tblStyle w:val="5"/>
        <w:tblW w:w="1460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735"/>
        <w:gridCol w:w="736"/>
        <w:gridCol w:w="737"/>
        <w:gridCol w:w="737"/>
        <w:gridCol w:w="738"/>
        <w:gridCol w:w="738"/>
        <w:gridCol w:w="644"/>
        <w:gridCol w:w="687"/>
        <w:gridCol w:w="676"/>
        <w:gridCol w:w="675"/>
        <w:gridCol w:w="676"/>
        <w:gridCol w:w="676"/>
        <w:gridCol w:w="676"/>
        <w:gridCol w:w="675"/>
        <w:gridCol w:w="676"/>
        <w:gridCol w:w="676"/>
        <w:gridCol w:w="676"/>
        <w:gridCol w:w="604"/>
        <w:gridCol w:w="70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单  位</w:t>
            </w:r>
          </w:p>
        </w:tc>
        <w:tc>
          <w:tcPr>
            <w:tcW w:w="368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实施总体情况</w:t>
            </w:r>
          </w:p>
        </w:tc>
        <w:tc>
          <w:tcPr>
            <w:tcW w:w="4772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许可种类</w:t>
            </w:r>
          </w:p>
        </w:tc>
        <w:tc>
          <w:tcPr>
            <w:tcW w:w="337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听  证</w:t>
            </w:r>
          </w:p>
        </w:tc>
        <w:tc>
          <w:tcPr>
            <w:tcW w:w="18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重大执法决定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法制审核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7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受理数</w:t>
            </w:r>
          </w:p>
        </w:tc>
        <w:tc>
          <w:tcPr>
            <w:tcW w:w="73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申请数</w:t>
            </w:r>
          </w:p>
        </w:tc>
        <w:tc>
          <w:tcPr>
            <w:tcW w:w="73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许可数</w:t>
            </w:r>
          </w:p>
        </w:tc>
        <w:tc>
          <w:tcPr>
            <w:tcW w:w="73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不予许可数</w:t>
            </w:r>
          </w:p>
        </w:tc>
        <w:tc>
          <w:tcPr>
            <w:tcW w:w="73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撤销许可数</w:t>
            </w:r>
          </w:p>
        </w:tc>
        <w:tc>
          <w:tcPr>
            <w:tcW w:w="73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总数</w:t>
            </w:r>
          </w:p>
        </w:tc>
        <w:tc>
          <w:tcPr>
            <w:tcW w:w="64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行政许可</w:t>
            </w:r>
          </w:p>
        </w:tc>
        <w:tc>
          <w:tcPr>
            <w:tcW w:w="68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特许</w:t>
            </w:r>
          </w:p>
        </w:tc>
        <w:tc>
          <w:tcPr>
            <w:tcW w:w="67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认可</w:t>
            </w:r>
          </w:p>
        </w:tc>
        <w:tc>
          <w:tcPr>
            <w:tcW w:w="67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核准</w:t>
            </w:r>
          </w:p>
        </w:tc>
        <w:tc>
          <w:tcPr>
            <w:tcW w:w="67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登记</w:t>
            </w:r>
          </w:p>
        </w:tc>
        <w:tc>
          <w:tcPr>
            <w:tcW w:w="67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法律法规设定的其他许可</w:t>
            </w:r>
          </w:p>
        </w:tc>
        <w:tc>
          <w:tcPr>
            <w:tcW w:w="67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听证</w:t>
            </w:r>
          </w:p>
        </w:tc>
        <w:tc>
          <w:tcPr>
            <w:tcW w:w="67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行政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机关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认为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需要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听证</w:t>
            </w: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听证程序</w:t>
            </w:r>
          </w:p>
        </w:tc>
        <w:tc>
          <w:tcPr>
            <w:tcW w:w="60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听证告知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当事人放弃听证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组织听证</w:t>
            </w:r>
          </w:p>
        </w:tc>
        <w:tc>
          <w:tcPr>
            <w:tcW w:w="604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审核通过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市本级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  县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22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22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22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22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  计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29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29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29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29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28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说明：1.统计时间范围为每年1月1日至12月31日实际发生数。</w:t>
      </w:r>
    </w:p>
    <w:p>
      <w:pPr>
        <w:spacing w:line="28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2.实施总体情况“许可数”应当与许可类别“总数”相符。</w:t>
      </w:r>
    </w:p>
    <w:p>
      <w:pPr>
        <w:spacing w:line="280" w:lineRule="exact"/>
        <w:ind w:left="960" w:hanging="960" w:hangingChars="4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3.听证程序“法定听证”“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4"/>
        </w:rPr>
        <w:t>行政机关认为需要听证”总和应当与“听证告知”数相符；“当事人放弃听证”“组织听证”总和应当与“听证告知”数相符。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表二</w:t>
      </w:r>
    </w:p>
    <w:p>
      <w:pPr>
        <w:jc w:val="center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 w:val="36"/>
          <w:szCs w:val="36"/>
        </w:rPr>
        <w:t>行政处罚实施情况统计表（件）</w:t>
      </w:r>
    </w:p>
    <w:p>
      <w:pPr>
        <w:jc w:val="center"/>
        <w:rPr>
          <w:rFonts w:ascii="宋体" w:hAnsi="宋体" w:eastAsia="宋体"/>
          <w:b/>
          <w:szCs w:val="21"/>
        </w:rPr>
      </w:pPr>
    </w:p>
    <w:tbl>
      <w:tblPr>
        <w:tblStyle w:val="5"/>
        <w:tblW w:w="1460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50"/>
        <w:gridCol w:w="709"/>
        <w:gridCol w:w="851"/>
        <w:gridCol w:w="708"/>
        <w:gridCol w:w="709"/>
        <w:gridCol w:w="709"/>
        <w:gridCol w:w="709"/>
        <w:gridCol w:w="708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5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单  位</w:t>
            </w:r>
          </w:p>
        </w:tc>
        <w:tc>
          <w:tcPr>
            <w:tcW w:w="7089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处罚种类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罚没金额（万元）</w:t>
            </w:r>
          </w:p>
        </w:tc>
        <w:tc>
          <w:tcPr>
            <w:tcW w:w="368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听  证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重大执法决定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法制审核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50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案件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总数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警告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罚款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没收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违法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所得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没收非法财物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责令停产停业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暂扣许可证照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吊销许可证照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行政拘留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法律行政法规规定的其他处罚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听证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行政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机关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认为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需要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听证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听证程序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总数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听证告知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当事人放弃听证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组织听证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审核通过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市本级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  县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  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说明：1.统计时间范围为每年1月1日至12月31日实际发生数。</w:t>
      </w:r>
    </w:p>
    <w:p>
      <w:pPr>
        <w:ind w:left="960" w:hanging="960" w:hangingChars="4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2.听证程序“法定听证”“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4"/>
        </w:rPr>
        <w:t>行政机关认为需要听证”总和应当与“听证告知”数相符；“当事人放弃听证”“组织听证”总和应当与“听证告知”数相符。</w:t>
      </w:r>
    </w:p>
    <w:p>
      <w:pPr>
        <w:ind w:left="960" w:hanging="960" w:hangingChars="4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3.单处一个种类行政处罚的，计入相应的行政处罚种类；并处两种以上行政处罚的，算一件行政处罚，计入最重的行政处罚种类。如“没收违法所得，并处罚款”，计入“没收违法所得、没收非法财物”类别；并处明确类别的行政处罚和其他行政处罚的，计入明确类别的行政处罚，如“处罚款，并处其他行政处罚”，计入“罚款”类别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表三</w:t>
      </w:r>
    </w:p>
    <w:p>
      <w:pPr>
        <w:jc w:val="center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 w:val="36"/>
          <w:szCs w:val="36"/>
        </w:rPr>
        <w:t>行政强制实施情况统计表（件）</w:t>
      </w:r>
    </w:p>
    <w:p>
      <w:pPr>
        <w:jc w:val="center"/>
        <w:rPr>
          <w:rFonts w:ascii="宋体" w:hAnsi="宋体" w:eastAsia="宋体"/>
          <w:b/>
          <w:szCs w:val="21"/>
        </w:rPr>
      </w:pPr>
    </w:p>
    <w:tbl>
      <w:tblPr>
        <w:tblStyle w:val="5"/>
        <w:tblW w:w="1460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664"/>
        <w:gridCol w:w="612"/>
        <w:gridCol w:w="567"/>
        <w:gridCol w:w="567"/>
        <w:gridCol w:w="567"/>
        <w:gridCol w:w="567"/>
        <w:gridCol w:w="836"/>
        <w:gridCol w:w="547"/>
        <w:gridCol w:w="636"/>
        <w:gridCol w:w="548"/>
        <w:gridCol w:w="636"/>
        <w:gridCol w:w="636"/>
        <w:gridCol w:w="548"/>
        <w:gridCol w:w="548"/>
        <w:gridCol w:w="542"/>
        <w:gridCol w:w="542"/>
        <w:gridCol w:w="542"/>
        <w:gridCol w:w="542"/>
        <w:gridCol w:w="542"/>
        <w:gridCol w:w="542"/>
        <w:gridCol w:w="742"/>
        <w:gridCol w:w="568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单  位</w:t>
            </w:r>
          </w:p>
        </w:tc>
        <w:tc>
          <w:tcPr>
            <w:tcW w:w="354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行政强制措施</w:t>
            </w:r>
          </w:p>
        </w:tc>
        <w:tc>
          <w:tcPr>
            <w:tcW w:w="547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行政强制执行</w:t>
            </w:r>
          </w:p>
        </w:tc>
        <w:tc>
          <w:tcPr>
            <w:tcW w:w="271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听  证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重大执法决定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法制审核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93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总数</w:t>
            </w:r>
          </w:p>
        </w:tc>
        <w:tc>
          <w:tcPr>
            <w:tcW w:w="61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限制公民人身自由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查封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扣押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冻结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其他行政强制措施</w:t>
            </w:r>
          </w:p>
        </w:tc>
        <w:tc>
          <w:tcPr>
            <w:tcW w:w="4935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行政机关强制执行</w:t>
            </w:r>
          </w:p>
        </w:tc>
        <w:tc>
          <w:tcPr>
            <w:tcW w:w="54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申请法院强制执行</w:t>
            </w:r>
          </w:p>
        </w:tc>
        <w:tc>
          <w:tcPr>
            <w:tcW w:w="54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法定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听证</w:t>
            </w:r>
          </w:p>
        </w:tc>
        <w:tc>
          <w:tcPr>
            <w:tcW w:w="54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行政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机关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认为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需要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听证</w:t>
            </w: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eastAsia="仿宋_GB2312"/>
                <w:szCs w:val="21"/>
              </w:rPr>
              <w:t>听证程序</w:t>
            </w: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eastAsia="仿宋_GB2312"/>
                <w:szCs w:val="21"/>
              </w:rPr>
              <w:t>总数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93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6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总数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加处罚款或者滞纳金</w:t>
            </w:r>
          </w:p>
        </w:tc>
        <w:tc>
          <w:tcPr>
            <w:tcW w:w="548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划拨</w:t>
            </w:r>
          </w:p>
        </w:tc>
        <w:tc>
          <w:tcPr>
            <w:tcW w:w="63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拍卖、变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卖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</w:t>
            </w:r>
          </w:p>
        </w:tc>
        <w:tc>
          <w:tcPr>
            <w:tcW w:w="63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排除妨碍、恢复原状</w:t>
            </w:r>
          </w:p>
        </w:tc>
        <w:tc>
          <w:tcPr>
            <w:tcW w:w="548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代履行</w:t>
            </w:r>
          </w:p>
        </w:tc>
        <w:tc>
          <w:tcPr>
            <w:tcW w:w="548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其他行政强制执法</w:t>
            </w: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听证告知</w:t>
            </w:r>
          </w:p>
        </w:tc>
        <w:tc>
          <w:tcPr>
            <w:tcW w:w="54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当事人放弃听证</w:t>
            </w:r>
          </w:p>
        </w:tc>
        <w:tc>
          <w:tcPr>
            <w:tcW w:w="54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组织听证</w:t>
            </w: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审核通过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审核不通</w:t>
            </w:r>
          </w:p>
          <w:p>
            <w:pPr>
              <w:spacing w:line="260" w:lineRule="exact"/>
              <w:jc w:val="center"/>
              <w:rPr>
                <w:rFonts w:hint="default" w:ascii="仿宋_GB2312" w:eastAsia="仿宋_GB2312"/>
                <w:szCs w:val="21"/>
                <w:lang w:val="en" w:eastAsia="zh-CN"/>
              </w:rPr>
            </w:pPr>
            <w:r>
              <w:rPr>
                <w:rFonts w:hint="eastAsia" w:ascii="仿宋_GB2312" w:eastAsia="仿宋_GB2312"/>
                <w:szCs w:val="21"/>
                <w:lang w:val="en" w:eastAsia="zh-CN"/>
              </w:rPr>
              <w:t>过</w:t>
            </w:r>
            <w:bookmarkStart w:id="0" w:name="_GoBack"/>
            <w:bookmarkEnd w:id="0"/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64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12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36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件数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金额（万元）</w:t>
            </w:r>
          </w:p>
        </w:tc>
        <w:tc>
          <w:tcPr>
            <w:tcW w:w="548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36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36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8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8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2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市本级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  县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  计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说明：1.统计时间范围为每年1月1日至12月31日实际发生数。</w:t>
      </w:r>
    </w:p>
    <w:p>
      <w:pPr>
        <w:ind w:left="960" w:hanging="960" w:hangingChars="4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2.听证程序“法定听证”“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4"/>
        </w:rPr>
        <w:t>行政机关认为需要听证”总和应当与“听证告知”数相符；“当事人放弃听证”“组织听证”总和应当与“听证告知”数相符。</w:t>
      </w:r>
    </w:p>
    <w:p>
      <w:pPr>
        <w:ind w:left="960" w:hanging="960" w:hangingChars="4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3.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4"/>
        </w:rPr>
        <w:t>“申请法院强制执行”的统计时间以申请日期为准。</w:t>
      </w:r>
    </w:p>
    <w:p>
      <w:pPr>
        <w:ind w:left="840" w:hanging="840" w:hangingChars="400"/>
        <w:rPr>
          <w:rFonts w:ascii="仿宋_GB2312" w:eastAsia="仿宋_GB2312"/>
          <w:szCs w:val="21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表四</w:t>
      </w:r>
    </w:p>
    <w:p>
      <w:pPr>
        <w:jc w:val="center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 w:val="36"/>
          <w:szCs w:val="36"/>
        </w:rPr>
        <w:t>其他行政执法行为实施情况统计表（件）</w:t>
      </w:r>
    </w:p>
    <w:p>
      <w:pPr>
        <w:jc w:val="center"/>
        <w:rPr>
          <w:rFonts w:ascii="宋体" w:hAnsi="宋体" w:eastAsia="宋体"/>
          <w:b/>
          <w:szCs w:val="21"/>
        </w:rPr>
      </w:pPr>
    </w:p>
    <w:p/>
    <w:tbl>
      <w:tblPr>
        <w:tblStyle w:val="5"/>
        <w:tblW w:w="1474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67"/>
        <w:gridCol w:w="567"/>
        <w:gridCol w:w="567"/>
        <w:gridCol w:w="709"/>
        <w:gridCol w:w="567"/>
        <w:gridCol w:w="709"/>
        <w:gridCol w:w="567"/>
        <w:gridCol w:w="709"/>
        <w:gridCol w:w="567"/>
        <w:gridCol w:w="567"/>
        <w:gridCol w:w="708"/>
        <w:gridCol w:w="567"/>
        <w:gridCol w:w="567"/>
        <w:gridCol w:w="533"/>
        <w:gridCol w:w="460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单  位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行政征收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行政裁决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行政给付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行政确认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行政奖励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其他执法行为</w:t>
            </w:r>
          </w:p>
        </w:tc>
        <w:tc>
          <w:tcPr>
            <w:tcW w:w="311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听证组织实施情况</w:t>
            </w:r>
          </w:p>
        </w:tc>
        <w:tc>
          <w:tcPr>
            <w:tcW w:w="340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重大执法决定法制审核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行政收费（件）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行政征税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（件）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其他征收（件）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征收金额（万元）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涉及金额（万元）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涉及金额（万元）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涉及金额（万元）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行政征收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行政裁决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行政给付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行政确认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行政奖励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其他执法行为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行政征收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行政裁决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行政给付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行政确认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行政奖励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其他执法行为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市本级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区  县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  计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default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default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default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default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default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default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default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default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default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default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default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default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default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default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default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default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default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default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default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default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default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default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default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default" w:ascii="仿宋_GB2312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说明：1.统计时间范围为每年1月1日至12月31日实际发生数。</w:t>
      </w:r>
    </w:p>
    <w:p>
      <w:pPr>
        <w:rPr>
          <w:rFonts w:ascii="仿宋_GB2312" w:eastAsia="仿宋_GB2312"/>
          <w:sz w:val="24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E79129"/>
    <w:multiLevelType w:val="singleLevel"/>
    <w:tmpl w:val="FCE791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988"/>
    <w:rsid w:val="0001597B"/>
    <w:rsid w:val="0006036D"/>
    <w:rsid w:val="000864DE"/>
    <w:rsid w:val="000B18D5"/>
    <w:rsid w:val="00100550"/>
    <w:rsid w:val="00141096"/>
    <w:rsid w:val="00146927"/>
    <w:rsid w:val="001A7315"/>
    <w:rsid w:val="001E3F1A"/>
    <w:rsid w:val="001F6B71"/>
    <w:rsid w:val="002C2005"/>
    <w:rsid w:val="002C5369"/>
    <w:rsid w:val="00316A3C"/>
    <w:rsid w:val="00321632"/>
    <w:rsid w:val="003953EC"/>
    <w:rsid w:val="003A730C"/>
    <w:rsid w:val="00407665"/>
    <w:rsid w:val="00415CE2"/>
    <w:rsid w:val="004216DE"/>
    <w:rsid w:val="00483439"/>
    <w:rsid w:val="004D28EE"/>
    <w:rsid w:val="0053036A"/>
    <w:rsid w:val="00544C65"/>
    <w:rsid w:val="00593D99"/>
    <w:rsid w:val="005C71DF"/>
    <w:rsid w:val="005E0ACD"/>
    <w:rsid w:val="005E112B"/>
    <w:rsid w:val="006861D7"/>
    <w:rsid w:val="006C0C6B"/>
    <w:rsid w:val="006E3FFE"/>
    <w:rsid w:val="00710E38"/>
    <w:rsid w:val="00760FC5"/>
    <w:rsid w:val="0078189C"/>
    <w:rsid w:val="00786504"/>
    <w:rsid w:val="007906B4"/>
    <w:rsid w:val="00794358"/>
    <w:rsid w:val="007E6DAA"/>
    <w:rsid w:val="00945924"/>
    <w:rsid w:val="0096371C"/>
    <w:rsid w:val="00983E3D"/>
    <w:rsid w:val="009A251D"/>
    <w:rsid w:val="009A53DD"/>
    <w:rsid w:val="00A124D7"/>
    <w:rsid w:val="00A32286"/>
    <w:rsid w:val="00A33BA3"/>
    <w:rsid w:val="00AD0988"/>
    <w:rsid w:val="00AE5BE8"/>
    <w:rsid w:val="00B74ABF"/>
    <w:rsid w:val="00C050B0"/>
    <w:rsid w:val="00C37F1A"/>
    <w:rsid w:val="00C42AE4"/>
    <w:rsid w:val="00C92879"/>
    <w:rsid w:val="00CE3D18"/>
    <w:rsid w:val="00D4500E"/>
    <w:rsid w:val="00DE757F"/>
    <w:rsid w:val="00E0105B"/>
    <w:rsid w:val="00E108EE"/>
    <w:rsid w:val="00E32CC0"/>
    <w:rsid w:val="00E550E4"/>
    <w:rsid w:val="00E67261"/>
    <w:rsid w:val="00E91CC7"/>
    <w:rsid w:val="00F429CB"/>
    <w:rsid w:val="00F44C93"/>
    <w:rsid w:val="5FBF2754"/>
    <w:rsid w:val="61D479ED"/>
    <w:rsid w:val="61EF3935"/>
    <w:rsid w:val="6D5A88D2"/>
    <w:rsid w:val="6DFF1659"/>
    <w:rsid w:val="6EAE52BD"/>
    <w:rsid w:val="70CF32B6"/>
    <w:rsid w:val="774FCB25"/>
    <w:rsid w:val="77FF4D36"/>
    <w:rsid w:val="77FFF555"/>
    <w:rsid w:val="7B0FB9D2"/>
    <w:rsid w:val="7B4DD5A2"/>
    <w:rsid w:val="7D6FFC15"/>
    <w:rsid w:val="7ED7A2BF"/>
    <w:rsid w:val="7F3DDAE4"/>
    <w:rsid w:val="7F66D4B7"/>
    <w:rsid w:val="7FE5AF09"/>
    <w:rsid w:val="7FF75570"/>
    <w:rsid w:val="939B4AAE"/>
    <w:rsid w:val="99CF24A5"/>
    <w:rsid w:val="BFBB8ADC"/>
    <w:rsid w:val="E7FBC965"/>
    <w:rsid w:val="F5EE6BC1"/>
    <w:rsid w:val="F9870905"/>
    <w:rsid w:val="FBB75F13"/>
    <w:rsid w:val="FBF334F5"/>
    <w:rsid w:val="FEFF4A48"/>
    <w:rsid w:val="FFDE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598</Words>
  <Characters>3413</Characters>
  <Lines>28</Lines>
  <Paragraphs>8</Paragraphs>
  <TotalTime>1</TotalTime>
  <ScaleCrop>false</ScaleCrop>
  <LinksUpToDate>false</LinksUpToDate>
  <CharactersWithSpaces>4003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2021-01-24T22:39:00Z</dcterms:created>
  <dc:creator>微软用户</dc:creator>
  <cp:lastModifiedBy>Huzhou</cp:lastModifiedBy>
  <dcterms:modified xsi:type="dcterms:W3CDTF">2022-01-13T09:41:08Z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