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t>附件</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w:t>
      </w: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_GB2312" w:hAnsi="仿宋_GB2312" w:eastAsia="仿宋_GB2312" w:cs="仿宋_GB2312"/>
          <w:b/>
          <w:bCs/>
          <w:color w:val="000000" w:themeColor="text1"/>
          <w:sz w:val="44"/>
          <w:szCs w:val="44"/>
          <w14:textFill>
            <w14:solidFill>
              <w14:schemeClr w14:val="tx1"/>
            </w14:solidFill>
          </w14:textFill>
        </w:rPr>
      </w:pPr>
      <w:r>
        <w:rPr>
          <w:rFonts w:hint="eastAsia" w:ascii="仿宋_GB2312" w:hAnsi="仿宋_GB2312" w:eastAsia="仿宋_GB2312" w:cs="仿宋_GB2312"/>
          <w:b/>
          <w:bCs/>
          <w:color w:val="000000" w:themeColor="text1"/>
          <w:sz w:val="44"/>
          <w:szCs w:val="44"/>
          <w14:textFill>
            <w14:solidFill>
              <w14:schemeClr w14:val="tx1"/>
            </w14:solidFill>
          </w14:textFill>
        </w:rPr>
        <w:t>不合格项目的说明</w:t>
      </w:r>
    </w:p>
    <w:p>
      <w:pPr>
        <w:pStyle w:val="13"/>
        <w:keepNext w:val="0"/>
        <w:keepLines w:val="0"/>
        <w:pageBreakBefore w:val="0"/>
        <w:numPr>
          <w:ilvl w:val="0"/>
          <w:numId w:val="0"/>
        </w:numPr>
        <w:kinsoku/>
        <w:wordWrap/>
        <w:overflowPunct/>
        <w:topLinePunct w:val="0"/>
        <w:autoSpaceDE/>
        <w:autoSpaceDN/>
        <w:bidi w:val="0"/>
        <w:adjustRightInd/>
        <w:snapToGrid/>
        <w:spacing w:after="0" w:afterLines="0" w:line="600" w:lineRule="exact"/>
        <w:ind w:left="0" w:leftChars="0" w:firstLine="642"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p>
    <w:p>
      <w:pPr>
        <w:spacing w:line="480" w:lineRule="auto"/>
        <w:ind w:firstLine="640" w:firstLineChars="200"/>
        <w:rPr>
          <w:rFonts w:hint="eastAsia" w:ascii="黑体" w:hAnsi="黑体" w:eastAsia="黑体" w:cs="黑体"/>
          <w:sz w:val="32"/>
          <w:szCs w:val="32"/>
          <w:lang w:eastAsia="zh-CN"/>
        </w:rPr>
      </w:pPr>
      <w:r>
        <w:rPr>
          <w:rFonts w:hint="eastAsia" w:ascii="方正黑体_GBK" w:hAnsi="方正黑体_GBK" w:eastAsia="方正黑体_GBK" w:cs="方正黑体_GBK"/>
          <w:b w:val="0"/>
          <w:bCs/>
          <w:color w:val="000000"/>
          <w:sz w:val="32"/>
          <w:szCs w:val="32"/>
          <w:lang w:val="en-US" w:eastAsia="zh-CN"/>
        </w:rPr>
        <w:t>一、</w:t>
      </w:r>
      <w:r>
        <w:rPr>
          <w:rFonts w:hint="eastAsia" w:ascii="黑体" w:hAnsi="黑体" w:eastAsia="黑体" w:cs="黑体"/>
          <w:sz w:val="32"/>
          <w:szCs w:val="32"/>
          <w:lang w:eastAsia="zh-CN"/>
        </w:rPr>
        <w:t>镉</w:t>
      </w:r>
    </w:p>
    <w:p>
      <w:pPr>
        <w:numPr>
          <w:ilvl w:val="0"/>
          <w:numId w:val="0"/>
        </w:numPr>
        <w:spacing w:line="480" w:lineRule="auto"/>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镉是人体非必须元素，在自然界中常以化合物状态存在。金属镉毒性很低，但其化合物毒性很大。人体的镉中毒主要是通过消化道与呼吸道摄取被镉污染的水、食物、空气而引起的。镉在人体积蓄作用，潜伏期可长达10-30年。镉被人体吸收后主要是肾脏、肝脏产生危害，还容易造成骨质疏松、变形、关节疼痛等一系列症状。水产品中镉超标主要的原因是环境污染，镉会污染水源，生活在水中的鱼虾等动物自然不可避免会会富集重金属镉。</w:t>
      </w:r>
    </w:p>
    <w:p>
      <w:pPr>
        <w:spacing w:line="480" w:lineRule="auto"/>
        <w:ind w:firstLine="640" w:firstLineChars="200"/>
        <w:rPr>
          <w:rFonts w:hint="eastAsia"/>
          <w:b/>
          <w:sz w:val="30"/>
        </w:rPr>
      </w:pPr>
      <w:r>
        <w:rPr>
          <w:rFonts w:hint="eastAsia" w:ascii="黑体" w:hAnsi="黑体" w:eastAsia="黑体" w:cs="黑体"/>
          <w:sz w:val="32"/>
          <w:szCs w:val="32"/>
          <w:lang w:val="zh-CN" w:eastAsia="zh-CN"/>
        </w:rPr>
        <w:t>二、</w:t>
      </w:r>
      <w:r>
        <w:rPr>
          <w:rFonts w:hint="eastAsia"/>
          <w:b/>
          <w:sz w:val="30"/>
        </w:rPr>
        <w:t>总酸</w:t>
      </w:r>
    </w:p>
    <w:p>
      <w:pPr>
        <w:numPr>
          <w:ilvl w:val="0"/>
          <w:numId w:val="0"/>
        </w:numPr>
        <w:spacing w:line="48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总酸是食醋的品质指标，反映其特色的重要特征性指标之一。对酿造食醋来说，酸度超高说明发酵程度超高，食醋也就越浓，质量也就越好。总酸含量未达到标准会影响产品的风味和口感。造成食醋总酸未达标的原因，可能是生产过程工艺控制不严或未按标准执行；也可能是产品与标签标注等级不匹配等造成。</w:t>
      </w:r>
    </w:p>
    <w:p>
      <w:pPr>
        <w:spacing w:line="480" w:lineRule="auto"/>
        <w:ind w:firstLine="640" w:firstLineChars="200"/>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三、恩诺沙星</w:t>
      </w:r>
    </w:p>
    <w:p>
      <w:pPr>
        <w:numPr>
          <w:ilvl w:val="0"/>
          <w:numId w:val="0"/>
        </w:numPr>
        <w:spacing w:line="48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食品安全国家标准 食品中兽药最大残留限量》（GB 31650—2019）中规定，恩诺沙星在淡水鱼的肌肉中最大残留限量值为100μg/kg。黄鳝中恩诺沙星超标的原因，可能是在养殖过程中为快速控制疫病，违规加大用药量或不遵守休药期规定，致使产品上市销售时的药物残留量超标。</w:t>
      </w:r>
    </w:p>
    <w:p>
      <w:pPr>
        <w:spacing w:line="480" w:lineRule="auto"/>
        <w:ind w:firstLine="640" w:firstLineChars="200"/>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四、乙二胺四乙酸二钠</w:t>
      </w:r>
      <w:bookmarkStart w:id="0" w:name="_GoBack"/>
      <w:bookmarkEnd w:id="0"/>
    </w:p>
    <w:p>
      <w:pPr>
        <w:numPr>
          <w:ilvl w:val="0"/>
          <w:numId w:val="0"/>
        </w:numPr>
        <w:spacing w:line="480" w:lineRule="auto"/>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乙二胺四乙酸二钠作为食品添加剂广泛用作稳定剂、抗氧化剂、防腐剂、螯合剂、防止金属离子引起的变色、变质、变浊及维生素的氧化损失。GB 2760-2014《食品安全国家标准食品添加剂使用标准》中允许蜜饯凉果中的果脯类（仅限地瓜果脯）使用乙二胺四乙酸二钠（最大使用量为0.25g/kg），其他类别的蜜饯凉果类不得使用。乙二胺四乙酸二钠可对粘膜、上呼吸道和对眼睛、皮肤产生刺激作用。长期大量食用乙二胺四乙酸二钠超标产品可能对人体健康产生一定的不良影响。</w:t>
      </w:r>
    </w:p>
    <w:p>
      <w:pPr>
        <w:pStyle w:val="12"/>
        <w:spacing w:before="0" w:beforeAutospacing="0" w:after="0" w:afterAutospacing="0"/>
        <w:ind w:firstLine="640" w:firstLineChars="200"/>
        <w:rPr>
          <w:rFonts w:hint="eastAsia" w:ascii="仿宋_GB2312" w:hAnsi="仿宋_GB2312" w:eastAsia="仿宋_GB2312" w:cs="仿宋_GB2312"/>
          <w:color w:val="000000"/>
          <w:kern w:val="2"/>
          <w:sz w:val="32"/>
          <w:szCs w:val="32"/>
          <w:lang w:val="en-US" w:eastAsia="zh-CN" w:bidi="ar-SA"/>
        </w:rPr>
      </w:pPr>
    </w:p>
    <w:p>
      <w:pPr>
        <w:rPr>
          <w:rFonts w:hint="default"/>
          <w:lang w:val="en"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B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42"/>
    <w:rsid w:val="00054DCE"/>
    <w:rsid w:val="00301302"/>
    <w:rsid w:val="003C078D"/>
    <w:rsid w:val="003D0F42"/>
    <w:rsid w:val="004947C7"/>
    <w:rsid w:val="00496A88"/>
    <w:rsid w:val="005F3DCF"/>
    <w:rsid w:val="08A478CD"/>
    <w:rsid w:val="1AF08469"/>
    <w:rsid w:val="1BDDB6D0"/>
    <w:rsid w:val="1FEFBF07"/>
    <w:rsid w:val="2BC27407"/>
    <w:rsid w:val="2DAF31D6"/>
    <w:rsid w:val="2EAFF2E4"/>
    <w:rsid w:val="3BF5D667"/>
    <w:rsid w:val="3F3F2616"/>
    <w:rsid w:val="404B57DF"/>
    <w:rsid w:val="44D205D2"/>
    <w:rsid w:val="464A47C5"/>
    <w:rsid w:val="47DFFA63"/>
    <w:rsid w:val="47EB895B"/>
    <w:rsid w:val="4EC17D2B"/>
    <w:rsid w:val="59947270"/>
    <w:rsid w:val="5AFC65EE"/>
    <w:rsid w:val="5B152A8A"/>
    <w:rsid w:val="5B6FB207"/>
    <w:rsid w:val="5E202AB3"/>
    <w:rsid w:val="5E824960"/>
    <w:rsid w:val="5FBF072A"/>
    <w:rsid w:val="5FDBDD0D"/>
    <w:rsid w:val="63201773"/>
    <w:rsid w:val="67CC3193"/>
    <w:rsid w:val="67FE4838"/>
    <w:rsid w:val="6B720417"/>
    <w:rsid w:val="6C5D40CF"/>
    <w:rsid w:val="6CD25ECD"/>
    <w:rsid w:val="6DBCB911"/>
    <w:rsid w:val="72A2115A"/>
    <w:rsid w:val="72D35655"/>
    <w:rsid w:val="72D852CF"/>
    <w:rsid w:val="76A122AF"/>
    <w:rsid w:val="76C57490"/>
    <w:rsid w:val="7C2E4EA5"/>
    <w:rsid w:val="7EFE9587"/>
    <w:rsid w:val="7FFE70B0"/>
    <w:rsid w:val="AD3CF1E9"/>
    <w:rsid w:val="BDFFD156"/>
    <w:rsid w:val="BF7C95A6"/>
    <w:rsid w:val="CABFAA38"/>
    <w:rsid w:val="CFBD3D7F"/>
    <w:rsid w:val="CFECF121"/>
    <w:rsid w:val="D5F39ABF"/>
    <w:rsid w:val="D60E0E75"/>
    <w:rsid w:val="DFF920BE"/>
    <w:rsid w:val="DFFAF00A"/>
    <w:rsid w:val="DFFE6288"/>
    <w:rsid w:val="EFF5B629"/>
    <w:rsid w:val="FBAFF26F"/>
    <w:rsid w:val="FD3D27DC"/>
    <w:rsid w:val="FDA68E1E"/>
    <w:rsid w:val="FDBED1E1"/>
    <w:rsid w:val="FDFE66B4"/>
    <w:rsid w:val="FF464225"/>
    <w:rsid w:val="FFFB3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line="560" w:lineRule="exact"/>
      <w:ind w:firstLine="832" w:firstLineChars="200"/>
      <w:outlineLvl w:val="0"/>
    </w:pPr>
    <w:rPr>
      <w:rFonts w:eastAsia="黑体"/>
      <w:kern w:val="44"/>
      <w:sz w:val="32"/>
    </w:rPr>
  </w:style>
  <w:style w:type="paragraph" w:styleId="5">
    <w:name w:val="heading 2"/>
    <w:basedOn w:val="1"/>
    <w:next w:val="1"/>
    <w:unhideWhenUsed/>
    <w:qFormat/>
    <w:uiPriority w:val="0"/>
    <w:pPr>
      <w:keepNext/>
      <w:keepLines/>
      <w:spacing w:beforeLines="0" w:beforeAutospacing="0" w:afterLines="0" w:afterAutospacing="0" w:line="560" w:lineRule="exact"/>
      <w:ind w:firstLine="832" w:firstLineChars="200"/>
      <w:outlineLvl w:val="1"/>
    </w:pPr>
    <w:rPr>
      <w:rFonts w:ascii="Times New Roman" w:hAnsi="Times New Roman" w:eastAsia="楷体_GB2312"/>
      <w:b/>
      <w:sz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unhideWhenUsed/>
    <w:qFormat/>
    <w:uiPriority w:val="0"/>
    <w:pPr>
      <w:spacing w:after="120"/>
      <w:ind w:left="420" w:leftChars="200"/>
    </w:pPr>
  </w:style>
  <w:style w:type="paragraph" w:styleId="6">
    <w:name w:val="Normal Indent"/>
    <w:basedOn w:val="1"/>
    <w:next w:val="7"/>
    <w:qFormat/>
    <w:uiPriority w:val="0"/>
    <w:pPr>
      <w:ind w:firstLine="420" w:firstLineChars="200"/>
    </w:pPr>
  </w:style>
  <w:style w:type="paragraph" w:styleId="7">
    <w:name w:val="toc 4"/>
    <w:basedOn w:val="1"/>
    <w:next w:val="1"/>
    <w:qFormat/>
    <w:uiPriority w:val="0"/>
    <w:pPr>
      <w:ind w:left="1260" w:leftChars="600"/>
    </w:pPr>
  </w:style>
  <w:style w:type="paragraph" w:styleId="8">
    <w:name w:val="Body Text"/>
    <w:basedOn w:val="1"/>
    <w:semiHidden/>
    <w:unhideWhenUsed/>
    <w:qFormat/>
    <w:uiPriority w:val="99"/>
    <w:pPr>
      <w:spacing w:after="120" w:afterLines="0" w:afterAutospacing="0"/>
    </w:pPr>
  </w:style>
  <w:style w:type="paragraph" w:styleId="9">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Body Text First Indent"/>
    <w:basedOn w:val="8"/>
    <w:semiHidden/>
    <w:unhideWhenUsed/>
    <w:qFormat/>
    <w:uiPriority w:val="99"/>
    <w:pPr>
      <w:ind w:firstLine="420" w:firstLineChars="100"/>
    </w:p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0"/>
    <w:qFormat/>
    <w:uiPriority w:val="99"/>
    <w:rPr>
      <w:sz w:val="18"/>
      <w:szCs w:val="18"/>
    </w:rPr>
  </w:style>
  <w:style w:type="character" w:customStyle="1" w:styleId="18">
    <w:name w:val="页脚 Char"/>
    <w:basedOn w:val="15"/>
    <w:link w:val="9"/>
    <w:qFormat/>
    <w:uiPriority w:val="99"/>
    <w:rPr>
      <w:sz w:val="18"/>
      <w:szCs w:val="18"/>
    </w:rPr>
  </w:style>
  <w:style w:type="paragraph" w:customStyle="1" w:styleId="19">
    <w:name w:val="列出段落1"/>
    <w:basedOn w:val="1"/>
    <w:qFormat/>
    <w:uiPriority w:val="34"/>
    <w:pPr>
      <w:ind w:firstLine="420" w:firstLineChars="200"/>
    </w:pPr>
    <w:rPr>
      <w:rFonts w:ascii="Calibri" w:hAnsi="Calibri"/>
    </w:rPr>
  </w:style>
  <w:style w:type="paragraph" w:customStyle="1" w:styleId="20">
    <w:name w:val="one-p"/>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72</Words>
  <Characters>412</Characters>
  <Lines>3</Lines>
  <Paragraphs>1</Paragraphs>
  <TotalTime>5</TotalTime>
  <ScaleCrop>false</ScaleCrop>
  <LinksUpToDate>false</LinksUpToDate>
  <CharactersWithSpaces>483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2020-06-26T01:48:00Z</dcterms:created>
  <dc:creator>微软用户</dc:creator>
  <cp:lastModifiedBy>Huzhou</cp:lastModifiedBy>
  <dcterms:modified xsi:type="dcterms:W3CDTF">2021-10-29T09:05:01Z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