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宋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附件5</w:t>
      </w:r>
    </w:p>
    <w:p>
      <w:pPr>
        <w:jc w:val="center"/>
        <w:rPr>
          <w:rFonts w:ascii="方正小标宋简体" w:eastAsia="方正小标宋简体" w:cs="华文细黑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长兴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县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普惠性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民办幼儿园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管理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考核考评表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园长（签名）：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填表人：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时间：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5"/>
        <w:tblW w:w="14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968"/>
        <w:gridCol w:w="1347"/>
        <w:gridCol w:w="71"/>
        <w:gridCol w:w="1012"/>
        <w:gridCol w:w="1184"/>
        <w:gridCol w:w="23"/>
        <w:gridCol w:w="214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一、园舍空间与设施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总分：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</w:rPr>
              <w:t>分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>自评得分：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color w:val="FF0000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</w:tc>
        <w:tc>
          <w:tcPr>
            <w:tcW w:w="6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指标内容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园舍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6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园舍相对稳定和独立，产权明晰合法，设置在安全区域内。园舍建筑安全，没有安全隐患。园舍场地布局基本合理，日照基本充足，排水通畅，清洁整齐，远离污染源。</w:t>
            </w:r>
          </w:p>
        </w:tc>
        <w:tc>
          <w:tcPr>
            <w:tcW w:w="1347" w:type="dxa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</w:t>
            </w:r>
          </w:p>
        </w:tc>
        <w:tc>
          <w:tcPr>
            <w:tcW w:w="6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户外活动场地生均面积不少于2平方米，建筑物二楼及二楼以上平台面积按1/2计算），户外活动场地安全，布局基本合理，有一定比例的绿化面积（生均 0.5 平方米以上）。</w:t>
            </w:r>
          </w:p>
        </w:tc>
        <w:tc>
          <w:tcPr>
            <w:tcW w:w="1347" w:type="dxa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108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设施</w:t>
            </w:r>
          </w:p>
        </w:tc>
        <w:tc>
          <w:tcPr>
            <w:tcW w:w="6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户外活动场地配备适合幼儿活动的体育活动设施和器械，数量能够满足全园 1/4 以上幼儿同时活动的需求。体育设施布局基本合理，有基本的安全防护措施。体育活动设施和器械没有安全隐患。</w:t>
            </w:r>
          </w:p>
        </w:tc>
        <w:tc>
          <w:tcPr>
            <w:tcW w:w="1347" w:type="dxa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2.5</w:t>
            </w:r>
          </w:p>
        </w:tc>
        <w:tc>
          <w:tcPr>
            <w:tcW w:w="108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配套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用房</w:t>
            </w:r>
          </w:p>
        </w:tc>
        <w:tc>
          <w:tcPr>
            <w:tcW w:w="6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有必要的辅助用房，包括办公室、保健室、会议室（可兼做他用）、食堂、传达室、成人厕所等。寄宿制幼儿园（班）必须有疾病隔离室、浴室、洗衣房等。</w:t>
            </w:r>
          </w:p>
        </w:tc>
        <w:tc>
          <w:tcPr>
            <w:tcW w:w="1347" w:type="dxa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gridSpan w:val="2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安防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设施</w:t>
            </w:r>
          </w:p>
        </w:tc>
        <w:tc>
          <w:tcPr>
            <w:tcW w:w="6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装备紧急报警装置、视频安防监控系统及简易实用的防护器械。在紧急疏散通道、安全出口处等位置，设置明显的指示标志。</w:t>
            </w:r>
          </w:p>
        </w:tc>
        <w:tc>
          <w:tcPr>
            <w:tcW w:w="1347" w:type="dxa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．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6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教师有基本的办公场所和设备。有一定的教学参考资料，师均拥有专业书籍 10 册以上，幼教专业杂志达 2 种以上。有教学需要的音像资料。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60" w:type="dxa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二、班级空间与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设施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总分：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</w:rPr>
              <w:t>分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自评得分：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color w:val="FF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216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活动室</w:t>
            </w:r>
          </w:p>
        </w:tc>
        <w:tc>
          <w:tcPr>
            <w:tcW w:w="6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班级活动室与午睡室合用，两者使用面积之和不得低于生均 2 平方米；与午睡室分设，则活动室使用面积不得低于生均 1.5 平方米。有较好的采光、照明、通风条件，有基本的温度控制设施，室内环境整洁。</w:t>
            </w:r>
          </w:p>
        </w:tc>
        <w:tc>
          <w:tcPr>
            <w:tcW w:w="141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84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盥洗室</w:t>
            </w:r>
          </w:p>
        </w:tc>
        <w:tc>
          <w:tcPr>
            <w:tcW w:w="6968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儿童厕所临近班级（至少在同一楼层）；设备数量够用（可以是在轮流使用的情况下），有便器/蹲位 4 个以上或便槽 2 米以上，设施安全，基本清洁；至少有 4 个高度基本适宜的流水洗手设施，有肥皂/洗手液和每人专用的擦手毛巾。班级内有适宜的饮水设备和安全卫生的饮用水。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午睡</w:t>
            </w:r>
          </w:p>
          <w:p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空间</w:t>
            </w:r>
          </w:p>
        </w:tc>
        <w:tc>
          <w:tcPr>
            <w:tcW w:w="6968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每位幼儿有自己铺位和卧具。每位幼儿的卧具分隔存放，床铺基本干净卫生，按时清洁消毒。寄宿制幼儿园（班）必须有幼儿专用、每人一床的独立寝室。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84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家俱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教具</w:t>
            </w:r>
          </w:p>
        </w:tc>
        <w:tc>
          <w:tcPr>
            <w:tcW w:w="6968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桌椅、玩具柜等家具设备数量够用，基本符合幼儿的身高尺寸。教学设施设备按《浙江省幼儿园教育装备规范》标准配备，基本满足日常教育活动的需要。生均书籍 15 册以上。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84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区角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设置</w:t>
            </w:r>
          </w:p>
        </w:tc>
        <w:tc>
          <w:tcPr>
            <w:tcW w:w="6968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室内自由游戏时，可以布置出 3 个以上活动区角（如角色游戏区、积木游戏区、美工活动区、益智游戏区、阅读区、表演游戏区、科学探索区等）。活动区角有基本的游戏材料，能满足班级一半幼儿同时进行区角活动的需要，有适合幼儿阅读的图书，定期更换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84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60" w:type="dxa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三、人员配备与待遇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总分：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Cs w:val="21"/>
              </w:rPr>
              <w:t>分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自评得分：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216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配备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 w:val="0"/>
                <w:bCs/>
                <w:szCs w:val="21"/>
              </w:rPr>
              <w:t>全日制幼儿园每个班级配备 2 名教师 1 名保育员。全日制幼儿园应当配 1 名卫生保健人员（幼儿数在 150 名以下可以由园内除班级教师外的工作人员兼职），寄宿制幼儿园应当配卫生保健人员 2 名，保证夜间有值班卫生保健人员 1 名，全园幼儿人数超过 300 名的酌情增加。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169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园长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 个班以下设园长 1 名（3 个班以下小规模幼儿园，园长可由教师兼任；幼儿数 200名以上，可酌情增设副园长或园长助理）。园长应具有中专及以上学历，3 年以上教育工作经验，持有适用的教师资格证，取得市级以上教育行政部门核发的《幼儿园园长岗位培训合格证书》。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169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专任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专任教师均持有适用的教师资格证，所有专任教师学历合格（高中或中专及以上），85%以上专任教师具有大专以上学历，其中学前教育专业的 25%以上，10%以上专任教师有中级及以上职称。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169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卫生保健人员具有高中毕业以上文化程度、经过卫生保健专业知识培训并取得上岗证。保育员具有初中以上文化程度、受过幼儿保育职业培训并取得上岗证。幼儿园其他工作人员的资格，按照国家和浙江省的有关规定执行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169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幼儿园所有工作人员须持有效的健康证，无慢性传染病和精神疾病，并每年进行体检。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169" w:type="dxa"/>
            <w:gridSpan w:val="2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17.</w:t>
            </w:r>
          </w:p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人员</w:t>
            </w:r>
          </w:p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待遇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幼儿园依法与在职非在编教职工签订劳动合同，并按规定为其办理医疗、养老、失业等社会保险。非在编合格专任教师的工资收入达到当地在编教师工资收入的 60%以上，其他人员工资不低于本地区最低工资标准。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169" w:type="dxa"/>
            <w:gridSpan w:val="2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计财科</w:t>
            </w:r>
          </w:p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人事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60" w:type="dxa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四、园务管理与教师队伍建设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总分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分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自评得分：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214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办园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幼儿园和班级规模适宜。一个园区幼儿数不超过 500 人，平均班额不超过 30 人。小班可适当减少，大班不超过 35 人。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园长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园长重视对班级日常教育活动的指导。正、副园长承担一定的教育教学任务，每月至少 2 个半日活动或累计 6 小时以上；园长每学期进班观察与指导累计不少于 10 个完整的半日活动；业务副园长或园长助理每学期不少于 25 个完整的半日活动。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规范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园经费来源合法稳定，幼儿园收费符合国家和地方的有关法规。在正常教育时间内没有以“兴趣班”“实验班”“特色班”等名义另行收费或超高收费。财务管理比较规范，账目清楚，经费使用比较合理，能安排一定的经费用于园舍维修、环境设备、教玩具、图书更新等，没有非法挪用经费和经费流失现象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计财科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师幼伙食账目分开，幼儿伙食费专款专用，并定期向家长公示（一般每月 1 次），除开支食堂必需的水电气外，没有开支工作人员工资和食堂设备的现象，每学期盈亏比例不超过 4%。按规定收取代管费，无超标准、超范围收取现象，每学期向家长公示收支情况。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计财科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重视教师继续教育和专业发展工作，有教师培训、研修和教科研制度，定期开展园本研修活动，研修有计划，有时间保证。每年有一定的教师培训经费，有教师专业发展规划并付诸实施，每位教师平均每 5 年继续教育不少于 360 学时。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23.</w:t>
            </w: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课程管理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建立课程管理组织和制度。有课程实施方案，确保课程实施的规范，能尝试开展课程审议。结合本园实际选择与利用周边资源，丰富课程内容。不开设超越幼儿教育阶段的学科课程，没有小学化倾向。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师风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重视师德建设，近 2 年内没有任何经举报查实的师德不良或违法事件（如体罚和变相体罚、恐吓、辱骂儿童，索要收受家长红包或礼品等）。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60" w:type="dxa"/>
            <w:gridSpan w:val="9"/>
            <w:vAlign w:val="center"/>
          </w:tcPr>
          <w:p>
            <w:pPr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五、安全与卫生保健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szCs w:val="21"/>
              </w:rPr>
              <w:t>总分：</w:t>
            </w:r>
            <w:r>
              <w:rPr>
                <w:rFonts w:ascii="宋体" w:hAnsi="宋体"/>
                <w:b/>
                <w:szCs w:val="21"/>
              </w:rPr>
              <w:t xml:space="preserve"> 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自评得分：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安全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安全管理制度基本健全，责任到人，按要求配备消防设施设备，园内各种建筑、设施设备均有安全防护措施，教育活动所提供的场地、材料、教玩具等均能确保安全。定期进行安全检查，及时消除安全隐患。近 2 年内没有发生安全责任事故。幼儿园应当投保校方责任险。</w:t>
            </w:r>
            <w:r>
              <w:rPr>
                <w:rFonts w:hint="eastAsia" w:ascii="宋体"/>
                <w:b w:val="0"/>
                <w:bCs/>
                <w:szCs w:val="21"/>
              </w:rPr>
              <w:t>按照办园规模配备足够数量的专职保安人员。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安全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教育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在各类活动中，教师为幼儿提供足够的安全监护。各班级有计划地对幼儿进行安全教育，教导幼儿基本的自我保护方法，帮助幼儿树立自我保护意识。每</w:t>
            </w:r>
            <w:r>
              <w:rPr>
                <w:rFonts w:hint="eastAsia" w:ascii="宋体" w:hAnsi="宋体"/>
                <w:szCs w:val="21"/>
                <w:lang w:eastAsia="zh-CN"/>
              </w:rPr>
              <w:t>季度</w:t>
            </w:r>
            <w:r>
              <w:rPr>
                <w:rFonts w:hint="eastAsia" w:ascii="宋体" w:hAnsi="宋体"/>
                <w:szCs w:val="21"/>
              </w:rPr>
              <w:t>进行一次适合幼儿年龄特点的安全应急演练。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卫生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设备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幼儿园保健室有基本的设备、器械、药品，班级的卫生保健和消毒设备安全、卫生、齐备，按规定使用。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卫生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保健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建立并执行健康检查、卫生消毒及卫生保健登记统计等各项卫生保健制度。幼儿每年体检一次，受检率 100%，预防接种率达 100%。做好晨</w:t>
            </w:r>
            <w:r>
              <w:rPr>
                <w:rFonts w:hint="eastAsia" w:ascii="宋体" w:hAnsi="宋体"/>
                <w:szCs w:val="21"/>
                <w:lang w:eastAsia="zh-CN"/>
              </w:rPr>
              <w:t>午</w:t>
            </w:r>
            <w:r>
              <w:rPr>
                <w:rFonts w:hint="eastAsia" w:ascii="宋体" w:hAnsi="宋体"/>
                <w:szCs w:val="21"/>
              </w:rPr>
              <w:t>检及全日健康观察等日常卫生保健工作，配合卫生部门做好计划免疫工作。取得当地卫健部门核发的《托幼机构卫生评价报告》。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29.营养与膳食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重视幼儿的饮食营养与健康，根据时令及幼儿特点制订食谱，为幼儿提供合理膳食。全园幼儿生长发育各项指标基本正常。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食堂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食堂做好饮食卫生管理，幼儿食品有 48 小时的留样；开展食品安全监督量化分级管理并达到 C 级以上，近 2 年没有发生食品安全事故。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60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六、班级保育和教育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szCs w:val="21"/>
              </w:rPr>
              <w:t>总分：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自评得分：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31.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盥洗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饮水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入厕、洗手、饮水的时间安排和组织方式基本合理。根据幼儿的年龄特点和需求， 提供必要的安全监护和护理。在需要洗手的环节，保教人员和大多数幼儿能洗手。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vAlign w:val="top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6" w:type="dxa"/>
            <w:vAlign w:val="top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32.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进餐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进餐时间安排合理。进餐环境清洁，餐具卫生、数量够用。进餐护理方式基本适当， 不强迫、催促幼儿吃饭。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33.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午睡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午睡时间安排符合大多数幼儿的需要。午睡环境没有明显干扰睡眠的因素；幼儿午睡期间有足够的成人监护，护理方式平静温和，不具有惩罚性。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34.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安排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一日活动安排基本合理（如，动静交替，每天至少有一次室内的区角游戏，每天都 有户外活动和体育活动）。一日活动内容多样（至少涉及 3 个幼儿发展领域），促进幼儿整体发展。生活环节组织基本有序，活动间转换过渡基本顺利。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环境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班级环境创设适合幼儿。班内幼儿作品均有机会展示。 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36.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自由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一天中幼儿有一些时间进行自由游戏活动。教师能够为幼儿的自由游戏活动提 供多种材料以供选择（至少 3 种以上）。教师对幼儿自由游戏活动的监护与支持基本适当， 与幼儿有较多的积极互动。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3.5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37.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户外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天气条件具备的情况下，一天中有多次、累计 90 分钟以上的户外活动，其中体育活 动不低于 30 分钟。天气条件不具备的情况下，幼儿有 30 分钟以上的适宜的室内体育活动。 保教人员能够为户外活动和体育活动提供足够的安全监护，指导方式基本适当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4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38.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集体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教师使用的课程指导用书需经浙江省教材审定委员会审查通过。适度提前制定课程 计划。教学活动目标基本合理，对大多数幼儿而言具有发展意义。教学内容和教学方法基本 适宜，至少半数幼儿能够有兴趣和参与。教学过程基本合理，至少半数幼儿能够获得有效的 学习机会。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60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家长工作和社会服务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szCs w:val="21"/>
              </w:rPr>
              <w:t>总分：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自评得分：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扣分原因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重视家园关系，家长工作形式多样（如，家园联系栏、家长会、家访、开放日、亲子运动会等），有计划、有落实、有记录。通过多种途径与家长进行双向沟通，家长有机会参与幼儿园和班级的活动，家长满意率较高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vAlign w:val="top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6" w:type="dxa"/>
            <w:vAlign w:val="top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</w:t>
            </w:r>
          </w:p>
        </w:tc>
        <w:tc>
          <w:tcPr>
            <w:tcW w:w="6968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加强与社区的沟通，积极争取社区的支持。充分利用社区资源，为幼儿提供丰富的活动场所、材料及其他教育资源和条件。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46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基教科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tbl>
      <w:tblPr>
        <w:tblStyle w:val="5"/>
        <w:tblpPr w:leftFromText="180" w:rightFromText="180" w:vertAnchor="text" w:horzAnchor="page" w:tblpX="1176" w:tblpY="215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9" w:hRule="atLeast"/>
        </w:trPr>
        <w:tc>
          <w:tcPr>
            <w:tcW w:w="144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加分项目：</w:t>
            </w:r>
            <w:r>
              <w:rPr>
                <w:rFonts w:hint="eastAsia" w:ascii="宋体" w:hAnsi="宋体"/>
                <w:sz w:val="28"/>
                <w:szCs w:val="28"/>
              </w:rPr>
              <w:t>幼儿园在本学年有特殊成绩，自报经审核后可按标准加分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23" w:firstLineChars="3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幼儿园获奖：</w:t>
            </w:r>
            <w:r>
              <w:rPr>
                <w:rFonts w:hint="eastAsia" w:ascii="宋体" w:hAnsi="宋体"/>
                <w:sz w:val="24"/>
                <w:szCs w:val="24"/>
              </w:rPr>
              <w:t>必须是政府行政部门颁发的先进称号方可加分（总分4分）。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tbl>
            <w:tblPr>
              <w:tblStyle w:val="5"/>
              <w:tblW w:w="0" w:type="auto"/>
              <w:tblInd w:w="25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9"/>
              <w:gridCol w:w="1440"/>
              <w:gridCol w:w="1439"/>
              <w:gridCol w:w="1439"/>
              <w:gridCol w:w="1440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2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国家级</w:t>
                  </w:r>
                </w:p>
              </w:tc>
              <w:tc>
                <w:tcPr>
                  <w:tcW w:w="1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省级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市级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43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集体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综合</w:t>
                  </w:r>
                </w:p>
              </w:tc>
              <w:tc>
                <w:tcPr>
                  <w:tcW w:w="1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4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3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43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单项</w:t>
                  </w:r>
                </w:p>
              </w:tc>
              <w:tc>
                <w:tcPr>
                  <w:tcW w:w="1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1.5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0.5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01" w:leftChars="0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01" w:leftChars="0" w:firstLine="241" w:firstLineChars="100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师幼个人获奖：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必须是教育部门认可的竞赛活动方可加分（总分3分）。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01" w:leftChars="0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tbl>
            <w:tblPr>
              <w:tblStyle w:val="5"/>
              <w:tblW w:w="0" w:type="auto"/>
              <w:tblInd w:w="25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2"/>
              <w:gridCol w:w="1433"/>
              <w:gridCol w:w="1432"/>
              <w:gridCol w:w="1432"/>
              <w:gridCol w:w="1434"/>
              <w:gridCol w:w="14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28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国家级</w:t>
                  </w:r>
                </w:p>
              </w:tc>
              <w:tc>
                <w:tcPr>
                  <w:tcW w:w="1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省级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市级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14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教师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幼儿</w:t>
                  </w:r>
                </w:p>
              </w:tc>
              <w:tc>
                <w:tcPr>
                  <w:tcW w:w="1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综合</w:t>
                  </w:r>
                </w:p>
              </w:tc>
              <w:tc>
                <w:tcPr>
                  <w:tcW w:w="1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1.5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0.5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4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单项</w:t>
                  </w:r>
                </w:p>
              </w:tc>
              <w:tc>
                <w:tcPr>
                  <w:tcW w:w="1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0.4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0.3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0.2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0.1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23" w:firstLineChars="300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承办或展示活动：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必须是教育部门认可举办的活动方可加分（总分3分）。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60" w:leftChars="0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tbl>
            <w:tblPr>
              <w:tblStyle w:val="5"/>
              <w:tblW w:w="0" w:type="auto"/>
              <w:tblInd w:w="25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2"/>
              <w:gridCol w:w="1436"/>
              <w:gridCol w:w="1436"/>
              <w:gridCol w:w="1437"/>
              <w:gridCol w:w="14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2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国家级</w:t>
                  </w: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省级</w:t>
                  </w:r>
                </w:p>
              </w:tc>
              <w:tc>
                <w:tcPr>
                  <w:tcW w:w="1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市级</w:t>
                  </w:r>
                </w:p>
              </w:tc>
              <w:tc>
                <w:tcPr>
                  <w:tcW w:w="1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2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承办各类活动</w:t>
                  </w: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3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2.5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1.5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2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展示活动或经验交流</w:t>
                  </w: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1.5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kern w:val="0"/>
                      <w:sz w:val="24"/>
                    </w:rPr>
                    <w:t>0.5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分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                  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07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_GB2312" w:eastAsia="仿宋_GB2312"/>
        <w:sz w:val="32"/>
        <w:szCs w:val="32"/>
      </w:rPr>
    </w:pPr>
    <w:r>
      <w:rPr>
        <w:rStyle w:val="7"/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Style w:val="7"/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- 10 -</w:t>
    </w:r>
    <w:r>
      <w:rPr>
        <w:rStyle w:val="7"/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82"/>
    <w:rsid w:val="000108ED"/>
    <w:rsid w:val="000168AA"/>
    <w:rsid w:val="0002693E"/>
    <w:rsid w:val="00033035"/>
    <w:rsid w:val="000661BA"/>
    <w:rsid w:val="00076395"/>
    <w:rsid w:val="00082ECD"/>
    <w:rsid w:val="00095A05"/>
    <w:rsid w:val="000B3600"/>
    <w:rsid w:val="000C0FAB"/>
    <w:rsid w:val="000C5F5C"/>
    <w:rsid w:val="000F3DA6"/>
    <w:rsid w:val="000F6D0A"/>
    <w:rsid w:val="00101DB0"/>
    <w:rsid w:val="001104BF"/>
    <w:rsid w:val="00110F74"/>
    <w:rsid w:val="00111695"/>
    <w:rsid w:val="00112004"/>
    <w:rsid w:val="001141EC"/>
    <w:rsid w:val="00152990"/>
    <w:rsid w:val="001577AF"/>
    <w:rsid w:val="001700FB"/>
    <w:rsid w:val="00180C2F"/>
    <w:rsid w:val="00181876"/>
    <w:rsid w:val="001B3EEE"/>
    <w:rsid w:val="001D5A96"/>
    <w:rsid w:val="001E7EBD"/>
    <w:rsid w:val="001F144A"/>
    <w:rsid w:val="001F51FA"/>
    <w:rsid w:val="001F56B3"/>
    <w:rsid w:val="001F6F93"/>
    <w:rsid w:val="00201A79"/>
    <w:rsid w:val="00205AEB"/>
    <w:rsid w:val="002121E6"/>
    <w:rsid w:val="00226A38"/>
    <w:rsid w:val="00237DC1"/>
    <w:rsid w:val="00257858"/>
    <w:rsid w:val="0026189B"/>
    <w:rsid w:val="00261E9A"/>
    <w:rsid w:val="00264BF1"/>
    <w:rsid w:val="00272E45"/>
    <w:rsid w:val="00273330"/>
    <w:rsid w:val="00273818"/>
    <w:rsid w:val="00295682"/>
    <w:rsid w:val="002957CD"/>
    <w:rsid w:val="002A3ED9"/>
    <w:rsid w:val="002A5AE8"/>
    <w:rsid w:val="002B76D5"/>
    <w:rsid w:val="002D2AE4"/>
    <w:rsid w:val="002E3916"/>
    <w:rsid w:val="002F09E8"/>
    <w:rsid w:val="00305A9C"/>
    <w:rsid w:val="00317EC0"/>
    <w:rsid w:val="00320652"/>
    <w:rsid w:val="00321BD6"/>
    <w:rsid w:val="00331C6E"/>
    <w:rsid w:val="00340A17"/>
    <w:rsid w:val="003629AE"/>
    <w:rsid w:val="00397CD5"/>
    <w:rsid w:val="003B1181"/>
    <w:rsid w:val="003B5DAE"/>
    <w:rsid w:val="003E07A2"/>
    <w:rsid w:val="003F08FB"/>
    <w:rsid w:val="00400CC8"/>
    <w:rsid w:val="00407975"/>
    <w:rsid w:val="00414D87"/>
    <w:rsid w:val="00432166"/>
    <w:rsid w:val="004568F6"/>
    <w:rsid w:val="00466BBB"/>
    <w:rsid w:val="00467D0C"/>
    <w:rsid w:val="00486C22"/>
    <w:rsid w:val="004B0AAB"/>
    <w:rsid w:val="004D6571"/>
    <w:rsid w:val="004E227B"/>
    <w:rsid w:val="004E29CD"/>
    <w:rsid w:val="0053297D"/>
    <w:rsid w:val="0053606B"/>
    <w:rsid w:val="00595EB8"/>
    <w:rsid w:val="005A361E"/>
    <w:rsid w:val="005C1BD0"/>
    <w:rsid w:val="005C241D"/>
    <w:rsid w:val="005D185C"/>
    <w:rsid w:val="005E27C9"/>
    <w:rsid w:val="005F632D"/>
    <w:rsid w:val="00613397"/>
    <w:rsid w:val="00617068"/>
    <w:rsid w:val="00633CE8"/>
    <w:rsid w:val="006343DA"/>
    <w:rsid w:val="006350CE"/>
    <w:rsid w:val="00644FB0"/>
    <w:rsid w:val="00660136"/>
    <w:rsid w:val="006617D3"/>
    <w:rsid w:val="00685D6F"/>
    <w:rsid w:val="00694D3E"/>
    <w:rsid w:val="006A686A"/>
    <w:rsid w:val="006B7741"/>
    <w:rsid w:val="006C4664"/>
    <w:rsid w:val="006D1990"/>
    <w:rsid w:val="006E1BDA"/>
    <w:rsid w:val="006E6DD0"/>
    <w:rsid w:val="006F080B"/>
    <w:rsid w:val="00700DB3"/>
    <w:rsid w:val="00714449"/>
    <w:rsid w:val="00742820"/>
    <w:rsid w:val="0074499B"/>
    <w:rsid w:val="00746FF3"/>
    <w:rsid w:val="00754A52"/>
    <w:rsid w:val="00784BCC"/>
    <w:rsid w:val="0079218F"/>
    <w:rsid w:val="007A6692"/>
    <w:rsid w:val="007B7269"/>
    <w:rsid w:val="007E0349"/>
    <w:rsid w:val="00800933"/>
    <w:rsid w:val="00803DCD"/>
    <w:rsid w:val="00807523"/>
    <w:rsid w:val="00833DB0"/>
    <w:rsid w:val="0085139A"/>
    <w:rsid w:val="00854818"/>
    <w:rsid w:val="00877DFF"/>
    <w:rsid w:val="00880718"/>
    <w:rsid w:val="00882DE7"/>
    <w:rsid w:val="00894327"/>
    <w:rsid w:val="008B0B47"/>
    <w:rsid w:val="008D2064"/>
    <w:rsid w:val="00905D46"/>
    <w:rsid w:val="0092062B"/>
    <w:rsid w:val="0093747B"/>
    <w:rsid w:val="009426DC"/>
    <w:rsid w:val="00956807"/>
    <w:rsid w:val="00962570"/>
    <w:rsid w:val="00971580"/>
    <w:rsid w:val="00971E7F"/>
    <w:rsid w:val="00975C63"/>
    <w:rsid w:val="00994337"/>
    <w:rsid w:val="009A5793"/>
    <w:rsid w:val="00A35316"/>
    <w:rsid w:val="00A540EB"/>
    <w:rsid w:val="00A559CF"/>
    <w:rsid w:val="00A605DE"/>
    <w:rsid w:val="00A63F13"/>
    <w:rsid w:val="00A71080"/>
    <w:rsid w:val="00A84712"/>
    <w:rsid w:val="00A87A42"/>
    <w:rsid w:val="00AC6160"/>
    <w:rsid w:val="00AD3203"/>
    <w:rsid w:val="00AD3C7F"/>
    <w:rsid w:val="00B12C2B"/>
    <w:rsid w:val="00B21482"/>
    <w:rsid w:val="00B37BB6"/>
    <w:rsid w:val="00B40791"/>
    <w:rsid w:val="00B456F3"/>
    <w:rsid w:val="00B61216"/>
    <w:rsid w:val="00B6445C"/>
    <w:rsid w:val="00B6562F"/>
    <w:rsid w:val="00B750C3"/>
    <w:rsid w:val="00BB7740"/>
    <w:rsid w:val="00BC1FFE"/>
    <w:rsid w:val="00BD7D9D"/>
    <w:rsid w:val="00BE7536"/>
    <w:rsid w:val="00C50FC3"/>
    <w:rsid w:val="00C54C20"/>
    <w:rsid w:val="00C84EAC"/>
    <w:rsid w:val="00CA2D75"/>
    <w:rsid w:val="00CB7D8E"/>
    <w:rsid w:val="00CC2FEC"/>
    <w:rsid w:val="00CC4DC9"/>
    <w:rsid w:val="00CC5CB3"/>
    <w:rsid w:val="00CD1C2B"/>
    <w:rsid w:val="00CD23C8"/>
    <w:rsid w:val="00CF15DE"/>
    <w:rsid w:val="00CF665C"/>
    <w:rsid w:val="00D12FAD"/>
    <w:rsid w:val="00D30179"/>
    <w:rsid w:val="00D31C02"/>
    <w:rsid w:val="00D31CF0"/>
    <w:rsid w:val="00D95B1F"/>
    <w:rsid w:val="00D978DE"/>
    <w:rsid w:val="00E00306"/>
    <w:rsid w:val="00E01749"/>
    <w:rsid w:val="00E23222"/>
    <w:rsid w:val="00E34B6B"/>
    <w:rsid w:val="00E45299"/>
    <w:rsid w:val="00E466B0"/>
    <w:rsid w:val="00E900A0"/>
    <w:rsid w:val="00E958EB"/>
    <w:rsid w:val="00E966B0"/>
    <w:rsid w:val="00E97047"/>
    <w:rsid w:val="00EA4344"/>
    <w:rsid w:val="00EA54F0"/>
    <w:rsid w:val="00EA5F7B"/>
    <w:rsid w:val="00EC7F81"/>
    <w:rsid w:val="00ED3E3D"/>
    <w:rsid w:val="00ED5BF3"/>
    <w:rsid w:val="00EE3A57"/>
    <w:rsid w:val="00EE3B2B"/>
    <w:rsid w:val="00EF1B9C"/>
    <w:rsid w:val="00EF42C3"/>
    <w:rsid w:val="00F02A1E"/>
    <w:rsid w:val="00F52837"/>
    <w:rsid w:val="00F64C5F"/>
    <w:rsid w:val="00F8632E"/>
    <w:rsid w:val="00F94584"/>
    <w:rsid w:val="00FA7678"/>
    <w:rsid w:val="00FD66A4"/>
    <w:rsid w:val="00FD70C6"/>
    <w:rsid w:val="00FE508C"/>
    <w:rsid w:val="00FF49F6"/>
    <w:rsid w:val="129507C6"/>
    <w:rsid w:val="17045CC4"/>
    <w:rsid w:val="261B6816"/>
    <w:rsid w:val="277B238A"/>
    <w:rsid w:val="279348E3"/>
    <w:rsid w:val="2D714FCE"/>
    <w:rsid w:val="30177E00"/>
    <w:rsid w:val="34A52095"/>
    <w:rsid w:val="3B634025"/>
    <w:rsid w:val="47A802D9"/>
    <w:rsid w:val="47D15335"/>
    <w:rsid w:val="4B925AC0"/>
    <w:rsid w:val="5A933B17"/>
    <w:rsid w:val="62004E92"/>
    <w:rsid w:val="69C57E31"/>
    <w:rsid w:val="7D286E6B"/>
    <w:rsid w:val="7EE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qFormat/>
    <w:uiPriority w:val="0"/>
    <w:pPr>
      <w:ind w:firstLine="420" w:firstLineChars="200"/>
    </w:pPr>
    <w:rPr>
      <w:rFonts w:ascii="宋体" w:hAnsi="宋体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正文文本缩进 2 Char"/>
    <w:basedOn w:val="6"/>
    <w:link w:val="2"/>
    <w:qFormat/>
    <w:uiPriority w:val="0"/>
    <w:rPr>
      <w:rFonts w:ascii="宋体" w:hAnsi="宋体"/>
      <w:kern w:val="2"/>
      <w:sz w:val="21"/>
      <w:szCs w:val="21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5E457-CB07-44EB-9D71-331EF4EAD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kehan</Company>
  <Pages>1</Pages>
  <Words>2009</Words>
  <Characters>11457</Characters>
  <Lines>95</Lines>
  <Paragraphs>26</Paragraphs>
  <TotalTime>70</TotalTime>
  <ScaleCrop>false</ScaleCrop>
  <LinksUpToDate>false</LinksUpToDate>
  <CharactersWithSpaces>13440</CharactersWithSpaces>
  <Application>WPS Office_11.1.0.10503_F1E327BC-269C-435d-A152-05C5408002CA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2018-10-11T02:02:00Z</dcterms:created>
  <dc:creator>Someone</dc:creator>
  <lastModifiedBy>蓝鱼儿游游</lastModifiedBy>
  <lastPrinted>2021-07-06T01:19:00Z</lastPrinted>
  <dcterms:modified xsi:type="dcterms:W3CDTF">2021-09-08T03:37:21Z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DC1EFB152DE94010A250FD0A40D77C70</vt:lpwstr>
  </property>
</Properties>
</file>