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spacing w:line="594" w:lineRule="exact"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酸价主要反映食品中的油脂酸败程度。酸价超标的原因，可能是企业原料采购把关不严、生产工艺不达标、产品储藏条件不当，特别是存贮温度较高时易导致食品中的脂肪氧化酸败。酸价超标会导致食品有哈喇味，超标严重时所产生的醛、酮、酸会破坏脂溶性维生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可能会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导致肠胃不适。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炒货食品及坚果制品酸价不合格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要原因一是炒货的原料大都油脂含量较高，若仓储条件或加工温度控制不当，易导致原料氧化变质，致使酸价偏高；二是使用过夏季的陈料，成品的酸价偏高。三是油炸类产品，如加工用油酸败，也会导致成品酸价偏高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面包的酸价表征的是面包中油脂的稳定性，酸价越高，说明面包发生氧化酸败的可能性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大。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故造成面包酸价不合格原因，应该是企业使用了质量不过关的油脂，或者油脂的储存环境不符合要求，导致面包的酸价超标，也有可能是面包的存储不符合要求或时间过长导致。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二、噻虫胺</w:t>
      </w:r>
    </w:p>
    <w:p>
      <w:pPr>
        <w:pStyle w:val="2"/>
        <w:ind w:left="0" w:leftChars="0" w:firstLine="64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噻虫胺是新烟碱类杀虫剂，是一类高效安全、高选择性的新型杀虫剂，其作用与烟碱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"https://baike.baidu.com/item/%E4%B9%99%E9%85%B0%E8%83%86%E7%A2%B1%E5%8F%97%E4%BD%93/662376"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乙酰胆碱受体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类似，具有触杀、胃毒和内吸活性。主要用于水稻、蔬菜、果树及其他作物上防治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"https://baike.baidu.com/item/%E8%9A%9C%E8%99%AB/417019"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蚜虫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"https://baike.baidu.com/item/%E5%8F%B6%E8%9D%89/417095"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叶蝉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"https://baike.baidu.com/item/%E8%93%9F%E9%A9%AC/4066456"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蓟马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"https://baike.baidu.com/item/%E9%A3%9E%E8%99%B1/5953853"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飞虱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等半翅目、鞘翅目、双翅目和某些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instrText xml:space="preserve"> HYPERLINK "https://baike.baidu.com/item/%E9%B3%9E%E7%BF%85/7627100" \t "https://baike.baidu.com/item/%E5%99%BB%E8%99%AB%E8%83%BA/_blank" </w:instrTex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鳞翅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目类害虫的杀虫剂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如果长期食用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超标的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食品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，可能会对身体健康造成影响。包括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噻虫胺、噻虫嗪在内的新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一直饱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受环境安全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安全性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的争议,欧洲多个环保组织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直将蜜蜂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数量的减少和蜜蜂健康状况下降归咎于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烟碱类杀虫剂的使用。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2012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年《科学》杂志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刊登的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两篇报告认为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烟碱类杀虫剂会以多种方式伤害大黄蜂和蜜蜂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导致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这两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种蜂类种群迅速衰减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。由于担心新烟碱类种子处理剂对蜜蜂健康的影响，欧盟于2013年12月宣布在大规模开花作物(例如油菜)中禁止使用该类农药。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三、啶虫脒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啶虫脒是一种具有触杀、渗透和传导作用的吡啶类杀虫剂。若长期大量食用啶虫脒超标的蔬菜,可能对人体健康产生不良影响。《食品安全国家标准 食品中农药最大残留限量》（GB 2763-201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）中规定，普通白菜中啶虫脒的最大限量为1mg/kg。普通白菜中啶虫脒超标的原因，可能是菜农对使用农药的安全间隔期不了解，从而违规使用或滥用农药。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四、恩诺沙星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淡水虾的肌肉中最大残留限量值为100μg/kg。淡水虾中恩诺沙星超标的原因，可能是在养殖过程中为快速控制疫病，违规加大用药量或不遵守休药期规定，致使产品上市销售时的药物残留量超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kern w:val="2"/>
          <w:sz w:val="32"/>
          <w:szCs w:val="32"/>
        </w:rPr>
        <w:t>阿斯巴甜</w:t>
      </w:r>
    </w:p>
    <w:p>
      <w:pPr>
        <w:spacing w:line="594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阿斯巴甜是一种经常用于食品加工的低热量人造甜味剂。它的甜度比蔗糖高出接近200倍。阿斯巴甜在食品中的主要作用是在降低热量的同时模仿糖的味道。造成阿斯巴甜超标的原因，可能是个别企业为增加食品的甜味，超量使用该添加剂，或者其使用的复配添加剂中该添加剂含量较高；也可能是在添加过程中未计量或计量不准确。长期大量食用阿斯巴甜超标产品，可能对人体健康产生一定影响。</w:t>
      </w:r>
    </w:p>
    <w:p>
      <w:pPr>
        <w:spacing w:line="594" w:lineRule="exact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zh-CN" w:eastAsia="zh-CN"/>
        </w:rPr>
        <w:t>六、标签审核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本次抽检依据《食品安全国家标准 预包装食品标签通则》（GB7718-201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）、《食品安全国家标准 预包装食品营养标签通则》（GB28050-2011）等标准及产品明示标准和指标的要求。该白砂糖标签存在以下问题：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1.基本要求不符合 GB 7718-2011 3.1-3.11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: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①“清凉润喉”易产生误解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普通食品不应暗示有保健作用。②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classic cand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y”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与产品名称“白砂糖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不一致。③营养成分表内的字符高度未达到 1.8mm。2. 配料表不符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合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GB 7718-2011 4.1.3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配料“蔗糖提炼”标示不准确，应标示出配料的具体名称。3. 产品标准代号不符合GB 7718-2011 4.1.10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产品标准代号标示错误。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6B3C90"/>
    <w:rsid w:val="1FEFBF07"/>
    <w:rsid w:val="2BC27407"/>
    <w:rsid w:val="2DAF31D6"/>
    <w:rsid w:val="2EAFF2E4"/>
    <w:rsid w:val="2FCF4B73"/>
    <w:rsid w:val="404B57DF"/>
    <w:rsid w:val="44D205D2"/>
    <w:rsid w:val="464A47C5"/>
    <w:rsid w:val="4677910E"/>
    <w:rsid w:val="47EB895B"/>
    <w:rsid w:val="4EC17D2B"/>
    <w:rsid w:val="59947270"/>
    <w:rsid w:val="5AFC65EE"/>
    <w:rsid w:val="5B152A8A"/>
    <w:rsid w:val="5B6FB207"/>
    <w:rsid w:val="5E202AB3"/>
    <w:rsid w:val="5E824960"/>
    <w:rsid w:val="5FBF072A"/>
    <w:rsid w:val="5FDBDD0D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EFE9587"/>
    <w:rsid w:val="7FFE70B0"/>
    <w:rsid w:val="7FFF42C0"/>
    <w:rsid w:val="AD3CF1E9"/>
    <w:rsid w:val="BDFFD156"/>
    <w:rsid w:val="CFECF121"/>
    <w:rsid w:val="D5F39ABF"/>
    <w:rsid w:val="D60E0E75"/>
    <w:rsid w:val="DFF920BE"/>
    <w:rsid w:val="DFFAF00A"/>
    <w:rsid w:val="DFFE6288"/>
    <w:rsid w:val="EF7AA782"/>
    <w:rsid w:val="EFF5B629"/>
    <w:rsid w:val="FBAFF26F"/>
    <w:rsid w:val="FD3D27DC"/>
    <w:rsid w:val="FDA68E1E"/>
    <w:rsid w:val="FDBED1E1"/>
    <w:rsid w:val="FDFE66B4"/>
    <w:rsid w:val="FE6F37B3"/>
    <w:rsid w:val="FF9F80BA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6">
    <w:name w:val="Normal Indent"/>
    <w:basedOn w:val="1"/>
    <w:next w:val="7"/>
    <w:qFormat/>
    <w:uiPriority w:val="0"/>
    <w:pPr>
      <w:ind w:firstLine="420" w:firstLineChars="200"/>
    </w:pPr>
  </w:style>
  <w:style w:type="paragraph" w:styleId="7">
    <w:name w:val="toc 4"/>
    <w:basedOn w:val="1"/>
    <w:next w:val="1"/>
    <w:qFormat/>
    <w:uiPriority w:val="0"/>
    <w:pPr>
      <w:ind w:left="1260" w:leftChars="600"/>
    </w:pPr>
  </w:style>
  <w:style w:type="paragraph" w:styleId="8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8"/>
    <w:semiHidden/>
    <w:unhideWhenUsed/>
    <w:qFormat/>
    <w:uiPriority w:val="99"/>
    <w:pPr>
      <w:ind w:firstLine="420" w:firstLineChars="100"/>
    </w:p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19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2020-06-24T17:48:00Z</dcterms:created>
  <dc:creator>微软用户</dc:creator>
  <cp:lastModifiedBy>Huzhou</cp:lastModifiedBy>
  <dcterms:modified xsi:type="dcterms:W3CDTF">2021-08-24T15:26:11Z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