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Ansi="黑体" w:eastAsia="黑体"/>
          <w:sz w:val="32"/>
          <w:szCs w:val="32"/>
        </w:rPr>
      </w:pPr>
      <w:r>
        <w:rPr>
          <w:rFonts w:hAnsi="黑体" w:eastAsia="黑体"/>
          <w:sz w:val="32"/>
          <w:szCs w:val="32"/>
        </w:rPr>
        <w:t>附件1</w:t>
      </w:r>
    </w:p>
    <w:p>
      <w:pPr>
        <w:spacing w:line="590" w:lineRule="exact"/>
        <w:ind w:firstLine="640" w:firstLineChars="200"/>
        <w:rPr>
          <w:rFonts w:eastAsia="仿宋_GB2312"/>
          <w:sz w:val="32"/>
          <w:szCs w:val="32"/>
        </w:rPr>
      </w:pPr>
    </w:p>
    <w:p>
      <w:pPr>
        <w:spacing w:line="590" w:lineRule="exact"/>
        <w:jc w:val="center"/>
        <w:rPr>
          <w:rFonts w:ascii="方正书宋简体" w:eastAsia="方正书宋简体"/>
          <w:b/>
          <w:bCs/>
          <w:sz w:val="44"/>
          <w:szCs w:val="44"/>
        </w:rPr>
      </w:pPr>
      <w:r>
        <w:rPr>
          <w:rFonts w:ascii="方正书宋简体" w:eastAsia="方正书宋简体"/>
          <w:b/>
          <w:bCs/>
          <w:sz w:val="44"/>
          <w:szCs w:val="44"/>
        </w:rPr>
        <w:t>符合撤销登记情形的社会组织</w:t>
      </w:r>
    </w:p>
    <w:p>
      <w:pPr>
        <w:spacing w:line="590" w:lineRule="exact"/>
        <w:ind w:firstLine="640" w:firstLineChars="200"/>
        <w:rPr>
          <w:rFonts w:eastAsia="仿宋_GB2312"/>
          <w:bCs/>
          <w:sz w:val="32"/>
          <w:szCs w:val="32"/>
        </w:rPr>
      </w:pPr>
    </w:p>
    <w:p>
      <w:pPr>
        <w:spacing w:line="590" w:lineRule="exact"/>
        <w:ind w:firstLine="640" w:firstLineChars="200"/>
        <w:rPr>
          <w:rFonts w:ascii="黑体" w:hAnsi="黑体" w:eastAsia="黑体"/>
          <w:bCs/>
          <w:sz w:val="32"/>
          <w:szCs w:val="32"/>
        </w:rPr>
      </w:pPr>
      <w:bookmarkStart w:id="0" w:name="_Hlk78793114"/>
      <w:r>
        <w:rPr>
          <w:rFonts w:ascii="黑体" w:hAnsi="黑体" w:eastAsia="黑体"/>
          <w:bCs/>
          <w:sz w:val="32"/>
          <w:szCs w:val="32"/>
        </w:rPr>
        <w:t>一、社会团体</w:t>
      </w:r>
      <w:bookmarkEnd w:id="0"/>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社会团体在申请登记时弄虚作假，骗取登记的，或者自取得《社会团体法人登记证书》之日起1年未开展活动的，由登记管理机关予以撤销登记。</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社会团体有下列情形之一的，由登记管理机关给予警告，责令改正，可以限期停止活动，并可以责令撤换直接负责的主管人员；情节严重的，予以撤销登记；构成犯罪的，依法追究刑事责任：</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涂改、出租、出借《社会团体法人登记证书》，或者出租、出借社会团体印章的；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超出章程规定的宗旨和业务范围进行活动的；</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拒不接受或者不按照规定接受监督检查的；</w:t>
      </w:r>
    </w:p>
    <w:p>
      <w:pPr>
        <w:spacing w:line="59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不按照规定办理变更登记的；</w:t>
      </w:r>
    </w:p>
    <w:p>
      <w:pPr>
        <w:spacing w:line="59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违反规定设立分支机构、代表机构，或者对分支机构、代表机构疏于管理，造成严重后果的； </w:t>
      </w:r>
    </w:p>
    <w:p>
      <w:pPr>
        <w:spacing w:line="59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从事营利性的经营活动的；</w:t>
      </w:r>
    </w:p>
    <w:p>
      <w:pPr>
        <w:spacing w:line="59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侵占、私分、挪用社会团体资产或者所接受的捐赠、资助的；</w:t>
      </w:r>
    </w:p>
    <w:p>
      <w:pPr>
        <w:spacing w:line="59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违反国家有关规定收取费用、筹集资金或者接受、使用捐赠、资助的。</w:t>
      </w:r>
    </w:p>
    <w:p>
      <w:pPr>
        <w:spacing w:line="590" w:lineRule="exact"/>
        <w:ind w:firstLine="640" w:firstLineChars="200"/>
        <w:rPr>
          <w:rFonts w:eastAsia="仿宋_GB2312"/>
          <w:sz w:val="32"/>
          <w:szCs w:val="32"/>
        </w:rPr>
      </w:pPr>
      <w:r>
        <w:rPr>
          <w:rFonts w:eastAsia="仿宋_GB2312"/>
          <w:sz w:val="32"/>
          <w:szCs w:val="32"/>
        </w:rPr>
        <w:t>前款规定的行为有违法经营额或者违法所得的，予以没收，可以并处违法经营额1倍以上3倍以下或者违法所得3倍以上5倍以下的罚款。</w:t>
      </w:r>
    </w:p>
    <w:p>
      <w:pPr>
        <w:spacing w:line="59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社会团体的活动违反其他法律、法规的，由有关国家机关依法处理；有关国家机关认为应当撤销登记的，由登记管理机关撤销登记。</w:t>
      </w:r>
    </w:p>
    <w:p>
      <w:pPr>
        <w:spacing w:line="590" w:lineRule="exact"/>
        <w:ind w:firstLine="640" w:firstLineChars="200"/>
        <w:rPr>
          <w:rFonts w:ascii="黑体" w:hAnsi="黑体" w:eastAsia="黑体"/>
          <w:bCs/>
          <w:sz w:val="32"/>
          <w:szCs w:val="32"/>
        </w:rPr>
      </w:pPr>
      <w:r>
        <w:rPr>
          <w:rFonts w:ascii="黑体" w:hAnsi="黑体" w:eastAsia="黑体"/>
          <w:bCs/>
          <w:sz w:val="32"/>
          <w:szCs w:val="32"/>
        </w:rPr>
        <w:t>二、民办非企业单位</w:t>
      </w:r>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pacing w:val="-4"/>
          <w:sz w:val="32"/>
          <w:szCs w:val="32"/>
        </w:rPr>
        <w:t>民办非企业单位在申请登记时弄虚作假，骗取登记的，</w:t>
      </w:r>
      <w:r>
        <w:rPr>
          <w:rFonts w:eastAsia="仿宋_GB2312"/>
          <w:sz w:val="32"/>
          <w:szCs w:val="32"/>
        </w:rPr>
        <w:t>或者业务主管单位撤销批准的，由登记管理机关予以撤销登记。</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 xml:space="preserve">民办非企业单位有下列情形之一的，由登记管理机关予以警告，责令改正，可以限期停止活动；情节严重的，予以撤销登记；构成犯罪的，依法追究刑事责任： </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涂改、出租、出借民办非企业单位登记证书，或者出租、出借民办非企业单位印章的； </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超出其章程规定的宗旨和业务范围进行活动的； </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拒不接受或者不按照规定接受监督检查的； </w:t>
      </w:r>
    </w:p>
    <w:p>
      <w:pPr>
        <w:spacing w:line="59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不按照规定办理变更登记的； </w:t>
      </w:r>
    </w:p>
    <w:p>
      <w:pPr>
        <w:spacing w:line="59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设立分支机构的； </w:t>
      </w:r>
    </w:p>
    <w:p>
      <w:pPr>
        <w:spacing w:line="59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 xml:space="preserve">从事营利性的经营活动的； </w:t>
      </w:r>
    </w:p>
    <w:p>
      <w:pPr>
        <w:spacing w:line="59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 xml:space="preserve">侵占、私分、挪用民办非企业单位的资产或者所接受的捐赠、资助的； </w:t>
      </w:r>
    </w:p>
    <w:p>
      <w:pPr>
        <w:spacing w:line="59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 xml:space="preserve">违反国家有关规定收取费用、筹集资金或者接受使用捐赠、资助的。 </w:t>
      </w:r>
    </w:p>
    <w:p>
      <w:pPr>
        <w:spacing w:line="590" w:lineRule="exact"/>
        <w:ind w:firstLine="640" w:firstLineChars="200"/>
        <w:rPr>
          <w:rFonts w:eastAsia="仿宋_GB2312"/>
          <w:sz w:val="32"/>
          <w:szCs w:val="32"/>
        </w:rPr>
      </w:pPr>
      <w:r>
        <w:rPr>
          <w:rFonts w:eastAsia="仿宋_GB2312"/>
          <w:sz w:val="32"/>
          <w:szCs w:val="32"/>
        </w:rPr>
        <w:t>前款规定的行为有违法经营额或者违法所得的，予以没收，可以并处违法经营额</w:t>
      </w:r>
      <w:r>
        <w:rPr>
          <w:rFonts w:hint="eastAsia" w:eastAsia="仿宋_GB2312"/>
          <w:sz w:val="32"/>
          <w:szCs w:val="32"/>
        </w:rPr>
        <w:t>1</w:t>
      </w:r>
      <w:r>
        <w:rPr>
          <w:rFonts w:eastAsia="仿宋_GB2312"/>
          <w:sz w:val="32"/>
          <w:szCs w:val="32"/>
        </w:rPr>
        <w:t>倍以上</w:t>
      </w:r>
      <w:r>
        <w:rPr>
          <w:rFonts w:hint="eastAsia" w:eastAsia="仿宋_GB2312"/>
          <w:sz w:val="32"/>
          <w:szCs w:val="32"/>
        </w:rPr>
        <w:t>3</w:t>
      </w:r>
      <w:r>
        <w:rPr>
          <w:rFonts w:eastAsia="仿宋_GB2312"/>
          <w:sz w:val="32"/>
          <w:szCs w:val="32"/>
        </w:rPr>
        <w:t>倍以下或者违法所得</w:t>
      </w:r>
      <w:r>
        <w:rPr>
          <w:rFonts w:hint="eastAsia" w:eastAsia="仿宋_GB2312"/>
          <w:sz w:val="32"/>
          <w:szCs w:val="32"/>
        </w:rPr>
        <w:t>3</w:t>
      </w:r>
      <w:r>
        <w:rPr>
          <w:rFonts w:eastAsia="仿宋_GB2312"/>
          <w:sz w:val="32"/>
          <w:szCs w:val="32"/>
        </w:rPr>
        <w:t>倍以上</w:t>
      </w:r>
      <w:r>
        <w:rPr>
          <w:rFonts w:hint="eastAsia" w:eastAsia="仿宋_GB2312"/>
          <w:sz w:val="32"/>
          <w:szCs w:val="32"/>
        </w:rPr>
        <w:t>5</w:t>
      </w:r>
      <w:r>
        <w:rPr>
          <w:rFonts w:eastAsia="仿宋_GB2312"/>
          <w:sz w:val="32"/>
          <w:szCs w:val="32"/>
        </w:rPr>
        <w:t xml:space="preserve">倍以下的罚款。 </w:t>
      </w:r>
    </w:p>
    <w:p>
      <w:pPr>
        <w:spacing w:line="59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民办非企业单位的活动违反其他法律、法规的，由有关国家机关依法处理；有关国家机关认为应当撤销登记的，由登记管理机关撤销登记。</w:t>
      </w:r>
    </w:p>
    <w:p>
      <w:pPr>
        <w:spacing w:line="590" w:lineRule="exact"/>
        <w:ind w:firstLine="640" w:firstLineChars="200"/>
        <w:rPr>
          <w:rFonts w:ascii="黑体" w:hAnsi="黑体" w:eastAsia="黑体"/>
          <w:bCs/>
          <w:sz w:val="32"/>
          <w:szCs w:val="32"/>
        </w:rPr>
      </w:pPr>
      <w:r>
        <w:rPr>
          <w:rFonts w:ascii="黑体" w:hAnsi="黑体" w:eastAsia="黑体"/>
          <w:bCs/>
          <w:sz w:val="32"/>
          <w:szCs w:val="32"/>
        </w:rPr>
        <w:t>三、基金会</w:t>
      </w:r>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基金会、基金会分支机构、基金会代表机构或者境外</w:t>
      </w:r>
      <w:r>
        <w:rPr>
          <w:rFonts w:eastAsia="仿宋_GB2312"/>
          <w:spacing w:val="-6"/>
          <w:sz w:val="32"/>
          <w:szCs w:val="32"/>
        </w:rPr>
        <w:t>基金会代表机构有下列情形之一的，登记管理机关应当撤销登记：</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在申请登记时弄虚作假骗取登记的，或者自取得登记证书之日起12个月内未按章程规定开展活动的；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符合注销条件，不按照基金会条例的规定办理注销登记仍继续开展活动的。</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基金会、基金会分支机构、基金会代表机构或者境外基金会代表机构有下列情形之一的，由登记管理机关给予警告、责令停止活动；情节严重的，可以撤销登记：</w:t>
      </w:r>
    </w:p>
    <w:p>
      <w:pPr>
        <w:spacing w:line="590" w:lineRule="exact"/>
        <w:ind w:firstLine="640" w:firstLineChars="200"/>
        <w:rPr>
          <w:rFonts w:eastAsia="仿宋_GB2312"/>
          <w:spacing w:val="6"/>
          <w:sz w:val="32"/>
          <w:szCs w:val="32"/>
        </w:rPr>
      </w:pPr>
      <w:r>
        <w:rPr>
          <w:rFonts w:hint="eastAsia" w:eastAsia="仿宋_GB2312"/>
          <w:sz w:val="32"/>
          <w:szCs w:val="32"/>
        </w:rPr>
        <w:t>1．</w:t>
      </w:r>
      <w:r>
        <w:rPr>
          <w:rFonts w:eastAsia="仿宋_GB2312"/>
          <w:spacing w:val="6"/>
          <w:sz w:val="32"/>
          <w:szCs w:val="32"/>
        </w:rPr>
        <w:t>未按照章程规定的宗旨和公益活动的业务范围进行活动的；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在填制会计凭证、登记会计账簿、编制财务会计报告中弄虚作假的；</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不按照规定办理变更登记的；</w:t>
      </w:r>
    </w:p>
    <w:p>
      <w:pPr>
        <w:spacing w:line="590" w:lineRule="exact"/>
        <w:ind w:firstLine="640" w:firstLineChars="200"/>
        <w:rPr>
          <w:rFonts w:eastAsia="仿宋_GB2312"/>
          <w:sz w:val="32"/>
          <w:szCs w:val="32"/>
        </w:rPr>
      </w:pPr>
      <w:r>
        <w:rPr>
          <w:rFonts w:hint="eastAsia" w:eastAsia="仿宋_GB2312"/>
          <w:sz w:val="32"/>
          <w:szCs w:val="32"/>
        </w:rPr>
        <w:t>4．</w:t>
      </w:r>
      <w:r>
        <w:rPr>
          <w:rFonts w:eastAsia="仿宋_GB2312"/>
          <w:spacing w:val="-4"/>
          <w:sz w:val="32"/>
          <w:szCs w:val="32"/>
        </w:rPr>
        <w:t>未按照</w:t>
      </w:r>
      <w:bookmarkStart w:id="1" w:name="_Hlk78873659"/>
      <w:r>
        <w:rPr>
          <w:rFonts w:eastAsia="仿宋_GB2312"/>
          <w:spacing w:val="-4"/>
          <w:sz w:val="32"/>
          <w:szCs w:val="32"/>
        </w:rPr>
        <w:t>基金会管理</w:t>
      </w:r>
      <w:bookmarkEnd w:id="1"/>
      <w:r>
        <w:rPr>
          <w:rFonts w:eastAsia="仿宋_GB2312"/>
          <w:spacing w:val="-4"/>
          <w:sz w:val="32"/>
          <w:szCs w:val="32"/>
        </w:rPr>
        <w:t>条例的规定完成公益事业支出额度的；</w:t>
      </w:r>
    </w:p>
    <w:p>
      <w:pPr>
        <w:spacing w:line="59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未按照基金会管理条例的规定接受年度检查，或者年度检查不合格的；</w:t>
      </w:r>
    </w:p>
    <w:p>
      <w:pPr>
        <w:spacing w:line="59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不履行信息公布义务或者公布虚假信息的。</w:t>
      </w:r>
    </w:p>
    <w:p>
      <w:pPr>
        <w:spacing w:line="590" w:lineRule="exact"/>
        <w:ind w:firstLine="640" w:firstLineChars="200"/>
        <w:rPr>
          <w:rFonts w:eastAsia="仿宋_GB2312"/>
          <w:sz w:val="32"/>
          <w:szCs w:val="32"/>
        </w:rPr>
      </w:pPr>
      <w:r>
        <w:rPr>
          <w:rFonts w:eastAsia="仿宋_GB2312"/>
          <w:sz w:val="32"/>
          <w:szCs w:val="32"/>
        </w:rPr>
        <w:t>基金会、境外基金会代表机构有前款所列行为的，登记管理机关应当提请税务机关责令补交违法行为存续期间所享受的税收减免。</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jc w:val="left"/>
        <w:rPr>
          <w:rFonts w:hAnsi="黑体" w:eastAsia="黑体"/>
          <w:sz w:val="32"/>
          <w:szCs w:val="32"/>
        </w:rPr>
      </w:pPr>
      <w:r>
        <w:rPr>
          <w:rFonts w:eastAsia="仿宋_GB2312"/>
          <w:sz w:val="32"/>
          <w:szCs w:val="32"/>
        </w:rPr>
        <w:br w:type="column"/>
      </w:r>
      <w:r>
        <w:rPr>
          <w:rFonts w:hAnsi="黑体" w:eastAsia="黑体"/>
          <w:sz w:val="32"/>
          <w:szCs w:val="32"/>
        </w:rPr>
        <w:t>附件2</w:t>
      </w:r>
    </w:p>
    <w:p>
      <w:pPr>
        <w:spacing w:line="590" w:lineRule="exact"/>
        <w:ind w:firstLine="643" w:firstLineChars="200"/>
        <w:rPr>
          <w:rFonts w:eastAsia="仿宋_GB2312"/>
          <w:b/>
          <w:bCs/>
          <w:sz w:val="32"/>
          <w:szCs w:val="32"/>
        </w:rPr>
      </w:pPr>
    </w:p>
    <w:p>
      <w:pPr>
        <w:spacing w:line="590" w:lineRule="exact"/>
        <w:jc w:val="center"/>
        <w:rPr>
          <w:rFonts w:ascii="方正书宋简体" w:eastAsia="方正书宋简体"/>
          <w:b/>
          <w:bCs/>
          <w:sz w:val="44"/>
          <w:szCs w:val="44"/>
        </w:rPr>
      </w:pPr>
      <w:r>
        <w:rPr>
          <w:rFonts w:ascii="方正书宋简体" w:eastAsia="方正书宋简体"/>
          <w:b/>
          <w:bCs/>
          <w:sz w:val="44"/>
          <w:szCs w:val="44"/>
        </w:rPr>
        <w:t>符合吊销登记证书</w:t>
      </w:r>
      <w:r>
        <w:rPr>
          <w:rFonts w:hint="eastAsia" w:ascii="方正书宋简体" w:eastAsia="方正书宋简体"/>
          <w:b/>
          <w:bCs/>
          <w:sz w:val="44"/>
          <w:szCs w:val="44"/>
        </w:rPr>
        <w:t>情形</w:t>
      </w:r>
      <w:r>
        <w:rPr>
          <w:rFonts w:ascii="方正书宋简体" w:eastAsia="方正书宋简体"/>
          <w:b/>
          <w:bCs/>
          <w:sz w:val="44"/>
          <w:szCs w:val="44"/>
        </w:rPr>
        <w:t>的慈善组织</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慈善组织有下列情形之一的，由民政部门责令限期改正；逾期不改正的，吊销登记证书并予以公告：</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未按照慈善宗旨开展活动的；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私分、挪用、截留或者侵占慈善财产的；</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pacing w:val="-10"/>
          <w:sz w:val="32"/>
          <w:szCs w:val="32"/>
        </w:rPr>
        <w:t>接受附加违反法律法规或者违背社会公德条件的捐赠，</w:t>
      </w:r>
      <w:r>
        <w:rPr>
          <w:rFonts w:eastAsia="仿宋_GB2312"/>
          <w:spacing w:val="-4"/>
          <w:sz w:val="32"/>
          <w:szCs w:val="32"/>
        </w:rPr>
        <w:t>或者对受益人附加违反法律法规或者违背社会公德的条件的。</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慈善组织有下列情形之一的，由民政部门予以警告、责令限期改正；逾期不改正的，责令限期停止活动并进行整改：</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违反慈善法第十四条规定造成慈善财产损失的；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将不得用于投资的财产用于投资的；</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擅自改变捐赠财产用途的；</w:t>
      </w:r>
    </w:p>
    <w:p>
      <w:pPr>
        <w:spacing w:line="59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开展慈善活动的年度支出或者管理费用的标准违反慈善法第六十条规定的；</w:t>
      </w:r>
    </w:p>
    <w:p>
      <w:pPr>
        <w:spacing w:line="59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未依法履行信息公开义务的；</w:t>
      </w:r>
    </w:p>
    <w:p>
      <w:pPr>
        <w:spacing w:line="59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未依法报送年度工作报告、财务会计报告或者报备募捐方案的；</w:t>
      </w:r>
    </w:p>
    <w:p>
      <w:pPr>
        <w:spacing w:line="59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泄露捐赠人、志愿者、受益人个人隐私以及捐赠人、慈善信托的委托人不同意公开的姓名、名称、住所、通讯方式等信息的。</w:t>
      </w:r>
    </w:p>
    <w:p>
      <w:pPr>
        <w:spacing w:line="590" w:lineRule="exact"/>
        <w:ind w:firstLine="640" w:firstLineChars="200"/>
        <w:rPr>
          <w:rFonts w:eastAsia="仿宋_GB2312"/>
          <w:sz w:val="32"/>
          <w:szCs w:val="32"/>
        </w:rPr>
      </w:pPr>
      <w:r>
        <w:rPr>
          <w:rFonts w:eastAsia="仿宋_GB2312"/>
          <w:sz w:val="32"/>
          <w:szCs w:val="32"/>
        </w:rPr>
        <w:t>慈善组织违反慈善法规定泄露国家秘密、商业秘密的，依照有关法律的规定予以处罚。</w:t>
      </w:r>
    </w:p>
    <w:p>
      <w:pPr>
        <w:spacing w:line="590" w:lineRule="exact"/>
        <w:ind w:firstLine="640" w:firstLineChars="200"/>
        <w:rPr>
          <w:rFonts w:eastAsia="仿宋_GB2312"/>
          <w:sz w:val="32"/>
          <w:szCs w:val="32"/>
        </w:rPr>
      </w:pPr>
      <w:r>
        <w:rPr>
          <w:rFonts w:eastAsia="仿宋_GB2312"/>
          <w:sz w:val="32"/>
          <w:szCs w:val="32"/>
        </w:rPr>
        <w:t>慈善组织有前两款规定的情形，经依法处理后一年内再出现前款规定的情形，或者有其他情节严重情形的，由民政部门吊销登记证书并予以公告。</w:t>
      </w:r>
    </w:p>
    <w:p>
      <w:pPr>
        <w:spacing w:line="59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慈善组织弄虚作假骗取税收优惠的，由税务机关依法查处；情节严重的，由民政部门吊销登记证书并予以公告。</w:t>
      </w:r>
    </w:p>
    <w:p>
      <w:pPr>
        <w:spacing w:line="590" w:lineRule="exact"/>
        <w:ind w:firstLine="640" w:firstLineChars="200"/>
        <w:rPr>
          <w:rFonts w:eastAsia="仿宋_GB2312"/>
          <w:sz w:val="32"/>
          <w:szCs w:val="32"/>
        </w:rPr>
      </w:pPr>
      <w:r>
        <w:rPr>
          <w:rFonts w:hint="eastAsia" w:eastAsia="仿宋_GB2312"/>
          <w:sz w:val="32"/>
          <w:szCs w:val="32"/>
        </w:rPr>
        <w:t>（四）</w:t>
      </w:r>
      <w:r>
        <w:rPr>
          <w:rFonts w:eastAsia="仿宋_GB2312"/>
          <w:spacing w:val="4"/>
          <w:sz w:val="32"/>
          <w:szCs w:val="32"/>
        </w:rPr>
        <w:t>慈善组织从事、资助危害国家安全或者社会公共利益活动的，由有关机关依法查处，由民政部门吊销登记证书并予以公告。</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jc w:val="left"/>
        <w:rPr>
          <w:rFonts w:hAnsi="黑体" w:eastAsia="黑体"/>
          <w:sz w:val="32"/>
          <w:szCs w:val="32"/>
        </w:rPr>
      </w:pPr>
      <w:r>
        <w:rPr>
          <w:rFonts w:eastAsia="仿宋_GB2312"/>
          <w:sz w:val="32"/>
          <w:szCs w:val="32"/>
        </w:rPr>
        <w:br w:type="column"/>
      </w:r>
      <w:r>
        <w:rPr>
          <w:rFonts w:hAnsi="黑体" w:eastAsia="黑体"/>
          <w:sz w:val="32"/>
          <w:szCs w:val="32"/>
        </w:rPr>
        <w:t>附件3</w:t>
      </w:r>
    </w:p>
    <w:p>
      <w:pPr>
        <w:spacing w:line="590" w:lineRule="exact"/>
        <w:ind w:firstLine="643" w:firstLineChars="200"/>
        <w:rPr>
          <w:rFonts w:eastAsia="仿宋_GB2312"/>
          <w:b/>
          <w:bCs/>
          <w:sz w:val="32"/>
          <w:szCs w:val="32"/>
        </w:rPr>
      </w:pPr>
    </w:p>
    <w:p>
      <w:pPr>
        <w:spacing w:line="590" w:lineRule="exact"/>
        <w:jc w:val="center"/>
        <w:rPr>
          <w:rFonts w:hint="eastAsia" w:ascii="方正书宋简体" w:eastAsia="方正书宋简体"/>
          <w:b/>
          <w:bCs/>
          <w:sz w:val="44"/>
          <w:szCs w:val="44"/>
        </w:rPr>
      </w:pPr>
      <w:bookmarkStart w:id="2" w:name="_Hlk78980890"/>
      <w:r>
        <w:rPr>
          <w:rFonts w:hint="eastAsia" w:ascii="方正书宋简体" w:eastAsia="方正书宋简体"/>
          <w:b/>
          <w:bCs/>
          <w:sz w:val="44"/>
          <w:szCs w:val="44"/>
        </w:rPr>
        <w:t>符合注销登记情形的社会组织</w:t>
      </w:r>
      <w:bookmarkEnd w:id="2"/>
    </w:p>
    <w:p>
      <w:pPr>
        <w:spacing w:line="590" w:lineRule="exact"/>
        <w:ind w:firstLine="640" w:firstLineChars="200"/>
        <w:rPr>
          <w:rFonts w:eastAsia="仿宋_GB2312"/>
          <w:bCs/>
          <w:sz w:val="32"/>
          <w:szCs w:val="32"/>
        </w:rPr>
      </w:pPr>
    </w:p>
    <w:p>
      <w:pPr>
        <w:spacing w:line="590" w:lineRule="exact"/>
        <w:ind w:firstLine="640" w:firstLineChars="200"/>
        <w:rPr>
          <w:rFonts w:ascii="黑体" w:hAnsi="黑体" w:eastAsia="黑体"/>
          <w:bCs/>
          <w:sz w:val="32"/>
          <w:szCs w:val="32"/>
        </w:rPr>
      </w:pPr>
      <w:bookmarkStart w:id="3" w:name="_Hlk78793953"/>
      <w:r>
        <w:rPr>
          <w:rFonts w:ascii="黑体" w:hAnsi="黑体" w:eastAsia="黑体"/>
          <w:bCs/>
          <w:sz w:val="32"/>
          <w:szCs w:val="32"/>
        </w:rPr>
        <w:t>一、社会团体</w:t>
      </w:r>
      <w:bookmarkEnd w:id="3"/>
    </w:p>
    <w:p>
      <w:pPr>
        <w:spacing w:line="590" w:lineRule="exact"/>
        <w:ind w:firstLine="640" w:firstLineChars="200"/>
        <w:rPr>
          <w:rFonts w:eastAsia="仿宋_GB2312"/>
          <w:sz w:val="32"/>
          <w:szCs w:val="32"/>
        </w:rPr>
      </w:pPr>
      <w:r>
        <w:rPr>
          <w:rFonts w:eastAsia="仿宋_GB2312"/>
          <w:sz w:val="32"/>
          <w:szCs w:val="32"/>
        </w:rPr>
        <w:t xml:space="preserve">社会团体有下列情形之一的，应当在业务主管单位审查同意后，向登记管理机关申请注销登记： </w:t>
      </w:r>
    </w:p>
    <w:p>
      <w:pPr>
        <w:spacing w:line="590" w:lineRule="exact"/>
        <w:ind w:firstLine="640" w:firstLineChars="200"/>
        <w:rPr>
          <w:rFonts w:eastAsia="仿宋_GB2312"/>
          <w:sz w:val="32"/>
          <w:szCs w:val="32"/>
        </w:rPr>
      </w:pPr>
      <w:r>
        <w:rPr>
          <w:rFonts w:eastAsia="仿宋_GB2312"/>
          <w:sz w:val="32"/>
          <w:szCs w:val="32"/>
        </w:rPr>
        <w:t>（一）完成社会团体章程规定的宗旨的；</w:t>
      </w:r>
    </w:p>
    <w:p>
      <w:pPr>
        <w:spacing w:line="590" w:lineRule="exact"/>
        <w:ind w:firstLine="640" w:firstLineChars="200"/>
        <w:rPr>
          <w:rFonts w:eastAsia="仿宋_GB2312"/>
          <w:sz w:val="32"/>
          <w:szCs w:val="32"/>
        </w:rPr>
      </w:pPr>
      <w:r>
        <w:rPr>
          <w:rFonts w:eastAsia="仿宋_GB2312"/>
          <w:sz w:val="32"/>
          <w:szCs w:val="32"/>
        </w:rPr>
        <w:t>（二）自行解散的；</w:t>
      </w:r>
    </w:p>
    <w:p>
      <w:pPr>
        <w:spacing w:line="590" w:lineRule="exact"/>
        <w:ind w:firstLine="640" w:firstLineChars="200"/>
        <w:rPr>
          <w:rFonts w:eastAsia="仿宋_GB2312"/>
          <w:sz w:val="32"/>
          <w:szCs w:val="32"/>
        </w:rPr>
      </w:pPr>
      <w:r>
        <w:rPr>
          <w:rFonts w:eastAsia="仿宋_GB2312"/>
          <w:sz w:val="32"/>
          <w:szCs w:val="32"/>
        </w:rPr>
        <w:t>（三）分立、合并的；</w:t>
      </w:r>
    </w:p>
    <w:p>
      <w:pPr>
        <w:spacing w:line="590" w:lineRule="exact"/>
        <w:ind w:firstLine="640" w:firstLineChars="200"/>
        <w:rPr>
          <w:rFonts w:eastAsia="仿宋_GB2312"/>
          <w:sz w:val="32"/>
          <w:szCs w:val="32"/>
        </w:rPr>
      </w:pPr>
      <w:r>
        <w:rPr>
          <w:rFonts w:eastAsia="仿宋_GB2312"/>
          <w:sz w:val="32"/>
          <w:szCs w:val="32"/>
        </w:rPr>
        <w:t>（四）由于其他原因终止的。</w:t>
      </w:r>
    </w:p>
    <w:p>
      <w:pPr>
        <w:spacing w:line="590" w:lineRule="exact"/>
        <w:ind w:firstLine="640" w:firstLineChars="200"/>
        <w:rPr>
          <w:rFonts w:ascii="黑体" w:hAnsi="黑体" w:eastAsia="黑体"/>
          <w:bCs/>
          <w:sz w:val="32"/>
          <w:szCs w:val="32"/>
        </w:rPr>
      </w:pPr>
      <w:r>
        <w:rPr>
          <w:rFonts w:ascii="黑体" w:hAnsi="黑体" w:eastAsia="黑体"/>
          <w:bCs/>
          <w:sz w:val="32"/>
          <w:szCs w:val="32"/>
        </w:rPr>
        <w:t>二、民办非企业单位</w:t>
      </w:r>
    </w:p>
    <w:p>
      <w:pPr>
        <w:spacing w:line="590" w:lineRule="exact"/>
        <w:ind w:firstLine="640" w:firstLineChars="200"/>
        <w:rPr>
          <w:rFonts w:eastAsia="仿宋_GB2312"/>
          <w:sz w:val="32"/>
          <w:szCs w:val="32"/>
        </w:rPr>
      </w:pPr>
      <w:r>
        <w:rPr>
          <w:rFonts w:eastAsia="仿宋_GB2312"/>
          <w:sz w:val="32"/>
          <w:szCs w:val="32"/>
        </w:rPr>
        <w:t xml:space="preserve">民办非企业单位自行解散的，分立、合并的，或者由于其他原因需要注销登记的，应当向登记管理机关办理注销登记。 </w:t>
      </w:r>
    </w:p>
    <w:p>
      <w:pPr>
        <w:spacing w:line="590" w:lineRule="exact"/>
        <w:ind w:firstLine="640" w:firstLineChars="200"/>
        <w:rPr>
          <w:rFonts w:eastAsia="仿宋_GB2312"/>
          <w:sz w:val="32"/>
          <w:szCs w:val="32"/>
        </w:rPr>
      </w:pPr>
      <w:r>
        <w:rPr>
          <w:rFonts w:eastAsia="仿宋_GB2312"/>
          <w:sz w:val="32"/>
          <w:szCs w:val="32"/>
        </w:rPr>
        <w:t xml:space="preserve">民办非企业单位在办理注销登记前，应当在业务主管单位和其他有关机关的指导下，成立清算组织，完成清算工作。清算期间，民办非企业单位不得开展清算以外的活动。 </w:t>
      </w:r>
    </w:p>
    <w:p>
      <w:pPr>
        <w:spacing w:line="590" w:lineRule="exact"/>
        <w:ind w:firstLine="640" w:firstLineChars="200"/>
        <w:rPr>
          <w:rFonts w:ascii="黑体" w:hAnsi="黑体" w:eastAsia="黑体"/>
          <w:bCs/>
          <w:sz w:val="32"/>
          <w:szCs w:val="32"/>
        </w:rPr>
      </w:pPr>
      <w:r>
        <w:rPr>
          <w:rFonts w:ascii="黑体" w:hAnsi="黑体" w:eastAsia="黑体"/>
          <w:bCs/>
          <w:sz w:val="32"/>
          <w:szCs w:val="32"/>
        </w:rPr>
        <w:t>三、基金会</w:t>
      </w:r>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基金会、境外基金会代表机构有下列情形之一的，应当向登记管理机关申请注销登记：</w:t>
      </w:r>
    </w:p>
    <w:p>
      <w:pPr>
        <w:spacing w:line="59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按照章程规定终止的；</w:t>
      </w:r>
    </w:p>
    <w:p>
      <w:pPr>
        <w:spacing w:line="59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无法按照章程规定的宗旨继续从事公益活动的；</w:t>
      </w:r>
    </w:p>
    <w:p>
      <w:pPr>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由于其他原因终止的。</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基金会撤销其分支机构、代表机构的，应当向登记管理机关办理分支机构、代表机构的注销登记。</w:t>
      </w:r>
    </w:p>
    <w:p>
      <w:pPr>
        <w:spacing w:line="590" w:lineRule="exact"/>
        <w:ind w:firstLine="640" w:firstLineChars="200"/>
        <w:rPr>
          <w:rFonts w:eastAsia="仿宋_GB2312"/>
          <w:sz w:val="32"/>
          <w:szCs w:val="32"/>
        </w:rPr>
      </w:pPr>
      <w:r>
        <w:rPr>
          <w:rFonts w:eastAsia="仿宋_GB2312"/>
          <w:sz w:val="32"/>
          <w:szCs w:val="32"/>
        </w:rPr>
        <w:t>基金会注销的，其分支机构、代表机构同时注销。</w:t>
      </w:r>
    </w:p>
    <w:p>
      <w:pPr>
        <w:spacing w:line="590" w:lineRule="exact"/>
        <w:ind w:firstLine="640" w:firstLineChars="200"/>
        <w:rPr>
          <w:rFonts w:eastAsia="仿宋_GB2312"/>
          <w:sz w:val="32"/>
          <w:szCs w:val="32"/>
        </w:rPr>
        <w:sectPr>
          <w:footerReference r:id="rId3" w:type="default"/>
          <w:footerReference r:id="rId4" w:type="even"/>
          <w:pgSz w:w="11906" w:h="16838"/>
          <w:pgMar w:top="1871" w:right="1531" w:bottom="1701" w:left="1531" w:header="851" w:footer="1531" w:gutter="0"/>
          <w:cols w:space="720" w:num="1"/>
          <w:docGrid w:linePitch="312" w:charSpace="0"/>
        </w:sectPr>
      </w:pPr>
    </w:p>
    <w:p>
      <w:pPr>
        <w:spacing w:line="590" w:lineRule="exact"/>
        <w:jc w:val="left"/>
        <w:rPr>
          <w:rFonts w:eastAsia="黑体"/>
          <w:sz w:val="32"/>
          <w:szCs w:val="32"/>
        </w:rPr>
      </w:pPr>
      <w:r>
        <w:rPr>
          <w:rFonts w:hAnsi="黑体" w:eastAsia="黑体"/>
          <w:sz w:val="32"/>
          <w:szCs w:val="32"/>
        </w:rPr>
        <w:t>附件</w:t>
      </w:r>
      <w:r>
        <w:rPr>
          <w:rFonts w:eastAsia="黑体"/>
          <w:sz w:val="32"/>
          <w:szCs w:val="32"/>
        </w:rPr>
        <w:t>4</w:t>
      </w:r>
    </w:p>
    <w:p>
      <w:pPr>
        <w:spacing w:line="400" w:lineRule="exact"/>
        <w:jc w:val="center"/>
        <w:rPr>
          <w:rFonts w:ascii="方正书宋简体" w:eastAsia="方正书宋简体"/>
          <w:b/>
          <w:bCs/>
          <w:sz w:val="44"/>
          <w:szCs w:val="44"/>
        </w:rPr>
      </w:pPr>
    </w:p>
    <w:p>
      <w:pPr>
        <w:spacing w:line="590" w:lineRule="exact"/>
        <w:jc w:val="center"/>
        <w:rPr>
          <w:rFonts w:eastAsia="方正书宋简体"/>
          <w:b/>
          <w:bCs/>
          <w:sz w:val="44"/>
          <w:szCs w:val="44"/>
        </w:rPr>
      </w:pPr>
      <w:r>
        <w:rPr>
          <w:rFonts w:hint="eastAsia" w:eastAsia="方正书宋简体"/>
          <w:b/>
          <w:bCs/>
          <w:sz w:val="44"/>
          <w:szCs w:val="44"/>
        </w:rPr>
        <w:t>湖州市</w:t>
      </w:r>
      <w:r>
        <w:rPr>
          <w:rFonts w:eastAsia="方正书宋简体"/>
          <w:b/>
          <w:bCs/>
          <w:sz w:val="44"/>
          <w:szCs w:val="44"/>
        </w:rPr>
        <w:t>清理整治“僵尸型”社会组织统计表</w:t>
      </w:r>
    </w:p>
    <w:p>
      <w:pPr>
        <w:spacing w:line="400" w:lineRule="exact"/>
        <w:jc w:val="center"/>
        <w:rPr>
          <w:rFonts w:ascii="方正书宋简体" w:eastAsia="方正书宋简体"/>
          <w:b/>
          <w:bCs/>
          <w:sz w:val="44"/>
          <w:szCs w:val="44"/>
        </w:rPr>
      </w:pPr>
    </w:p>
    <w:p>
      <w:pPr>
        <w:spacing w:after="48" w:afterLines="20"/>
        <w:jc w:val="left"/>
        <w:rPr>
          <w:rFonts w:hint="eastAsia" w:ascii="仿宋_GB2312" w:hAnsi="宋体" w:eastAsia="仿宋_GB2312"/>
          <w:sz w:val="24"/>
        </w:rPr>
      </w:pPr>
      <w:r>
        <w:rPr>
          <w:rFonts w:hint="eastAsia" w:ascii="仿宋_GB2312" w:hAnsi="宋体" w:eastAsia="仿宋_GB2312"/>
          <w:sz w:val="24"/>
        </w:rPr>
        <w:t xml:space="preserve"> 填报单位：                                                                       填报时间：</w:t>
      </w:r>
    </w:p>
    <w:tbl>
      <w:tblPr>
        <w:tblStyle w:val="5"/>
        <w:tblW w:w="131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382"/>
        <w:gridCol w:w="1262"/>
        <w:gridCol w:w="1683"/>
        <w:gridCol w:w="1123"/>
        <w:gridCol w:w="1403"/>
        <w:gridCol w:w="1123"/>
        <w:gridCol w:w="1123"/>
        <w:gridCol w:w="983"/>
        <w:gridCol w:w="11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vMerge w:val="restart"/>
            <w:noWrap w:val="0"/>
            <w:vAlign w:val="center"/>
          </w:tcPr>
          <w:p>
            <w:pPr>
              <w:jc w:val="center"/>
              <w:rPr>
                <w:rFonts w:eastAsia="仿宋_GB2312"/>
                <w:sz w:val="24"/>
              </w:rPr>
            </w:pPr>
            <w:r>
              <w:rPr>
                <w:rFonts w:eastAsia="仿宋_GB2312"/>
                <w:sz w:val="24"/>
              </w:rPr>
              <w:t>序号</w:t>
            </w:r>
          </w:p>
        </w:tc>
        <w:tc>
          <w:tcPr>
            <w:tcW w:w="2410" w:type="dxa"/>
            <w:vMerge w:val="restart"/>
            <w:noWrap w:val="0"/>
            <w:vAlign w:val="center"/>
          </w:tcPr>
          <w:p>
            <w:pPr>
              <w:jc w:val="center"/>
              <w:rPr>
                <w:rFonts w:eastAsia="仿宋_GB2312"/>
                <w:sz w:val="24"/>
              </w:rPr>
            </w:pPr>
            <w:r>
              <w:rPr>
                <w:rFonts w:eastAsia="仿宋_GB2312"/>
                <w:sz w:val="24"/>
              </w:rPr>
              <w:t>社会组织名称</w:t>
            </w:r>
          </w:p>
        </w:tc>
        <w:tc>
          <w:tcPr>
            <w:tcW w:w="1275" w:type="dxa"/>
            <w:vMerge w:val="restart"/>
            <w:noWrap w:val="0"/>
            <w:vAlign w:val="center"/>
          </w:tcPr>
          <w:p>
            <w:pPr>
              <w:jc w:val="center"/>
              <w:rPr>
                <w:rFonts w:eastAsia="仿宋_GB2312"/>
                <w:sz w:val="24"/>
              </w:rPr>
            </w:pPr>
            <w:r>
              <w:rPr>
                <w:rFonts w:eastAsia="仿宋_GB2312"/>
                <w:sz w:val="24"/>
              </w:rPr>
              <w:t>负责人</w:t>
            </w:r>
          </w:p>
        </w:tc>
        <w:tc>
          <w:tcPr>
            <w:tcW w:w="1701" w:type="dxa"/>
            <w:vMerge w:val="restart"/>
            <w:noWrap w:val="0"/>
            <w:vAlign w:val="center"/>
          </w:tcPr>
          <w:p>
            <w:pPr>
              <w:jc w:val="center"/>
              <w:rPr>
                <w:rFonts w:eastAsia="仿宋_GB2312"/>
                <w:sz w:val="24"/>
              </w:rPr>
            </w:pPr>
            <w:r>
              <w:rPr>
                <w:rFonts w:eastAsia="仿宋_GB2312"/>
                <w:sz w:val="24"/>
              </w:rPr>
              <w:t>联系电话</w:t>
            </w:r>
          </w:p>
        </w:tc>
        <w:tc>
          <w:tcPr>
            <w:tcW w:w="6946" w:type="dxa"/>
            <w:gridSpan w:val="6"/>
            <w:noWrap w:val="0"/>
            <w:vAlign w:val="center"/>
          </w:tcPr>
          <w:p>
            <w:pPr>
              <w:jc w:val="center"/>
              <w:rPr>
                <w:rFonts w:eastAsia="仿宋_GB2312"/>
                <w:sz w:val="24"/>
              </w:rPr>
            </w:pPr>
            <w:r>
              <w:rPr>
                <w:rFonts w:eastAsia="仿宋_GB2312"/>
                <w:sz w:val="24"/>
              </w:rPr>
              <w:t>清</w:t>
            </w:r>
            <w:r>
              <w:rPr>
                <w:rFonts w:hint="eastAsia" w:eastAsia="仿宋_GB2312"/>
                <w:sz w:val="24"/>
              </w:rPr>
              <w:t xml:space="preserve">  </w:t>
            </w:r>
            <w:r>
              <w:rPr>
                <w:rFonts w:eastAsia="仿宋_GB2312"/>
                <w:sz w:val="24"/>
              </w:rPr>
              <w:t>理</w:t>
            </w:r>
            <w:r>
              <w:rPr>
                <w:rFonts w:hint="eastAsia" w:eastAsia="仿宋_GB2312"/>
                <w:sz w:val="24"/>
              </w:rPr>
              <w:t xml:space="preserve">  </w:t>
            </w:r>
            <w:r>
              <w:rPr>
                <w:rFonts w:eastAsia="仿宋_GB2312"/>
                <w:sz w:val="24"/>
              </w:rPr>
              <w:t>方</w:t>
            </w:r>
            <w:r>
              <w:rPr>
                <w:rFonts w:hint="eastAsia" w:eastAsia="仿宋_GB2312"/>
                <w:sz w:val="24"/>
              </w:rPr>
              <w:t xml:space="preserve">  </w:t>
            </w:r>
            <w:r>
              <w:rPr>
                <w:rFonts w:eastAsia="仿宋_GB2312"/>
                <w:sz w:val="24"/>
              </w:rPr>
              <w:t>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vMerge w:val="continue"/>
            <w:noWrap w:val="0"/>
            <w:vAlign w:val="center"/>
          </w:tcPr>
          <w:p>
            <w:pPr>
              <w:jc w:val="center"/>
              <w:rPr>
                <w:rFonts w:eastAsia="仿宋_GB2312"/>
                <w:sz w:val="24"/>
              </w:rPr>
            </w:pPr>
          </w:p>
        </w:tc>
        <w:tc>
          <w:tcPr>
            <w:tcW w:w="2410" w:type="dxa"/>
            <w:vMerge w:val="continue"/>
            <w:noWrap w:val="0"/>
            <w:vAlign w:val="center"/>
          </w:tcPr>
          <w:p>
            <w:pPr>
              <w:jc w:val="center"/>
              <w:rPr>
                <w:rFonts w:eastAsia="仿宋_GB2312"/>
                <w:sz w:val="24"/>
              </w:rPr>
            </w:pPr>
          </w:p>
        </w:tc>
        <w:tc>
          <w:tcPr>
            <w:tcW w:w="1275" w:type="dxa"/>
            <w:vMerge w:val="continue"/>
            <w:noWrap w:val="0"/>
            <w:vAlign w:val="center"/>
          </w:tcPr>
          <w:p>
            <w:pPr>
              <w:jc w:val="center"/>
              <w:rPr>
                <w:rFonts w:eastAsia="仿宋_GB2312"/>
                <w:sz w:val="24"/>
              </w:rPr>
            </w:pPr>
          </w:p>
        </w:tc>
        <w:tc>
          <w:tcPr>
            <w:tcW w:w="1701" w:type="dxa"/>
            <w:vMerge w:val="continue"/>
            <w:noWrap w:val="0"/>
            <w:vAlign w:val="center"/>
          </w:tcPr>
          <w:p>
            <w:pPr>
              <w:jc w:val="center"/>
              <w:rPr>
                <w:rFonts w:eastAsia="仿宋_GB2312"/>
                <w:sz w:val="24"/>
              </w:rPr>
            </w:pPr>
          </w:p>
        </w:tc>
        <w:tc>
          <w:tcPr>
            <w:tcW w:w="1134" w:type="dxa"/>
            <w:vMerge w:val="restart"/>
            <w:noWrap w:val="0"/>
            <w:vAlign w:val="center"/>
          </w:tcPr>
          <w:p>
            <w:pPr>
              <w:jc w:val="center"/>
              <w:rPr>
                <w:rFonts w:hint="eastAsia" w:eastAsia="仿宋_GB2312"/>
                <w:sz w:val="24"/>
              </w:rPr>
            </w:pPr>
            <w:r>
              <w:rPr>
                <w:rFonts w:eastAsia="仿宋_GB2312"/>
                <w:sz w:val="24"/>
              </w:rPr>
              <w:t>撤销</w:t>
            </w:r>
          </w:p>
          <w:p>
            <w:pPr>
              <w:jc w:val="center"/>
              <w:rPr>
                <w:rFonts w:eastAsia="仿宋_GB2312"/>
                <w:sz w:val="24"/>
              </w:rPr>
            </w:pPr>
            <w:r>
              <w:rPr>
                <w:rFonts w:eastAsia="仿宋_GB2312"/>
                <w:sz w:val="24"/>
              </w:rPr>
              <w:t>登记</w:t>
            </w:r>
          </w:p>
        </w:tc>
        <w:tc>
          <w:tcPr>
            <w:tcW w:w="1418" w:type="dxa"/>
            <w:vMerge w:val="restart"/>
            <w:noWrap w:val="0"/>
            <w:vAlign w:val="center"/>
          </w:tcPr>
          <w:p>
            <w:pPr>
              <w:jc w:val="center"/>
              <w:rPr>
                <w:rFonts w:eastAsia="仿宋_GB2312"/>
                <w:sz w:val="24"/>
              </w:rPr>
            </w:pPr>
            <w:r>
              <w:rPr>
                <w:rFonts w:eastAsia="仿宋_GB2312"/>
                <w:sz w:val="24"/>
              </w:rPr>
              <w:t>吊销登记证书</w:t>
            </w:r>
          </w:p>
        </w:tc>
        <w:tc>
          <w:tcPr>
            <w:tcW w:w="1134" w:type="dxa"/>
            <w:vMerge w:val="restart"/>
            <w:noWrap w:val="0"/>
            <w:vAlign w:val="center"/>
          </w:tcPr>
          <w:p>
            <w:pPr>
              <w:jc w:val="center"/>
              <w:rPr>
                <w:rFonts w:hint="eastAsia" w:eastAsia="仿宋_GB2312"/>
                <w:sz w:val="24"/>
              </w:rPr>
            </w:pPr>
            <w:r>
              <w:rPr>
                <w:rFonts w:eastAsia="仿宋_GB2312"/>
                <w:sz w:val="24"/>
              </w:rPr>
              <w:t>注销</w:t>
            </w:r>
          </w:p>
          <w:p>
            <w:pPr>
              <w:jc w:val="center"/>
              <w:rPr>
                <w:rFonts w:eastAsia="仿宋_GB2312"/>
                <w:sz w:val="24"/>
              </w:rPr>
            </w:pPr>
            <w:r>
              <w:rPr>
                <w:rFonts w:eastAsia="仿宋_GB2312"/>
                <w:sz w:val="24"/>
              </w:rPr>
              <w:t>登记</w:t>
            </w:r>
          </w:p>
        </w:tc>
        <w:tc>
          <w:tcPr>
            <w:tcW w:w="3260" w:type="dxa"/>
            <w:gridSpan w:val="3"/>
            <w:noWrap w:val="0"/>
            <w:vAlign w:val="center"/>
          </w:tcPr>
          <w:p>
            <w:pPr>
              <w:jc w:val="center"/>
              <w:rPr>
                <w:rFonts w:eastAsia="仿宋_GB2312"/>
                <w:sz w:val="24"/>
              </w:rPr>
            </w:pPr>
            <w:r>
              <w:rPr>
                <w:rFonts w:eastAsia="仿宋_GB2312"/>
                <w:sz w:val="24"/>
              </w:rPr>
              <w:t>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vMerge w:val="continue"/>
            <w:noWrap w:val="0"/>
            <w:vAlign w:val="center"/>
          </w:tcPr>
          <w:p>
            <w:pPr>
              <w:jc w:val="center"/>
              <w:rPr>
                <w:rFonts w:eastAsia="仿宋_GB2312"/>
                <w:sz w:val="24"/>
              </w:rPr>
            </w:pPr>
          </w:p>
        </w:tc>
        <w:tc>
          <w:tcPr>
            <w:tcW w:w="2410" w:type="dxa"/>
            <w:vMerge w:val="continue"/>
            <w:noWrap w:val="0"/>
            <w:vAlign w:val="center"/>
          </w:tcPr>
          <w:p>
            <w:pPr>
              <w:jc w:val="center"/>
              <w:rPr>
                <w:rFonts w:eastAsia="仿宋_GB2312"/>
                <w:sz w:val="24"/>
              </w:rPr>
            </w:pPr>
          </w:p>
        </w:tc>
        <w:tc>
          <w:tcPr>
            <w:tcW w:w="1275" w:type="dxa"/>
            <w:vMerge w:val="continue"/>
            <w:noWrap w:val="0"/>
            <w:vAlign w:val="center"/>
          </w:tcPr>
          <w:p>
            <w:pPr>
              <w:jc w:val="center"/>
              <w:rPr>
                <w:rFonts w:eastAsia="仿宋_GB2312"/>
                <w:sz w:val="24"/>
              </w:rPr>
            </w:pPr>
          </w:p>
        </w:tc>
        <w:tc>
          <w:tcPr>
            <w:tcW w:w="1701" w:type="dxa"/>
            <w:vMerge w:val="continue"/>
            <w:noWrap w:val="0"/>
            <w:vAlign w:val="center"/>
          </w:tcPr>
          <w:p>
            <w:pPr>
              <w:jc w:val="center"/>
              <w:rPr>
                <w:rFonts w:eastAsia="仿宋_GB2312"/>
                <w:sz w:val="24"/>
              </w:rPr>
            </w:pPr>
          </w:p>
        </w:tc>
        <w:tc>
          <w:tcPr>
            <w:tcW w:w="1134" w:type="dxa"/>
            <w:vMerge w:val="continue"/>
            <w:noWrap w:val="0"/>
            <w:vAlign w:val="center"/>
          </w:tcPr>
          <w:p>
            <w:pPr>
              <w:jc w:val="center"/>
              <w:rPr>
                <w:rFonts w:eastAsia="仿宋_GB2312"/>
                <w:sz w:val="24"/>
              </w:rPr>
            </w:pPr>
          </w:p>
        </w:tc>
        <w:tc>
          <w:tcPr>
            <w:tcW w:w="1418" w:type="dxa"/>
            <w:vMerge w:val="continue"/>
            <w:noWrap w:val="0"/>
            <w:vAlign w:val="center"/>
          </w:tcPr>
          <w:p>
            <w:pPr>
              <w:jc w:val="center"/>
              <w:rPr>
                <w:rFonts w:eastAsia="仿宋_GB2312"/>
                <w:sz w:val="24"/>
              </w:rPr>
            </w:pPr>
          </w:p>
        </w:tc>
        <w:tc>
          <w:tcPr>
            <w:tcW w:w="1134" w:type="dxa"/>
            <w:vMerge w:val="continue"/>
            <w:noWrap w:val="0"/>
            <w:vAlign w:val="center"/>
          </w:tcPr>
          <w:p>
            <w:pPr>
              <w:jc w:val="center"/>
              <w:rPr>
                <w:rFonts w:eastAsia="仿宋_GB2312"/>
                <w:sz w:val="24"/>
              </w:rPr>
            </w:pPr>
          </w:p>
        </w:tc>
        <w:tc>
          <w:tcPr>
            <w:tcW w:w="1134" w:type="dxa"/>
            <w:noWrap w:val="0"/>
            <w:vAlign w:val="center"/>
          </w:tcPr>
          <w:p>
            <w:pPr>
              <w:jc w:val="center"/>
              <w:rPr>
                <w:rFonts w:eastAsia="仿宋_GB2312"/>
                <w:sz w:val="24"/>
              </w:rPr>
            </w:pPr>
            <w:r>
              <w:rPr>
                <w:rFonts w:eastAsia="仿宋_GB2312"/>
                <w:sz w:val="24"/>
              </w:rPr>
              <w:t>重组</w:t>
            </w:r>
          </w:p>
        </w:tc>
        <w:tc>
          <w:tcPr>
            <w:tcW w:w="992" w:type="dxa"/>
            <w:noWrap w:val="0"/>
            <w:vAlign w:val="center"/>
          </w:tcPr>
          <w:p>
            <w:pPr>
              <w:jc w:val="center"/>
              <w:rPr>
                <w:rFonts w:eastAsia="仿宋_GB2312"/>
                <w:sz w:val="24"/>
              </w:rPr>
            </w:pPr>
            <w:r>
              <w:rPr>
                <w:rFonts w:eastAsia="仿宋_GB2312"/>
                <w:sz w:val="24"/>
              </w:rPr>
              <w:t>合并</w:t>
            </w:r>
          </w:p>
        </w:tc>
        <w:tc>
          <w:tcPr>
            <w:tcW w:w="1134" w:type="dxa"/>
            <w:noWrap w:val="0"/>
            <w:vAlign w:val="center"/>
          </w:tcPr>
          <w:p>
            <w:pPr>
              <w:jc w:val="center"/>
              <w:rPr>
                <w:rFonts w:eastAsia="仿宋_GB2312"/>
                <w:sz w:val="24"/>
              </w:rPr>
            </w:pPr>
            <w:r>
              <w:rPr>
                <w:rFonts w:eastAsia="仿宋_GB2312"/>
                <w:sz w:val="24"/>
              </w:rPr>
              <w:t>更名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1</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2</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3</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4</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5</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6</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59" w:type="dxa"/>
            <w:noWrap w:val="0"/>
            <w:vAlign w:val="center"/>
          </w:tcPr>
          <w:p>
            <w:pPr>
              <w:jc w:val="center"/>
              <w:rPr>
                <w:rFonts w:eastAsia="仿宋_GB2312"/>
                <w:sz w:val="24"/>
              </w:rPr>
            </w:pPr>
            <w:r>
              <w:rPr>
                <w:rFonts w:eastAsia="仿宋_GB2312"/>
                <w:sz w:val="24"/>
              </w:rPr>
              <w:t>7</w:t>
            </w:r>
          </w:p>
        </w:tc>
        <w:tc>
          <w:tcPr>
            <w:tcW w:w="2410" w:type="dxa"/>
            <w:noWrap w:val="0"/>
            <w:vAlign w:val="center"/>
          </w:tcPr>
          <w:p>
            <w:pPr>
              <w:jc w:val="center"/>
              <w:rPr>
                <w:rFonts w:eastAsia="仿宋_GB2312"/>
                <w:sz w:val="24"/>
              </w:rPr>
            </w:pPr>
          </w:p>
        </w:tc>
        <w:tc>
          <w:tcPr>
            <w:tcW w:w="1275" w:type="dxa"/>
            <w:noWrap w:val="0"/>
            <w:vAlign w:val="center"/>
          </w:tcPr>
          <w:p>
            <w:pPr>
              <w:jc w:val="center"/>
              <w:rPr>
                <w:rFonts w:eastAsia="仿宋_GB2312"/>
                <w:sz w:val="24"/>
              </w:rPr>
            </w:pPr>
          </w:p>
        </w:tc>
        <w:tc>
          <w:tcPr>
            <w:tcW w:w="1701"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418"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992"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r>
    </w:tbl>
    <w:p>
      <w:pPr>
        <w:spacing w:line="590" w:lineRule="exact"/>
        <w:ind w:firstLine="640" w:firstLineChars="200"/>
        <w:rPr>
          <w:rFonts w:hint="eastAsia" w:eastAsia="仿宋_GB2312"/>
          <w:sz w:val="32"/>
          <w:szCs w:val="32"/>
        </w:rPr>
      </w:pPr>
    </w:p>
    <w:p>
      <w:pPr>
        <w:spacing w:line="590" w:lineRule="exact"/>
        <w:ind w:firstLine="640" w:firstLineChars="200"/>
        <w:rPr>
          <w:rFonts w:eastAsia="仿宋_GB2312"/>
          <w:sz w:val="32"/>
          <w:szCs w:val="32"/>
        </w:rPr>
        <w:sectPr>
          <w:pgSz w:w="16838" w:h="11906" w:orient="landscape"/>
          <w:pgMar w:top="1531" w:right="1871" w:bottom="1531" w:left="1701" w:header="851" w:footer="1134" w:gutter="0"/>
          <w:cols w:space="720" w:num="1"/>
          <w:docGrid w:linePitch="312" w:charSpace="0"/>
        </w:sectPr>
      </w:pPr>
    </w:p>
    <w:p>
      <w:pPr>
        <w:spacing w:line="590" w:lineRule="exact"/>
        <w:ind w:firstLine="640" w:firstLineChars="200"/>
        <w:rPr>
          <w:rFonts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160" w:lineRule="exact"/>
        <w:rPr>
          <w:rFonts w:hint="eastAsia" w:eastAsia="仿宋_GB2312"/>
          <w:sz w:val="32"/>
          <w:szCs w:val="32"/>
        </w:rPr>
      </w:pPr>
    </w:p>
    <w:p>
      <w:pPr>
        <w:spacing w:line="240" w:lineRule="exact"/>
        <w:rPr>
          <w:rFonts w:hint="eastAsia" w:eastAsia="仿宋_GB2312"/>
          <w:sz w:val="32"/>
          <w:szCs w:val="32"/>
        </w:rPr>
      </w:pPr>
    </w:p>
    <w:p>
      <w:pPr>
        <w:spacing w:line="240" w:lineRule="exact"/>
        <w:rPr>
          <w:rFonts w:hint="eastAsia" w:eastAsia="仿宋_GB2312"/>
          <w:sz w:val="32"/>
          <w:szCs w:val="32"/>
        </w:rPr>
      </w:pPr>
    </w:p>
    <w:tbl>
      <w:tblPr>
        <w:tblStyle w:val="5"/>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510" w:hRule="atLeast"/>
          <w:jc w:val="center"/>
        </w:trPr>
        <w:tc>
          <w:tcPr>
            <w:tcW w:w="8845" w:type="dxa"/>
            <w:noWrap w:val="0"/>
            <w:vAlign w:val="center"/>
          </w:tcPr>
          <w:p>
            <w:pPr>
              <w:ind w:left="210" w:leftChars="100" w:right="210" w:rightChars="100"/>
              <w:rPr>
                <w:rFonts w:eastAsia="仿宋_GB2312"/>
                <w:sz w:val="28"/>
                <w:szCs w:val="28"/>
              </w:rPr>
            </w:pPr>
            <w:r>
              <w:rPr>
                <w:rFonts w:hint="eastAsia" w:eastAsia="仿宋_GB2312"/>
                <w:sz w:val="28"/>
                <w:szCs w:val="28"/>
              </w:rPr>
              <w:t xml:space="preserve">湖州市民政局办公室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21</w:t>
            </w:r>
            <w:r>
              <w:rPr>
                <w:rFonts w:eastAsia="仿宋_GB2312"/>
                <w:sz w:val="28"/>
                <w:szCs w:val="28"/>
              </w:rPr>
              <w:t>年</w:t>
            </w:r>
            <w:r>
              <w:rPr>
                <w:rFonts w:hint="eastAsia" w:eastAsia="仿宋_GB2312"/>
                <w:sz w:val="28"/>
                <w:szCs w:val="28"/>
              </w:rPr>
              <w:t>8</w:t>
            </w:r>
            <w:r>
              <w:rPr>
                <w:rFonts w:eastAsia="仿宋_GB2312"/>
                <w:sz w:val="28"/>
                <w:szCs w:val="28"/>
              </w:rPr>
              <w:t>月</w:t>
            </w:r>
            <w:r>
              <w:rPr>
                <w:rFonts w:hint="eastAsia" w:eastAsia="仿宋_GB2312"/>
                <w:sz w:val="28"/>
                <w:szCs w:val="28"/>
                <w:lang w:val="en-US" w:eastAsia="zh-CN"/>
              </w:rPr>
              <w:t>13</w:t>
            </w:r>
            <w:r>
              <w:rPr>
                <w:rFonts w:eastAsia="仿宋_GB2312"/>
                <w:sz w:val="28"/>
                <w:szCs w:val="28"/>
              </w:rPr>
              <w:t>日印</w:t>
            </w:r>
            <w:r>
              <w:rPr>
                <w:rFonts w:hint="eastAsia" w:eastAsia="仿宋_GB2312"/>
                <w:sz w:val="28"/>
                <w:szCs w:val="28"/>
              </w:rPr>
              <w:t>发</w:t>
            </w:r>
          </w:p>
        </w:tc>
      </w:tr>
    </w:tbl>
    <w:p>
      <w:pPr>
        <w:spacing w:line="20" w:lineRule="exact"/>
        <w:rPr>
          <w:rFonts w:hint="eastAsia" w:eastAsia="仿宋_GB2312"/>
          <w:sz w:val="28"/>
          <w:szCs w:val="28"/>
        </w:rPr>
      </w:pPr>
    </w:p>
    <w:p>
      <w:pPr>
        <w:spacing w:line="20" w:lineRule="exact"/>
        <w:rPr>
          <w:rFonts w:hint="eastAsia" w:eastAsia="仿宋_GB2312"/>
          <w:sz w:val="28"/>
          <w:szCs w:val="28"/>
        </w:rPr>
      </w:pPr>
      <w:r>
        <w:rPr>
          <w:rFonts w:hint="eastAsia"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69850</wp:posOffset>
                </wp:positionV>
                <wp:extent cx="1141730" cy="252730"/>
                <wp:effectExtent l="0" t="0" r="1270" b="1270"/>
                <wp:wrapNone/>
                <wp:docPr id="1" name="文本框 1"/>
                <wp:cNvGraphicFramePr/>
                <a:graphic xmlns:a="http://schemas.openxmlformats.org/drawingml/2006/main">
                  <a:graphicData uri="http://schemas.microsoft.com/office/word/2010/wordprocessingShape">
                    <wps:wsp>
                      <wps:cNvSpPr txBox="1"/>
                      <wps:spPr>
                        <a:xfrm>
                          <a:off x="0" y="0"/>
                          <a:ext cx="1141730" cy="252730"/>
                        </a:xfrm>
                        <a:prstGeom prst="rect">
                          <a:avLst/>
                        </a:prstGeom>
                        <a:solidFill>
                          <a:srgbClr val="FFFFFF"/>
                        </a:solidFill>
                        <a:ln w="9525">
                          <a:noFill/>
                        </a:ln>
                      </wps:spPr>
                      <wps:txbx>
                        <w:txbxContent>
                          <w:p>
                            <w:pPr>
                              <w:rPr>
                                <w:rFonts w:eastAsia="仿宋_GB2312"/>
                              </w:rPr>
                            </w:pPr>
                          </w:p>
                        </w:txbxContent>
                      </wps:txbx>
                      <wps:bodyPr upright="1"/>
                    </wps:wsp>
                  </a:graphicData>
                </a:graphic>
              </wp:anchor>
            </w:drawing>
          </mc:Choice>
          <mc:Fallback>
            <w:pict>
              <v:shape id="_x0000_s1026" o:spid="_x0000_s1026" o:spt="202" type="#_x0000_t202" style="position:absolute;left:0pt;margin-left:1.45pt;margin-top:5.5pt;height:19.9pt;width:89.9pt;z-index:251658240;mso-width-relative:page;mso-height-relative:page;" stroked="f" coordsize="21600,21600" o:gfxdata="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UaHM/VAAAABwEAAA8AAAAAAAAAAQAgAAAAOAAAAGRycy9kb3ducmV2LnhtbFBL&#10;AQIUABQAAAAIAIdO4kAFO0csqgEAADIDAAAOAAAAAAAAAAEAIAAAADoBAABkcnMvZTJvRG9jLnht&#10;bFBLBQYAAAAABgAGAFkBAABWBQAAAAA=&#10;">
                <v:path/>
                <v:fill focussize="0,0"/>
                <v:stroke on="f"/>
                <v:imagedata o:title=""/>
                <o:lock v:ext="edit"/>
                <v:textbox>
                  <w:txbxContent>
                    <w:p>
                      <w:pPr>
                        <w:rPr>
                          <w:rFonts w:eastAsia="仿宋_GB2312"/>
                        </w:rPr>
                      </w:pPr>
                    </w:p>
                  </w:txbxContent>
                </v:textbox>
              </v:shape>
            </w:pict>
          </mc:Fallback>
        </mc:AlternateContent>
      </w:r>
    </w:p>
    <w:p>
      <w:bookmarkStart w:id="4" w:name="_GoBack"/>
      <w:bookmarkEnd w:id="4"/>
    </w:p>
    <w:sectPr>
      <w:pgSz w:w="11906" w:h="16838"/>
      <w:pgMar w:top="1871" w:right="1531" w:bottom="1701"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Courier New">
    <w:panose1 w:val="02070409020205090404"/>
    <w:charset w:val="00"/>
    <w:family w:val="modern"/>
    <w:pitch w:val="default"/>
    <w:sig w:usb0="E0000AFF" w:usb1="40007843" w:usb2="00000001" w:usb3="00000000" w:csb0="400001BF" w:csb1="DFF70000"/>
  </w:font>
  <w:font w:name="Arial">
    <w:panose1 w:val="020B0604020202090204"/>
    <w:charset w:val="00"/>
    <w:family w:val="swiss"/>
    <w:pitch w:val="default"/>
    <w:sig w:usb0="E0000AFF" w:usb1="00007843" w:usb2="00000001" w:usb3="00000000" w:csb0="400001BF" w:csb1="DFF70000"/>
  </w:font>
  <w:font w:name="仿宋_GB2312">
    <w:altName w:val="方正仿宋_GBK"/>
    <w:panose1 w:val="02010609030101010101"/>
    <w:charset w:val="00"/>
    <w:family w:val="modern"/>
    <w:pitch w:val="default"/>
    <w:sig w:usb0="00000000" w:usb1="00000000" w:usb2="00000000" w:usb3="00000000" w:csb0="00040000" w:csb1="00000000"/>
  </w:font>
  <w:font w:name="Tahoma">
    <w:panose1 w:val="020B0604030504040204"/>
    <w:charset w:val="00"/>
    <w:family w:val="swiss"/>
    <w:pitch w:val="default"/>
    <w:sig w:usb0="E1002AFF" w:usb1="C000605B" w:usb2="00000029" w:usb3="00000000" w:csb0="200101FF" w:csb1="20280000"/>
  </w:font>
  <w:font w:name="方正小标宋简体">
    <w:altName w:val="汉仪书宋二KW"/>
    <w:panose1 w:val="02000000000000000000"/>
    <w:charset w:val="00"/>
    <w:family w:val="auto"/>
    <w:pitch w:val="default"/>
    <w:sig w:usb0="00000000" w:usb1="00000000" w:usb2="00000012"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简体">
    <w:altName w:val="苹方-简"/>
    <w:panose1 w:val="03000509000000000000"/>
    <w:charset w:val="00"/>
    <w:family w:val="script"/>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4"/>
        <w:rFonts w:hint="eastAsia"/>
        <w:sz w:val="28"/>
        <w:szCs w:val="28"/>
      </w:rPr>
    </w:pPr>
    <w:r>
      <w:rPr>
        <w:rStyle w:val="4"/>
        <w:rFonts w:hint="eastAsia"/>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6</w:t>
    </w:r>
    <w:r>
      <w:rPr>
        <w:rStyle w:val="4"/>
        <w:sz w:val="28"/>
        <w:szCs w:val="28"/>
      </w:rPr>
      <w:fldChar w:fldCharType="end"/>
    </w:r>
    <w:r>
      <w:rPr>
        <w:rStyle w:val="4"/>
        <w:rFonts w:hint="eastAsia"/>
        <w:sz w:val="28"/>
        <w:szCs w:val="28"/>
      </w:rPr>
      <w:t xml:space="preserve"> —</w:t>
    </w: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600825" cy="99060"/>
              <wp:effectExtent l="0" t="0" r="0" b="0"/>
              <wp:wrapNone/>
              <wp:docPr id="2" name="矩形 2"/>
              <wp:cNvGraphicFramePr/>
              <a:graphic xmlns:a="http://schemas.openxmlformats.org/drawingml/2006/main">
                <a:graphicData uri="http://schemas.microsoft.com/office/word/2010/wordprocessingShape">
                  <wps:wsp>
                    <wps:cNvSpPr/>
                    <wps:spPr>
                      <a:xfrm>
                        <a:off x="0" y="0"/>
                        <a:ext cx="6600825" cy="99060"/>
                      </a:xfrm>
                      <a:prstGeom prst="rect">
                        <a:avLst/>
                      </a:prstGeom>
                      <a:noFill/>
                      <a:ln w="9525">
                        <a:noFill/>
                      </a:ln>
                    </wps:spPr>
                    <wps:bodyPr upright="1"/>
                  </wps:wsp>
                </a:graphicData>
              </a:graphic>
            </wp:anchor>
          </w:drawing>
        </mc:Choice>
        <mc:Fallback>
          <w:pict>
            <v:rect id="_x0000_s1026" o:spid="_x0000_s1026" o:spt="1" style="position:absolute;left:0pt;margin-left:0pt;margin-top:0pt;height:7.8pt;width:519.75pt;z-index:251658240;mso-width-relative:page;mso-height-relative:page;" fillcolor="#00FFFF" filled="f" stroked="f" coordsize="21600,21600" o:gfxdata="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DxDzfH1QAAAAUBAAAPAAAAAAAAAAEAIAAAADgA&#10;AABkcnMvZG93bnJldi54bWxQSwECFAAUAAAACACHTuJAHvrdjIQBAADwAgAADgAAAAAAAAABACAA&#10;AAA6AQAAZHJzL2Uyb0RvYy54bWxQSwUGAAAAAAYABgBZAQAAMAUAAAAA&#10;">
              <v:path/>
              <v:fill on="f" focussize="0,0"/>
              <v:stroke on="f"/>
              <v:imagedata o:title=""/>
              <o:lock v:ext="edi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3DF4C"/>
    <w:rsid w:val="2E23D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2021-08-17T09:57:00Z</dcterms:created>
  <dc:creator>wangcan</dc:creator>
  <cp:lastModifiedBy>wangcan</cp:lastModifiedBy>
  <dcterms:modified xsi:type="dcterms:W3CDTF">2021-08-17T09:58:56Z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