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80" w:lineRule="exact"/>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zh-CN" w:eastAsia="zh-CN" w:bidi="ar-SA"/>
          <w14:textFill>
            <w14:solidFill>
              <w14:schemeClr w14:val="tx1"/>
            </w14:solidFill>
          </w14:textFill>
        </w:rPr>
        <w:t>附件</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1</w:t>
      </w:r>
    </w:p>
    <w:p>
      <w:pPr>
        <w:pStyle w:val="11"/>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80" w:lineRule="exact"/>
        <w:jc w:val="center"/>
        <w:textAlignment w:val="auto"/>
        <w:rPr>
          <w:rFonts w:hint="eastAsia" w:ascii="仿宋_GB2312" w:hAnsi="仿宋_GB2312" w:eastAsia="仿宋_GB2312" w:cs="仿宋_GB2312"/>
          <w:b/>
          <w:bCs/>
          <w:color w:val="000000" w:themeColor="text1"/>
          <w:sz w:val="44"/>
          <w:szCs w:val="44"/>
          <w14:textFill>
            <w14:solidFill>
              <w14:schemeClr w14:val="tx1"/>
            </w14:solidFill>
          </w14:textFill>
        </w:rPr>
      </w:pPr>
      <w:r>
        <w:rPr>
          <w:rFonts w:hint="eastAsia" w:ascii="仿宋_GB2312" w:hAnsi="仿宋_GB2312" w:eastAsia="仿宋_GB2312" w:cs="仿宋_GB2312"/>
          <w:b/>
          <w:bCs/>
          <w:color w:val="000000" w:themeColor="text1"/>
          <w:sz w:val="44"/>
          <w:szCs w:val="44"/>
          <w14:textFill>
            <w14:solidFill>
              <w14:schemeClr w14:val="tx1"/>
            </w14:solidFill>
          </w14:textFill>
        </w:rPr>
        <w:t>不合格项目的说明</w:t>
      </w:r>
    </w:p>
    <w:p>
      <w:pPr>
        <w:pStyle w:val="12"/>
        <w:keepNext w:val="0"/>
        <w:keepLines w:val="0"/>
        <w:pageBreakBefore w:val="0"/>
        <w:numPr>
          <w:ilvl w:val="0"/>
          <w:numId w:val="0"/>
        </w:numPr>
        <w:kinsoku/>
        <w:wordWrap/>
        <w:overflowPunct/>
        <w:topLinePunct w:val="0"/>
        <w:autoSpaceDE/>
        <w:autoSpaceDN/>
        <w:bidi w:val="0"/>
        <w:adjustRightInd/>
        <w:snapToGrid/>
        <w:spacing w:after="0" w:afterLines="0" w:line="580" w:lineRule="exact"/>
        <w:ind w:left="0" w:leftChars="0" w:firstLine="642" w:firstLineChars="200"/>
        <w:textAlignment w:val="auto"/>
        <w:rPr>
          <w:rFonts w:hint="eastAsia" w:ascii="仿宋_GB2312" w:hAnsi="仿宋_GB2312" w:eastAsia="仿宋_GB2312" w:cs="仿宋_GB2312"/>
          <w:b/>
          <w:bCs/>
          <w:color w:val="000000" w:themeColor="text1"/>
          <w:sz w:val="32"/>
          <w:szCs w:val="32"/>
          <w:lang w:eastAsia="zh-CN"/>
          <w14:textFill>
            <w14:solidFill>
              <w14:schemeClr w14:val="tx1"/>
            </w14:solidFill>
          </w14:textFill>
        </w:rPr>
      </w:pPr>
    </w:p>
    <w:p>
      <w:pPr>
        <w:keepNext w:val="0"/>
        <w:keepLines w:val="0"/>
        <w:pageBreakBefore w:val="0"/>
        <w:widowControl w:val="0"/>
        <w:kinsoku/>
        <w:wordWrap/>
        <w:overflowPunct/>
        <w:topLinePunct w:val="0"/>
        <w:bidi w:val="0"/>
        <w:snapToGrid/>
        <w:spacing w:line="58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一、噻虫胺、噻虫嗪</w:t>
      </w:r>
    </w:p>
    <w:p>
      <w:pPr>
        <w:pStyle w:val="2"/>
        <w:keepNext w:val="0"/>
        <w:keepLines w:val="0"/>
        <w:pageBreakBefore w:val="0"/>
        <w:widowControl w:val="0"/>
        <w:kinsoku/>
        <w:wordWrap/>
        <w:overflowPunct/>
        <w:topLinePunct w:val="0"/>
        <w:bidi w:val="0"/>
        <w:snapToGrid/>
        <w:spacing w:line="580" w:lineRule="exact"/>
        <w:ind w:left="0" w:leftChars="0" w:firstLine="640" w:firstLineChars="200"/>
        <w:rPr>
          <w:rFonts w:hint="eastAsia" w:ascii="仿宋_GB2312" w:hAnsi="仿宋_GB2312" w:eastAsia="宋体" w:cs="仿宋_GB2312"/>
          <w:color w:val="000000"/>
          <w:kern w:val="2"/>
          <w:sz w:val="32"/>
          <w:szCs w:val="32"/>
          <w:lang w:val="zh-CN" w:eastAsia="zh-CN" w:bidi="ar-SA"/>
        </w:rPr>
      </w:pPr>
      <w:r>
        <w:rPr>
          <w:rFonts w:hint="eastAsia" w:ascii="仿宋_GB2312" w:hAnsi="仿宋_GB2312" w:eastAsia="仿宋_GB2312" w:cs="仿宋_GB2312"/>
          <w:color w:val="000000"/>
          <w:kern w:val="2"/>
          <w:sz w:val="32"/>
          <w:szCs w:val="32"/>
          <w:lang w:val="en-US" w:eastAsia="zh-CN" w:bidi="ar-SA"/>
        </w:rPr>
        <w:t>噻虫胺、噻虫嗪都是新烟碱类杀虫剂，是一类高效安全、高选择性的新型杀虫剂，其作用与烟碱</w:t>
      </w:r>
      <w:r>
        <w:rPr>
          <w:rFonts w:hint="default" w:ascii="仿宋_GB2312" w:hAnsi="仿宋_GB2312" w:eastAsia="仿宋_GB2312" w:cs="仿宋_GB2312"/>
          <w:color w:val="000000"/>
          <w:kern w:val="2"/>
          <w:sz w:val="32"/>
          <w:szCs w:val="32"/>
          <w:lang w:val="en-US" w:eastAsia="zh-CN" w:bidi="ar-SA"/>
        </w:rPr>
        <w:fldChar w:fldCharType="begin"/>
      </w:r>
      <w:r>
        <w:rPr>
          <w:rFonts w:hint="default" w:ascii="仿宋_GB2312" w:hAnsi="仿宋_GB2312" w:eastAsia="仿宋_GB2312" w:cs="仿宋_GB2312"/>
          <w:color w:val="000000"/>
          <w:kern w:val="2"/>
          <w:sz w:val="32"/>
          <w:szCs w:val="32"/>
          <w:lang w:val="en-US" w:eastAsia="zh-CN" w:bidi="ar-SA"/>
        </w:rPr>
        <w:instrText xml:space="preserve"> HYPERLINK "https://baike.baidu.com/item/%E4%B9%99%E9%85%B0%E8%83%86%E7%A2%B1%E5%8F%97%E4%BD%93/662376" \t "https://baike.baidu.com/item/%E5%99%BB%E8%99%AB%E8%83%BA/_blank" </w:instrText>
      </w:r>
      <w:r>
        <w:rPr>
          <w:rFonts w:hint="default" w:ascii="仿宋_GB2312" w:hAnsi="仿宋_GB2312" w:eastAsia="仿宋_GB2312" w:cs="仿宋_GB2312"/>
          <w:color w:val="000000"/>
          <w:kern w:val="2"/>
          <w:sz w:val="32"/>
          <w:szCs w:val="32"/>
          <w:lang w:val="en-US" w:eastAsia="zh-CN" w:bidi="ar-SA"/>
        </w:rPr>
        <w:fldChar w:fldCharType="separate"/>
      </w:r>
      <w:r>
        <w:rPr>
          <w:rFonts w:hint="default" w:ascii="仿宋_GB2312" w:hAnsi="仿宋_GB2312" w:eastAsia="仿宋_GB2312" w:cs="仿宋_GB2312"/>
          <w:color w:val="000000"/>
          <w:kern w:val="2"/>
          <w:sz w:val="32"/>
          <w:szCs w:val="32"/>
          <w:lang w:val="en-US" w:eastAsia="zh-CN" w:bidi="ar-SA"/>
        </w:rPr>
        <w:t>乙酰胆碱受体</w:t>
      </w:r>
      <w:r>
        <w:rPr>
          <w:rFonts w:hint="default" w:ascii="仿宋_GB2312" w:hAnsi="仿宋_GB2312" w:eastAsia="仿宋_GB2312" w:cs="仿宋_GB2312"/>
          <w:color w:val="000000"/>
          <w:kern w:val="2"/>
          <w:sz w:val="32"/>
          <w:szCs w:val="32"/>
          <w:lang w:val="en-US" w:eastAsia="zh-CN" w:bidi="ar-SA"/>
        </w:rPr>
        <w:fldChar w:fldCharType="end"/>
      </w:r>
      <w:r>
        <w:rPr>
          <w:rFonts w:hint="default" w:ascii="仿宋_GB2312" w:hAnsi="仿宋_GB2312" w:eastAsia="仿宋_GB2312" w:cs="仿宋_GB2312"/>
          <w:color w:val="000000"/>
          <w:kern w:val="2"/>
          <w:sz w:val="32"/>
          <w:szCs w:val="32"/>
          <w:lang w:val="en-US" w:eastAsia="zh-CN" w:bidi="ar-SA"/>
        </w:rPr>
        <w:t>类似，具有触杀、胃毒和内吸活性。主要用于水稻、蔬菜、果树及其他作物上防治</w:t>
      </w:r>
      <w:r>
        <w:rPr>
          <w:rFonts w:hint="default" w:ascii="仿宋_GB2312" w:hAnsi="仿宋_GB2312" w:eastAsia="仿宋_GB2312" w:cs="仿宋_GB2312"/>
          <w:color w:val="000000"/>
          <w:kern w:val="2"/>
          <w:sz w:val="32"/>
          <w:szCs w:val="32"/>
          <w:lang w:val="en-US" w:eastAsia="zh-CN" w:bidi="ar-SA"/>
        </w:rPr>
        <w:fldChar w:fldCharType="begin"/>
      </w:r>
      <w:r>
        <w:rPr>
          <w:rFonts w:hint="default" w:ascii="仿宋_GB2312" w:hAnsi="仿宋_GB2312" w:eastAsia="仿宋_GB2312" w:cs="仿宋_GB2312"/>
          <w:color w:val="000000"/>
          <w:kern w:val="2"/>
          <w:sz w:val="32"/>
          <w:szCs w:val="32"/>
          <w:lang w:val="en-US" w:eastAsia="zh-CN" w:bidi="ar-SA"/>
        </w:rPr>
        <w:instrText xml:space="preserve"> HYPERLINK "https://baike.baidu.com/item/%E8%9A%9C%E8%99%AB/417019" \t "https://baike.baidu.com/item/%E5%99%BB%E8%99%AB%E8%83%BA/_blank" </w:instrText>
      </w:r>
      <w:r>
        <w:rPr>
          <w:rFonts w:hint="default" w:ascii="仿宋_GB2312" w:hAnsi="仿宋_GB2312" w:eastAsia="仿宋_GB2312" w:cs="仿宋_GB2312"/>
          <w:color w:val="000000"/>
          <w:kern w:val="2"/>
          <w:sz w:val="32"/>
          <w:szCs w:val="32"/>
          <w:lang w:val="en-US" w:eastAsia="zh-CN" w:bidi="ar-SA"/>
        </w:rPr>
        <w:fldChar w:fldCharType="separate"/>
      </w:r>
      <w:r>
        <w:rPr>
          <w:rFonts w:hint="default" w:ascii="仿宋_GB2312" w:hAnsi="仿宋_GB2312" w:eastAsia="仿宋_GB2312" w:cs="仿宋_GB2312"/>
          <w:color w:val="000000"/>
          <w:kern w:val="2"/>
          <w:sz w:val="32"/>
          <w:szCs w:val="32"/>
          <w:lang w:val="en-US" w:eastAsia="zh-CN" w:bidi="ar-SA"/>
        </w:rPr>
        <w:t>蚜虫</w:t>
      </w:r>
      <w:r>
        <w:rPr>
          <w:rFonts w:hint="default" w:ascii="仿宋_GB2312" w:hAnsi="仿宋_GB2312" w:eastAsia="仿宋_GB2312" w:cs="仿宋_GB2312"/>
          <w:color w:val="000000"/>
          <w:kern w:val="2"/>
          <w:sz w:val="32"/>
          <w:szCs w:val="32"/>
          <w:lang w:val="en-US" w:eastAsia="zh-CN" w:bidi="ar-SA"/>
        </w:rPr>
        <w:fldChar w:fldCharType="end"/>
      </w:r>
      <w:r>
        <w:rPr>
          <w:rFonts w:hint="default" w:ascii="仿宋_GB2312" w:hAnsi="仿宋_GB2312" w:eastAsia="仿宋_GB2312" w:cs="仿宋_GB2312"/>
          <w:color w:val="000000"/>
          <w:kern w:val="2"/>
          <w:sz w:val="32"/>
          <w:szCs w:val="32"/>
          <w:lang w:val="en-US" w:eastAsia="zh-CN" w:bidi="ar-SA"/>
        </w:rPr>
        <w:t>、</w:t>
      </w:r>
      <w:r>
        <w:rPr>
          <w:rFonts w:hint="default" w:ascii="仿宋_GB2312" w:hAnsi="仿宋_GB2312" w:eastAsia="仿宋_GB2312" w:cs="仿宋_GB2312"/>
          <w:color w:val="000000"/>
          <w:kern w:val="2"/>
          <w:sz w:val="32"/>
          <w:szCs w:val="32"/>
          <w:lang w:val="en-US" w:eastAsia="zh-CN" w:bidi="ar-SA"/>
        </w:rPr>
        <w:fldChar w:fldCharType="begin"/>
      </w:r>
      <w:r>
        <w:rPr>
          <w:rFonts w:hint="default" w:ascii="仿宋_GB2312" w:hAnsi="仿宋_GB2312" w:eastAsia="仿宋_GB2312" w:cs="仿宋_GB2312"/>
          <w:color w:val="000000"/>
          <w:kern w:val="2"/>
          <w:sz w:val="32"/>
          <w:szCs w:val="32"/>
          <w:lang w:val="en-US" w:eastAsia="zh-CN" w:bidi="ar-SA"/>
        </w:rPr>
        <w:instrText xml:space="preserve"> HYPERLINK "https://baike.baidu.com/item/%E5%8F%B6%E8%9D%89/417095" \t "https://baike.baidu.com/item/%E5%99%BB%E8%99%AB%E8%83%BA/_blank" </w:instrText>
      </w:r>
      <w:r>
        <w:rPr>
          <w:rFonts w:hint="default" w:ascii="仿宋_GB2312" w:hAnsi="仿宋_GB2312" w:eastAsia="仿宋_GB2312" w:cs="仿宋_GB2312"/>
          <w:color w:val="000000"/>
          <w:kern w:val="2"/>
          <w:sz w:val="32"/>
          <w:szCs w:val="32"/>
          <w:lang w:val="en-US" w:eastAsia="zh-CN" w:bidi="ar-SA"/>
        </w:rPr>
        <w:fldChar w:fldCharType="separate"/>
      </w:r>
      <w:r>
        <w:rPr>
          <w:rFonts w:hint="default" w:ascii="仿宋_GB2312" w:hAnsi="仿宋_GB2312" w:eastAsia="仿宋_GB2312" w:cs="仿宋_GB2312"/>
          <w:color w:val="000000"/>
          <w:kern w:val="2"/>
          <w:sz w:val="32"/>
          <w:szCs w:val="32"/>
          <w:lang w:val="en-US" w:eastAsia="zh-CN" w:bidi="ar-SA"/>
        </w:rPr>
        <w:t>叶蝉</w:t>
      </w:r>
      <w:r>
        <w:rPr>
          <w:rFonts w:hint="default" w:ascii="仿宋_GB2312" w:hAnsi="仿宋_GB2312" w:eastAsia="仿宋_GB2312" w:cs="仿宋_GB2312"/>
          <w:color w:val="000000"/>
          <w:kern w:val="2"/>
          <w:sz w:val="32"/>
          <w:szCs w:val="32"/>
          <w:lang w:val="en-US" w:eastAsia="zh-CN" w:bidi="ar-SA"/>
        </w:rPr>
        <w:fldChar w:fldCharType="end"/>
      </w:r>
      <w:r>
        <w:rPr>
          <w:rFonts w:hint="default" w:ascii="仿宋_GB2312" w:hAnsi="仿宋_GB2312" w:eastAsia="仿宋_GB2312" w:cs="仿宋_GB2312"/>
          <w:color w:val="000000"/>
          <w:kern w:val="2"/>
          <w:sz w:val="32"/>
          <w:szCs w:val="32"/>
          <w:lang w:val="en-US" w:eastAsia="zh-CN" w:bidi="ar-SA"/>
        </w:rPr>
        <w:t>、</w:t>
      </w:r>
      <w:r>
        <w:rPr>
          <w:rFonts w:hint="default" w:ascii="仿宋_GB2312" w:hAnsi="仿宋_GB2312" w:eastAsia="仿宋_GB2312" w:cs="仿宋_GB2312"/>
          <w:color w:val="000000"/>
          <w:kern w:val="2"/>
          <w:sz w:val="32"/>
          <w:szCs w:val="32"/>
          <w:lang w:val="en-US" w:eastAsia="zh-CN" w:bidi="ar-SA"/>
        </w:rPr>
        <w:fldChar w:fldCharType="begin"/>
      </w:r>
      <w:r>
        <w:rPr>
          <w:rFonts w:hint="default" w:ascii="仿宋_GB2312" w:hAnsi="仿宋_GB2312" w:eastAsia="仿宋_GB2312" w:cs="仿宋_GB2312"/>
          <w:color w:val="000000"/>
          <w:kern w:val="2"/>
          <w:sz w:val="32"/>
          <w:szCs w:val="32"/>
          <w:lang w:val="en-US" w:eastAsia="zh-CN" w:bidi="ar-SA"/>
        </w:rPr>
        <w:instrText xml:space="preserve"> HYPERLINK "https://baike.baidu.com/item/%E8%93%9F%E9%A9%AC/4066456" \t "https://baike.baidu.com/item/%E5%99%BB%E8%99%AB%E8%83%BA/_blank" </w:instrText>
      </w:r>
      <w:r>
        <w:rPr>
          <w:rFonts w:hint="default" w:ascii="仿宋_GB2312" w:hAnsi="仿宋_GB2312" w:eastAsia="仿宋_GB2312" w:cs="仿宋_GB2312"/>
          <w:color w:val="000000"/>
          <w:kern w:val="2"/>
          <w:sz w:val="32"/>
          <w:szCs w:val="32"/>
          <w:lang w:val="en-US" w:eastAsia="zh-CN" w:bidi="ar-SA"/>
        </w:rPr>
        <w:fldChar w:fldCharType="separate"/>
      </w:r>
      <w:r>
        <w:rPr>
          <w:rFonts w:hint="default" w:ascii="仿宋_GB2312" w:hAnsi="仿宋_GB2312" w:eastAsia="仿宋_GB2312" w:cs="仿宋_GB2312"/>
          <w:color w:val="000000"/>
          <w:kern w:val="2"/>
          <w:sz w:val="32"/>
          <w:szCs w:val="32"/>
          <w:lang w:val="en-US" w:eastAsia="zh-CN" w:bidi="ar-SA"/>
        </w:rPr>
        <w:t>蓟马</w:t>
      </w:r>
      <w:r>
        <w:rPr>
          <w:rFonts w:hint="default" w:ascii="仿宋_GB2312" w:hAnsi="仿宋_GB2312" w:eastAsia="仿宋_GB2312" w:cs="仿宋_GB2312"/>
          <w:color w:val="000000"/>
          <w:kern w:val="2"/>
          <w:sz w:val="32"/>
          <w:szCs w:val="32"/>
          <w:lang w:val="en-US" w:eastAsia="zh-CN" w:bidi="ar-SA"/>
        </w:rPr>
        <w:fldChar w:fldCharType="end"/>
      </w:r>
      <w:r>
        <w:rPr>
          <w:rFonts w:hint="default" w:ascii="仿宋_GB2312" w:hAnsi="仿宋_GB2312" w:eastAsia="仿宋_GB2312" w:cs="仿宋_GB2312"/>
          <w:color w:val="000000"/>
          <w:kern w:val="2"/>
          <w:sz w:val="32"/>
          <w:szCs w:val="32"/>
          <w:lang w:val="en-US" w:eastAsia="zh-CN" w:bidi="ar-SA"/>
        </w:rPr>
        <w:t>、</w:t>
      </w:r>
      <w:r>
        <w:rPr>
          <w:rFonts w:hint="default" w:ascii="仿宋_GB2312" w:hAnsi="仿宋_GB2312" w:eastAsia="仿宋_GB2312" w:cs="仿宋_GB2312"/>
          <w:color w:val="000000"/>
          <w:kern w:val="2"/>
          <w:sz w:val="32"/>
          <w:szCs w:val="32"/>
          <w:lang w:val="en-US" w:eastAsia="zh-CN" w:bidi="ar-SA"/>
        </w:rPr>
        <w:fldChar w:fldCharType="begin"/>
      </w:r>
      <w:r>
        <w:rPr>
          <w:rFonts w:hint="default" w:ascii="仿宋_GB2312" w:hAnsi="仿宋_GB2312" w:eastAsia="仿宋_GB2312" w:cs="仿宋_GB2312"/>
          <w:color w:val="000000"/>
          <w:kern w:val="2"/>
          <w:sz w:val="32"/>
          <w:szCs w:val="32"/>
          <w:lang w:val="en-US" w:eastAsia="zh-CN" w:bidi="ar-SA"/>
        </w:rPr>
        <w:instrText xml:space="preserve"> HYPERLINK "https://baike.baidu.com/item/%E9%A3%9E%E8%99%B1/5953853" \t "https://baike.baidu.com/item/%E5%99%BB%E8%99%AB%E8%83%BA/_blank" </w:instrText>
      </w:r>
      <w:r>
        <w:rPr>
          <w:rFonts w:hint="default" w:ascii="仿宋_GB2312" w:hAnsi="仿宋_GB2312" w:eastAsia="仿宋_GB2312" w:cs="仿宋_GB2312"/>
          <w:color w:val="000000"/>
          <w:kern w:val="2"/>
          <w:sz w:val="32"/>
          <w:szCs w:val="32"/>
          <w:lang w:val="en-US" w:eastAsia="zh-CN" w:bidi="ar-SA"/>
        </w:rPr>
        <w:fldChar w:fldCharType="separate"/>
      </w:r>
      <w:r>
        <w:rPr>
          <w:rFonts w:hint="default" w:ascii="仿宋_GB2312" w:hAnsi="仿宋_GB2312" w:eastAsia="仿宋_GB2312" w:cs="仿宋_GB2312"/>
          <w:color w:val="000000"/>
          <w:kern w:val="2"/>
          <w:sz w:val="32"/>
          <w:szCs w:val="32"/>
          <w:lang w:val="en-US" w:eastAsia="zh-CN" w:bidi="ar-SA"/>
        </w:rPr>
        <w:t>飞虱</w:t>
      </w:r>
      <w:r>
        <w:rPr>
          <w:rFonts w:hint="default" w:ascii="仿宋_GB2312" w:hAnsi="仿宋_GB2312" w:eastAsia="仿宋_GB2312" w:cs="仿宋_GB2312"/>
          <w:color w:val="000000"/>
          <w:kern w:val="2"/>
          <w:sz w:val="32"/>
          <w:szCs w:val="32"/>
          <w:lang w:val="en-US" w:eastAsia="zh-CN" w:bidi="ar-SA"/>
        </w:rPr>
        <w:fldChar w:fldCharType="end"/>
      </w:r>
      <w:r>
        <w:rPr>
          <w:rFonts w:hint="default" w:ascii="仿宋_GB2312" w:hAnsi="仿宋_GB2312" w:eastAsia="仿宋_GB2312" w:cs="仿宋_GB2312"/>
          <w:color w:val="000000"/>
          <w:kern w:val="2"/>
          <w:sz w:val="32"/>
          <w:szCs w:val="32"/>
          <w:lang w:val="en-US" w:eastAsia="zh-CN" w:bidi="ar-SA"/>
        </w:rPr>
        <w:t>等半翅目、鞘翅目、双翅目和某些</w:t>
      </w:r>
      <w:r>
        <w:rPr>
          <w:rFonts w:hint="default" w:ascii="仿宋_GB2312" w:hAnsi="仿宋_GB2312" w:eastAsia="仿宋_GB2312" w:cs="仿宋_GB2312"/>
          <w:color w:val="000000"/>
          <w:kern w:val="2"/>
          <w:sz w:val="32"/>
          <w:szCs w:val="32"/>
          <w:lang w:val="en-US" w:eastAsia="zh-CN" w:bidi="ar-SA"/>
        </w:rPr>
        <w:fldChar w:fldCharType="begin"/>
      </w:r>
      <w:r>
        <w:rPr>
          <w:rFonts w:hint="default" w:ascii="仿宋_GB2312" w:hAnsi="仿宋_GB2312" w:eastAsia="仿宋_GB2312" w:cs="仿宋_GB2312"/>
          <w:color w:val="000000"/>
          <w:kern w:val="2"/>
          <w:sz w:val="32"/>
          <w:szCs w:val="32"/>
          <w:lang w:val="en-US" w:eastAsia="zh-CN" w:bidi="ar-SA"/>
        </w:rPr>
        <w:instrText xml:space="preserve"> HYPERLINK "https://baike.baidu.com/item/%E9%B3%9E%E7%BF%85/7627100" \t "https://baike.baidu.com/item/%E5%99%BB%E8%99%AB%E8%83%BA/_blank" </w:instrText>
      </w:r>
      <w:r>
        <w:rPr>
          <w:rFonts w:hint="default" w:ascii="仿宋_GB2312" w:hAnsi="仿宋_GB2312" w:eastAsia="仿宋_GB2312" w:cs="仿宋_GB2312"/>
          <w:color w:val="000000"/>
          <w:kern w:val="2"/>
          <w:sz w:val="32"/>
          <w:szCs w:val="32"/>
          <w:lang w:val="en-US" w:eastAsia="zh-CN" w:bidi="ar-SA"/>
        </w:rPr>
        <w:fldChar w:fldCharType="separate"/>
      </w:r>
      <w:r>
        <w:rPr>
          <w:rFonts w:hint="default" w:ascii="仿宋_GB2312" w:hAnsi="仿宋_GB2312" w:eastAsia="仿宋_GB2312" w:cs="仿宋_GB2312"/>
          <w:color w:val="000000"/>
          <w:kern w:val="2"/>
          <w:sz w:val="32"/>
          <w:szCs w:val="32"/>
          <w:lang w:val="en-US" w:eastAsia="zh-CN" w:bidi="ar-SA"/>
        </w:rPr>
        <w:t>鳞翅</w:t>
      </w:r>
      <w:r>
        <w:rPr>
          <w:rFonts w:hint="default" w:ascii="仿宋_GB2312" w:hAnsi="仿宋_GB2312" w:eastAsia="仿宋_GB2312" w:cs="仿宋_GB2312"/>
          <w:color w:val="000000"/>
          <w:kern w:val="2"/>
          <w:sz w:val="32"/>
          <w:szCs w:val="32"/>
          <w:lang w:val="en-US" w:eastAsia="zh-CN" w:bidi="ar-SA"/>
        </w:rPr>
        <w:fldChar w:fldCharType="end"/>
      </w:r>
      <w:r>
        <w:rPr>
          <w:rFonts w:hint="default" w:ascii="仿宋_GB2312" w:hAnsi="仿宋_GB2312" w:eastAsia="仿宋_GB2312" w:cs="仿宋_GB2312"/>
          <w:color w:val="000000"/>
          <w:kern w:val="2"/>
          <w:sz w:val="32"/>
          <w:szCs w:val="32"/>
          <w:lang w:val="en-US" w:eastAsia="zh-CN" w:bidi="ar-SA"/>
        </w:rPr>
        <w:t>目类害虫的杀虫剂</w:t>
      </w:r>
      <w:r>
        <w:rPr>
          <w:rFonts w:hint="eastAsia" w:ascii="仿宋_GB2312" w:hAnsi="仿宋_GB2312" w:eastAsia="仿宋_GB2312" w:cs="仿宋_GB2312"/>
          <w:color w:val="000000"/>
          <w:kern w:val="2"/>
          <w:sz w:val="32"/>
          <w:szCs w:val="32"/>
          <w:lang w:val="en-US" w:eastAsia="zh-CN" w:bidi="ar-SA"/>
        </w:rPr>
        <w:t>。</w:t>
      </w:r>
      <w:r>
        <w:rPr>
          <w:rFonts w:hint="default" w:ascii="仿宋_GB2312" w:hAnsi="仿宋_GB2312" w:eastAsia="仿宋_GB2312" w:cs="仿宋_GB2312"/>
          <w:color w:val="000000"/>
          <w:kern w:val="2"/>
          <w:sz w:val="32"/>
          <w:szCs w:val="32"/>
          <w:lang w:val="en-US" w:eastAsia="zh-CN" w:bidi="ar-SA"/>
        </w:rPr>
        <w:t>如果长期食用</w:t>
      </w:r>
      <w:r>
        <w:rPr>
          <w:rFonts w:hint="eastAsia" w:ascii="仿宋_GB2312" w:hAnsi="仿宋_GB2312" w:eastAsia="仿宋_GB2312" w:cs="仿宋_GB2312"/>
          <w:color w:val="000000"/>
          <w:kern w:val="2"/>
          <w:sz w:val="32"/>
          <w:szCs w:val="32"/>
          <w:lang w:val="en-US" w:eastAsia="zh-CN" w:bidi="ar-SA"/>
        </w:rPr>
        <w:t>噻虫胺、噻虫嗪</w:t>
      </w:r>
      <w:r>
        <w:rPr>
          <w:rFonts w:hint="default" w:ascii="仿宋_GB2312" w:hAnsi="仿宋_GB2312" w:eastAsia="仿宋_GB2312" w:cs="仿宋_GB2312"/>
          <w:color w:val="000000"/>
          <w:kern w:val="2"/>
          <w:sz w:val="32"/>
          <w:szCs w:val="32"/>
          <w:lang w:val="en-US" w:eastAsia="zh-CN" w:bidi="ar-SA"/>
        </w:rPr>
        <w:t>超标的</w:t>
      </w:r>
      <w:r>
        <w:rPr>
          <w:rFonts w:hint="eastAsia" w:ascii="仿宋_GB2312" w:hAnsi="仿宋_GB2312" w:eastAsia="仿宋_GB2312" w:cs="仿宋_GB2312"/>
          <w:color w:val="000000"/>
          <w:kern w:val="2"/>
          <w:sz w:val="32"/>
          <w:szCs w:val="32"/>
          <w:lang w:val="en-US" w:eastAsia="zh-CN" w:bidi="ar-SA"/>
        </w:rPr>
        <w:t>食品</w:t>
      </w:r>
      <w:r>
        <w:rPr>
          <w:rFonts w:hint="default" w:ascii="仿宋_GB2312" w:hAnsi="仿宋_GB2312" w:eastAsia="仿宋_GB2312" w:cs="仿宋_GB2312"/>
          <w:color w:val="000000"/>
          <w:kern w:val="2"/>
          <w:sz w:val="32"/>
          <w:szCs w:val="32"/>
          <w:lang w:val="en-US" w:eastAsia="zh-CN" w:bidi="ar-SA"/>
        </w:rPr>
        <w:t>，可能会对身体健康造成影响。包括</w:t>
      </w:r>
      <w:r>
        <w:rPr>
          <w:rFonts w:hint="eastAsia" w:ascii="仿宋_GB2312" w:hAnsi="仿宋_GB2312" w:eastAsia="仿宋_GB2312" w:cs="仿宋_GB2312"/>
          <w:color w:val="000000"/>
          <w:kern w:val="2"/>
          <w:sz w:val="32"/>
          <w:szCs w:val="32"/>
          <w:lang w:val="en-US" w:eastAsia="zh-CN" w:bidi="ar-SA"/>
        </w:rPr>
        <w:t>噻虫胺、噻虫嗪在内的新</w:t>
      </w:r>
      <w:r>
        <w:rPr>
          <w:rFonts w:hint="default" w:ascii="仿宋_GB2312" w:hAnsi="仿宋_GB2312" w:eastAsia="仿宋_GB2312" w:cs="仿宋_GB2312"/>
          <w:color w:val="000000"/>
          <w:kern w:val="2"/>
          <w:sz w:val="32"/>
          <w:szCs w:val="32"/>
          <w:lang w:val="en-US" w:eastAsia="zh-CN" w:bidi="ar-SA"/>
        </w:rPr>
        <w:t>烟碱类杀虫剂</w:t>
      </w:r>
      <w:r>
        <w:rPr>
          <w:rFonts w:hint="eastAsia" w:ascii="仿宋_GB2312" w:hAnsi="仿宋_GB2312" w:eastAsia="仿宋_GB2312" w:cs="仿宋_GB2312"/>
          <w:color w:val="000000"/>
          <w:kern w:val="2"/>
          <w:sz w:val="32"/>
          <w:szCs w:val="32"/>
          <w:lang w:val="en-US" w:eastAsia="zh-CN" w:bidi="ar-SA"/>
        </w:rPr>
        <w:t>一直饱</w:t>
      </w:r>
      <w:r>
        <w:rPr>
          <w:rFonts w:hint="default" w:ascii="仿宋_GB2312" w:hAnsi="仿宋_GB2312" w:eastAsia="仿宋_GB2312" w:cs="仿宋_GB2312"/>
          <w:color w:val="000000"/>
          <w:kern w:val="2"/>
          <w:sz w:val="32"/>
          <w:szCs w:val="32"/>
          <w:lang w:val="en-US" w:eastAsia="zh-CN" w:bidi="ar-SA"/>
        </w:rPr>
        <w:t>受环境安全</w:t>
      </w:r>
      <w:r>
        <w:rPr>
          <w:rFonts w:hint="eastAsia" w:ascii="仿宋_GB2312" w:hAnsi="仿宋_GB2312" w:eastAsia="仿宋_GB2312" w:cs="仿宋_GB2312"/>
          <w:color w:val="000000"/>
          <w:kern w:val="2"/>
          <w:sz w:val="32"/>
          <w:szCs w:val="32"/>
          <w:lang w:val="en-US" w:eastAsia="zh-CN" w:bidi="ar-SA"/>
        </w:rPr>
        <w:t>安全性</w:t>
      </w:r>
      <w:r>
        <w:rPr>
          <w:rFonts w:hint="default" w:ascii="仿宋_GB2312" w:hAnsi="仿宋_GB2312" w:eastAsia="仿宋_GB2312" w:cs="仿宋_GB2312"/>
          <w:color w:val="000000"/>
          <w:kern w:val="2"/>
          <w:sz w:val="32"/>
          <w:szCs w:val="32"/>
          <w:lang w:val="en-US" w:eastAsia="zh-CN" w:bidi="ar-SA"/>
        </w:rPr>
        <w:t>的争议,欧洲多个环保组织</w:t>
      </w:r>
      <w:r>
        <w:rPr>
          <w:rFonts w:hint="eastAsia" w:ascii="仿宋_GB2312" w:hAnsi="仿宋_GB2312" w:eastAsia="仿宋_GB2312" w:cs="仿宋_GB2312"/>
          <w:color w:val="000000"/>
          <w:kern w:val="2"/>
          <w:sz w:val="32"/>
          <w:szCs w:val="32"/>
          <w:lang w:val="en-US" w:eastAsia="zh-CN" w:bidi="ar-SA"/>
        </w:rPr>
        <w:t>一</w:t>
      </w:r>
      <w:r>
        <w:rPr>
          <w:rFonts w:hint="default" w:ascii="仿宋_GB2312" w:hAnsi="仿宋_GB2312" w:eastAsia="仿宋_GB2312" w:cs="仿宋_GB2312"/>
          <w:color w:val="000000"/>
          <w:kern w:val="2"/>
          <w:sz w:val="32"/>
          <w:szCs w:val="32"/>
          <w:lang w:val="en-US" w:eastAsia="zh-CN" w:bidi="ar-SA"/>
        </w:rPr>
        <w:t>直将蜜蜂</w:t>
      </w:r>
      <w:r>
        <w:rPr>
          <w:rFonts w:hint="eastAsia" w:ascii="仿宋_GB2312" w:hAnsi="仿宋_GB2312" w:eastAsia="仿宋_GB2312" w:cs="仿宋_GB2312"/>
          <w:color w:val="000000"/>
          <w:kern w:val="2"/>
          <w:sz w:val="32"/>
          <w:szCs w:val="32"/>
          <w:lang w:val="en-US" w:eastAsia="zh-CN" w:bidi="ar-SA"/>
        </w:rPr>
        <w:t>种群</w:t>
      </w:r>
      <w:r>
        <w:rPr>
          <w:rFonts w:hint="default" w:ascii="仿宋_GB2312" w:hAnsi="仿宋_GB2312" w:eastAsia="仿宋_GB2312" w:cs="仿宋_GB2312"/>
          <w:color w:val="000000"/>
          <w:kern w:val="2"/>
          <w:sz w:val="32"/>
          <w:szCs w:val="32"/>
          <w:lang w:val="en-US" w:eastAsia="zh-CN" w:bidi="ar-SA"/>
        </w:rPr>
        <w:t>数量的减少和蜜蜂健康状况下降归咎于</w:t>
      </w:r>
      <w:r>
        <w:rPr>
          <w:rFonts w:hint="eastAsia" w:ascii="仿宋_GB2312" w:hAnsi="仿宋_GB2312" w:eastAsia="仿宋_GB2312" w:cs="仿宋_GB2312"/>
          <w:color w:val="000000"/>
          <w:kern w:val="2"/>
          <w:sz w:val="32"/>
          <w:szCs w:val="32"/>
          <w:lang w:val="en-US" w:eastAsia="zh-CN" w:bidi="ar-SA"/>
        </w:rPr>
        <w:t>新</w:t>
      </w:r>
      <w:r>
        <w:rPr>
          <w:rFonts w:hint="default" w:ascii="仿宋_GB2312" w:hAnsi="仿宋_GB2312" w:eastAsia="仿宋_GB2312" w:cs="仿宋_GB2312"/>
          <w:color w:val="000000"/>
          <w:kern w:val="2"/>
          <w:sz w:val="32"/>
          <w:szCs w:val="32"/>
          <w:lang w:val="en-US" w:eastAsia="zh-CN" w:bidi="ar-SA"/>
        </w:rPr>
        <w:t>烟碱类杀虫剂的使用。</w:t>
      </w:r>
      <w:r>
        <w:rPr>
          <w:rFonts w:hint="eastAsia" w:ascii="仿宋_GB2312" w:hAnsi="仿宋_GB2312" w:eastAsia="仿宋_GB2312" w:cs="仿宋_GB2312"/>
          <w:color w:val="000000"/>
          <w:kern w:val="2"/>
          <w:sz w:val="32"/>
          <w:szCs w:val="32"/>
          <w:lang w:val="en-US" w:eastAsia="zh-CN" w:bidi="ar-SA"/>
        </w:rPr>
        <w:t>2012</w:t>
      </w:r>
      <w:r>
        <w:rPr>
          <w:rFonts w:hint="default" w:ascii="仿宋_GB2312" w:hAnsi="仿宋_GB2312" w:eastAsia="仿宋_GB2312" w:cs="仿宋_GB2312"/>
          <w:color w:val="000000"/>
          <w:kern w:val="2"/>
          <w:sz w:val="32"/>
          <w:szCs w:val="32"/>
          <w:lang w:val="en-US" w:eastAsia="zh-CN" w:bidi="ar-SA"/>
        </w:rPr>
        <w:t>年《科学》杂志</w:t>
      </w:r>
      <w:r>
        <w:rPr>
          <w:rFonts w:hint="eastAsia" w:ascii="仿宋_GB2312" w:hAnsi="仿宋_GB2312" w:eastAsia="仿宋_GB2312" w:cs="仿宋_GB2312"/>
          <w:color w:val="000000"/>
          <w:kern w:val="2"/>
          <w:sz w:val="32"/>
          <w:szCs w:val="32"/>
          <w:lang w:val="en-US" w:eastAsia="zh-CN" w:bidi="ar-SA"/>
        </w:rPr>
        <w:t>刊登的</w:t>
      </w:r>
      <w:r>
        <w:rPr>
          <w:rFonts w:hint="default" w:ascii="仿宋_GB2312" w:hAnsi="仿宋_GB2312" w:eastAsia="仿宋_GB2312" w:cs="仿宋_GB2312"/>
          <w:color w:val="000000"/>
          <w:kern w:val="2"/>
          <w:sz w:val="32"/>
          <w:szCs w:val="32"/>
          <w:lang w:val="en-US" w:eastAsia="zh-CN" w:bidi="ar-SA"/>
        </w:rPr>
        <w:t>两篇报告认为</w:t>
      </w:r>
      <w:r>
        <w:rPr>
          <w:rFonts w:hint="eastAsia" w:ascii="仿宋_GB2312" w:hAnsi="仿宋_GB2312" w:eastAsia="仿宋_GB2312" w:cs="仿宋_GB2312"/>
          <w:color w:val="000000"/>
          <w:kern w:val="2"/>
          <w:sz w:val="32"/>
          <w:szCs w:val="32"/>
          <w:lang w:val="en-US" w:eastAsia="zh-CN" w:bidi="ar-SA"/>
        </w:rPr>
        <w:t>新</w:t>
      </w:r>
      <w:r>
        <w:rPr>
          <w:rFonts w:hint="default" w:ascii="仿宋_GB2312" w:hAnsi="仿宋_GB2312" w:eastAsia="仿宋_GB2312" w:cs="仿宋_GB2312"/>
          <w:color w:val="000000"/>
          <w:kern w:val="2"/>
          <w:sz w:val="32"/>
          <w:szCs w:val="32"/>
          <w:lang w:val="en-US" w:eastAsia="zh-CN" w:bidi="ar-SA"/>
        </w:rPr>
        <w:t>烟碱类杀虫剂会以多种方式伤害大黄蜂和蜜蜂</w:t>
      </w:r>
      <w:r>
        <w:rPr>
          <w:rFonts w:hint="eastAsia" w:ascii="仿宋_GB2312" w:hAnsi="仿宋_GB2312" w:eastAsia="仿宋_GB2312" w:cs="仿宋_GB2312"/>
          <w:color w:val="000000"/>
          <w:kern w:val="2"/>
          <w:sz w:val="32"/>
          <w:szCs w:val="32"/>
          <w:lang w:val="en-US" w:eastAsia="zh-CN" w:bidi="ar-SA"/>
        </w:rPr>
        <w:t>，</w:t>
      </w:r>
      <w:r>
        <w:rPr>
          <w:rFonts w:hint="default" w:ascii="仿宋_GB2312" w:hAnsi="仿宋_GB2312" w:eastAsia="仿宋_GB2312" w:cs="仿宋_GB2312"/>
          <w:color w:val="000000"/>
          <w:kern w:val="2"/>
          <w:sz w:val="32"/>
          <w:szCs w:val="32"/>
          <w:lang w:val="en-US" w:eastAsia="zh-CN" w:bidi="ar-SA"/>
        </w:rPr>
        <w:t>导致</w:t>
      </w:r>
      <w:r>
        <w:rPr>
          <w:rFonts w:hint="eastAsia" w:ascii="仿宋_GB2312" w:hAnsi="仿宋_GB2312" w:eastAsia="仿宋_GB2312" w:cs="仿宋_GB2312"/>
          <w:color w:val="000000"/>
          <w:kern w:val="2"/>
          <w:sz w:val="32"/>
          <w:szCs w:val="32"/>
          <w:lang w:val="en-US" w:eastAsia="zh-CN" w:bidi="ar-SA"/>
        </w:rPr>
        <w:t>这两</w:t>
      </w:r>
      <w:r>
        <w:rPr>
          <w:rFonts w:hint="default" w:ascii="仿宋_GB2312" w:hAnsi="仿宋_GB2312" w:eastAsia="仿宋_GB2312" w:cs="仿宋_GB2312"/>
          <w:color w:val="000000"/>
          <w:kern w:val="2"/>
          <w:sz w:val="32"/>
          <w:szCs w:val="32"/>
          <w:lang w:val="en-US" w:eastAsia="zh-CN" w:bidi="ar-SA"/>
        </w:rPr>
        <w:t>种蜂类种群迅速衰减</w:t>
      </w:r>
      <w:r>
        <w:rPr>
          <w:rFonts w:hint="eastAsia" w:ascii="仿宋_GB2312" w:hAnsi="仿宋_GB2312" w:eastAsia="仿宋_GB2312" w:cs="仿宋_GB2312"/>
          <w:color w:val="000000"/>
          <w:kern w:val="2"/>
          <w:sz w:val="32"/>
          <w:szCs w:val="32"/>
          <w:lang w:val="en-US" w:eastAsia="zh-CN" w:bidi="ar-SA"/>
        </w:rPr>
        <w:t>。由于担心新烟碱类种子处理剂对蜜蜂健康的影响，欧盟于2013年12月宣布在大规模开花作物(例如油菜)中禁止使用该类农药。</w:t>
      </w:r>
    </w:p>
    <w:p>
      <w:pPr>
        <w:keepNext w:val="0"/>
        <w:keepLines w:val="0"/>
        <w:pageBreakBefore w:val="0"/>
        <w:widowControl w:val="0"/>
        <w:kinsoku/>
        <w:wordWrap/>
        <w:overflowPunct/>
        <w:topLinePunct w:val="0"/>
        <w:autoSpaceDE w:val="0"/>
        <w:autoSpaceDN w:val="0"/>
        <w:bidi w:val="0"/>
        <w:adjustRightInd w:val="0"/>
        <w:snapToGrid/>
        <w:spacing w:line="580" w:lineRule="exact"/>
        <w:ind w:left="0" w:firstLine="640" w:firstLineChars="200"/>
        <w:jc w:val="both"/>
        <w:textAlignment w:val="auto"/>
        <w:rPr>
          <w:rFonts w:hint="eastAsia" w:ascii="黑体" w:hAnsi="黑体" w:eastAsia="黑体" w:cs="黑体"/>
          <w:sz w:val="32"/>
          <w:szCs w:val="32"/>
          <w:lang w:eastAsia="zh-CN"/>
        </w:rPr>
      </w:pPr>
      <w:r>
        <w:rPr>
          <w:rFonts w:hint="eastAsia" w:ascii="方正黑体_GBK" w:hAnsi="方正黑体_GBK" w:eastAsia="方正黑体_GBK" w:cs="方正黑体_GBK"/>
          <w:b w:val="0"/>
          <w:bCs/>
          <w:color w:val="000000"/>
          <w:sz w:val="32"/>
          <w:szCs w:val="32"/>
          <w:lang w:val="zh-CN" w:eastAsia="zh-CN"/>
        </w:rPr>
        <w:t>二、</w:t>
      </w:r>
      <w:r>
        <w:rPr>
          <w:rFonts w:hint="eastAsia" w:ascii="黑体" w:hAnsi="黑体" w:eastAsia="黑体" w:cs="黑体"/>
          <w:sz w:val="32"/>
          <w:szCs w:val="32"/>
          <w:lang w:eastAsia="zh-CN"/>
        </w:rPr>
        <w:t>蛋白质</w:t>
      </w:r>
    </w:p>
    <w:p>
      <w:pPr>
        <w:pStyle w:val="2"/>
        <w:keepNext w:val="0"/>
        <w:keepLines w:val="0"/>
        <w:pageBreakBefore w:val="0"/>
        <w:widowControl w:val="0"/>
        <w:numPr>
          <w:ilvl w:val="0"/>
          <w:numId w:val="0"/>
        </w:numPr>
        <w:kinsoku/>
        <w:wordWrap/>
        <w:overflowPunct/>
        <w:topLinePunct w:val="0"/>
        <w:bidi w:val="0"/>
        <w:snapToGrid/>
        <w:spacing w:line="580" w:lineRule="exact"/>
        <w:ind w:firstLine="640" w:firstLineChars="200"/>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蛋白质是食品的重要理化指标，蛋白质是生物体细胞的重要组成成分，能够调节体内的新陈代谢，是人体氮元素的唯一来源。食用蛋白质指标不合格的产品，就得不到食品应具备的必要营养，不仅影响身体的正常生长发育，当蛋白质缺乏严重时，甚至会出现四肢细短，头脸胖大，变成畸形的“大头娃娃”，直至危及生命。造成食品中蛋白质不合格的原因，可能为生产企业使用劣质原料或对原料质量把关不严；生产企业经营者质量意识不高，片面追求企业利润，不按标准组织生产，减少原料投入，降低成本；企业工艺控制不严，操作不当，引起产品质量降低：成品质量检验把关不够或缺少必要检测手段。</w:t>
      </w:r>
    </w:p>
    <w:p>
      <w:pPr>
        <w:keepNext w:val="0"/>
        <w:keepLines w:val="0"/>
        <w:pageBreakBefore w:val="0"/>
        <w:widowControl w:val="0"/>
        <w:kinsoku/>
        <w:wordWrap/>
        <w:overflowPunct/>
        <w:topLinePunct w:val="0"/>
        <w:bidi w:val="0"/>
        <w:snapToGrid/>
        <w:spacing w:line="580" w:lineRule="exact"/>
        <w:ind w:firstLine="640" w:firstLineChars="200"/>
        <w:textAlignment w:val="baseline"/>
        <w:rPr>
          <w:rFonts w:hint="eastAsia" w:ascii="方正黑体_GBK" w:hAnsi="方正黑体_GBK" w:eastAsia="方正黑体_GBK" w:cs="方正黑体_GBK"/>
          <w:b w:val="0"/>
          <w:bCs/>
          <w:color w:val="000000"/>
          <w:sz w:val="32"/>
          <w:szCs w:val="32"/>
          <w:lang w:val="zh-CN" w:eastAsia="zh-CN"/>
        </w:rPr>
      </w:pPr>
      <w:r>
        <w:rPr>
          <w:rFonts w:hint="eastAsia" w:ascii="方正黑体_GBK" w:hAnsi="方正黑体_GBK" w:eastAsia="方正黑体_GBK" w:cs="方正黑体_GBK"/>
          <w:b w:val="0"/>
          <w:bCs/>
          <w:color w:val="000000"/>
          <w:sz w:val="32"/>
          <w:szCs w:val="32"/>
          <w:lang w:val="en-US" w:eastAsia="zh-CN"/>
        </w:rPr>
        <w:t>三、</w:t>
      </w:r>
      <w:r>
        <w:rPr>
          <w:rFonts w:hint="eastAsia" w:ascii="方正黑体_GBK" w:hAnsi="方正黑体_GBK" w:eastAsia="方正黑体_GBK" w:cs="方正黑体_GBK"/>
          <w:b w:val="0"/>
          <w:bCs/>
          <w:color w:val="000000"/>
          <w:sz w:val="32"/>
          <w:szCs w:val="32"/>
          <w:lang w:val="zh-CN" w:eastAsia="zh-CN"/>
        </w:rPr>
        <w:t>苯甲酸及其钠盐（以苯甲酸计）</w:t>
      </w:r>
    </w:p>
    <w:p>
      <w:pPr>
        <w:keepNext w:val="0"/>
        <w:keepLines w:val="0"/>
        <w:pageBreakBefore w:val="0"/>
        <w:widowControl w:val="0"/>
        <w:kinsoku/>
        <w:wordWrap/>
        <w:overflowPunct/>
        <w:topLinePunct w:val="0"/>
        <w:bidi w:val="0"/>
        <w:snapToGrid/>
        <w:spacing w:line="580" w:lineRule="exact"/>
        <w:ind w:firstLine="640" w:firstLineChars="200"/>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苯甲酸常作为防腐剂用于食品生产加工，有防止变质发酸、延长保质期的效果，当食品中少量添加苯甲酸时，对人体毒害较小。经常食用苯甲酸含量超标的食品，会对人体肝脏和神经系统等造成危害，特别是对代谢排毒能力较弱的老人、孕妇、小孩危害更明显。按照GB2760—2014《食品安全国家标准 食品添加剂使用标准》规定，非发酵性豆制品中不得使用苯甲酸及其钠盐。豆腐中检出苯甲酸及其钠盐（以苯甲酸计）的原因：可能是企业为延长产品保质期或者为弥补产品生产中卫生条件不佳而超范围使用。</w:t>
      </w:r>
    </w:p>
    <w:p>
      <w:pPr>
        <w:keepNext w:val="0"/>
        <w:keepLines w:val="0"/>
        <w:pageBreakBefore w:val="0"/>
        <w:widowControl w:val="0"/>
        <w:kinsoku/>
        <w:wordWrap/>
        <w:overflowPunct/>
        <w:topLinePunct w:val="0"/>
        <w:bidi w:val="0"/>
        <w:snapToGrid/>
        <w:spacing w:line="580" w:lineRule="exact"/>
        <w:ind w:firstLine="640" w:firstLineChars="200"/>
        <w:textAlignment w:val="baseline"/>
        <w:rPr>
          <w:rFonts w:hint="eastAsia" w:ascii="方正黑体_GBK" w:hAnsi="方正黑体_GBK" w:eastAsia="方正黑体_GBK" w:cs="方正黑体_GBK"/>
          <w:b w:val="0"/>
          <w:bCs/>
          <w:color w:val="000000"/>
          <w:sz w:val="32"/>
          <w:szCs w:val="32"/>
          <w:lang w:val="en-US" w:eastAsia="zh-CN"/>
        </w:rPr>
      </w:pPr>
      <w:r>
        <w:rPr>
          <w:rFonts w:hint="eastAsia" w:ascii="方正黑体_GBK" w:hAnsi="方正黑体_GBK" w:eastAsia="方正黑体_GBK" w:cs="方正黑体_GBK"/>
          <w:b w:val="0"/>
          <w:bCs/>
          <w:color w:val="000000"/>
          <w:sz w:val="32"/>
          <w:szCs w:val="32"/>
          <w:lang w:val="en-US" w:eastAsia="zh-CN"/>
        </w:rPr>
        <w:t>四、山梨酸及其钾盐（以山梨酸计）</w:t>
      </w:r>
    </w:p>
    <w:p>
      <w:pPr>
        <w:keepNext w:val="0"/>
        <w:keepLines w:val="0"/>
        <w:pageBreakBefore w:val="0"/>
        <w:widowControl w:val="0"/>
        <w:kinsoku/>
        <w:wordWrap/>
        <w:overflowPunct/>
        <w:topLinePunct w:val="0"/>
        <w:autoSpaceDE w:val="0"/>
        <w:autoSpaceDN w:val="0"/>
        <w:bidi w:val="0"/>
        <w:adjustRightInd w:val="0"/>
        <w:snapToGrid/>
        <w:spacing w:line="580" w:lineRule="exact"/>
        <w:ind w:left="0" w:firstLine="640" w:firstLineChars="200"/>
        <w:jc w:val="both"/>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山梨酸及其钾盐是一种酸性防腐剂，具有较好的抑菌效果和防霉性能，对霉菌、酵母菌和好氧性细菌的生长发育均有抑制作用。GB2760-2014《食品安全国家标准、食品添加剂使用标准》中规定，非发酵性豆制品中不得使用山梨酸及其钾盐。豆腐中检出山梨酸及其钾盐（以山梨酸计）的原因，可能是企业为延长产品保质期或者为弥补产品生产中卫生条件不佳而超范围使用。山梨酸及其钾盐是一种相对无毒的食品添加剂，在生物体内可被代谢为二氧化碳和水排出体外。但如果长期食用使用山梨酸及其钾盐的豆腐，可能会对人体的骨骼生长、肾脏、肝脏健康造成一定影响。</w:t>
      </w:r>
    </w:p>
    <w:p>
      <w:pPr>
        <w:keepNext w:val="0"/>
        <w:keepLines w:val="0"/>
        <w:pageBreakBefore w:val="0"/>
        <w:widowControl w:val="0"/>
        <w:kinsoku/>
        <w:wordWrap/>
        <w:overflowPunct/>
        <w:topLinePunct w:val="0"/>
        <w:bidi w:val="0"/>
        <w:snapToGrid/>
        <w:spacing w:line="580" w:lineRule="exact"/>
        <w:ind w:firstLine="640" w:firstLineChars="200"/>
        <w:jc w:val="left"/>
        <w:rPr>
          <w:rFonts w:ascii="黑体" w:hAnsi="黑体" w:eastAsia="黑体"/>
          <w:sz w:val="32"/>
          <w:szCs w:val="32"/>
        </w:rPr>
      </w:pPr>
      <w:r>
        <w:rPr>
          <w:rFonts w:hint="eastAsia" w:ascii="方正黑体_GBK" w:hAnsi="方正黑体_GBK" w:eastAsia="方正黑体_GBK" w:cs="方正黑体_GBK"/>
          <w:b w:val="0"/>
          <w:bCs/>
          <w:color w:val="000000"/>
          <w:sz w:val="32"/>
          <w:szCs w:val="32"/>
          <w:lang w:val="en-US" w:eastAsia="zh-CN"/>
        </w:rPr>
        <w:t>五、</w:t>
      </w:r>
      <w:r>
        <w:rPr>
          <w:rFonts w:hint="eastAsia" w:ascii="黑体" w:hAnsi="黑体" w:eastAsia="黑体"/>
          <w:sz w:val="32"/>
          <w:szCs w:val="32"/>
        </w:rPr>
        <w:t>大肠菌群</w:t>
      </w:r>
    </w:p>
    <w:p>
      <w:pPr>
        <w:keepNext w:val="0"/>
        <w:keepLines w:val="0"/>
        <w:pageBreakBefore w:val="0"/>
        <w:widowControl w:val="0"/>
        <w:kinsoku/>
        <w:wordWrap/>
        <w:overflowPunct/>
        <w:topLinePunct w:val="0"/>
        <w:bidi w:val="0"/>
        <w:snapToGrid/>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大肠菌群是国内外通用的食品污染常用指示菌之一。造成大肠菌群超标的原因，可能是产品的加工原料、包装材料受污染，或</w:t>
      </w:r>
      <w:r>
        <w:rPr>
          <w:rFonts w:hint="eastAsia" w:ascii="Times New Roman" w:hAnsi="Times New Roman" w:eastAsia="仿宋_GB2312"/>
          <w:sz w:val="32"/>
          <w:szCs w:val="32"/>
        </w:rPr>
        <w:t>是</w:t>
      </w:r>
      <w:r>
        <w:rPr>
          <w:rFonts w:ascii="Times New Roman" w:hAnsi="Times New Roman" w:eastAsia="仿宋_GB2312"/>
          <w:sz w:val="32"/>
          <w:szCs w:val="32"/>
        </w:rPr>
        <w:t>在生产过程中产品受人员、工器具等生产设备、环境的污染。</w:t>
      </w:r>
    </w:p>
    <w:p>
      <w:pPr>
        <w:keepNext w:val="0"/>
        <w:keepLines w:val="0"/>
        <w:pageBreakBefore w:val="0"/>
        <w:widowControl w:val="0"/>
        <w:kinsoku/>
        <w:wordWrap/>
        <w:overflowPunct/>
        <w:topLinePunct w:val="0"/>
        <w:bidi w:val="0"/>
        <w:snapToGrid/>
        <w:spacing w:line="580" w:lineRule="exact"/>
        <w:ind w:firstLine="640" w:firstLineChars="200"/>
        <w:rPr>
          <w:rFonts w:ascii="黑体" w:hAnsi="黑体" w:eastAsia="黑体" w:cs="黑体"/>
          <w:sz w:val="32"/>
          <w:szCs w:val="32"/>
        </w:rPr>
      </w:pPr>
      <w:r>
        <w:rPr>
          <w:rFonts w:hint="eastAsia" w:ascii="黑体" w:hAnsi="黑体" w:eastAsia="黑体" w:cs="黑体"/>
          <w:sz w:val="32"/>
          <w:szCs w:val="32"/>
          <w:lang w:eastAsia="zh-CN"/>
        </w:rPr>
        <w:t>六</w:t>
      </w:r>
      <w:r>
        <w:rPr>
          <w:rFonts w:hint="eastAsia" w:ascii="黑体" w:hAnsi="黑体" w:eastAsia="黑体" w:cs="黑体"/>
          <w:sz w:val="32"/>
          <w:szCs w:val="32"/>
        </w:rPr>
        <w:t>、菌落总数</w:t>
      </w:r>
    </w:p>
    <w:p>
      <w:pPr>
        <w:keepNext w:val="0"/>
        <w:keepLines w:val="0"/>
        <w:pageBreakBefore w:val="0"/>
        <w:widowControl w:val="0"/>
        <w:kinsoku/>
        <w:wordWrap/>
        <w:overflowPunct/>
        <w:topLinePunct w:val="0"/>
        <w:bidi w:val="0"/>
        <w:snapToGrid/>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菌落总数是指示性微生物指标，并非致病菌指标。主要用来评价食品清洁度，反映食品在生产过程中是否符合卫生要求。菌落总数超标的原因，可能是原料初始菌落数较高，或者个别企业可能未按要求严格控制生产加工过程的卫生条件，包装容器、器皿清洗消毒不到位，还有可能与产品包装密封不严，储运条件控制不当等有关。</w:t>
      </w:r>
    </w:p>
    <w:p>
      <w:pPr>
        <w:keepNext w:val="0"/>
        <w:keepLines w:val="0"/>
        <w:pageBreakBefore w:val="0"/>
        <w:widowControl w:val="0"/>
        <w:kinsoku/>
        <w:wordWrap/>
        <w:overflowPunct/>
        <w:topLinePunct w:val="0"/>
        <w:autoSpaceDE w:val="0"/>
        <w:autoSpaceDN w:val="0"/>
        <w:bidi w:val="0"/>
        <w:adjustRightInd w:val="0"/>
        <w:snapToGrid/>
        <w:spacing w:line="560" w:lineRule="exact"/>
        <w:ind w:left="0" w:firstLine="640" w:firstLineChars="200"/>
        <w:jc w:val="both"/>
        <w:textAlignment w:val="auto"/>
        <w:rPr>
          <w:rFonts w:hint="default" w:ascii="Times New Roman" w:hAnsi="Times New Roman" w:eastAsia="仿宋_GB2312" w:cs="Times New Roman"/>
          <w:sz w:val="32"/>
          <w:szCs w:val="32"/>
          <w:lang w:val="en"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B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楷体_GB2312">
    <w:altName w:val="方正楷体_GBK"/>
    <w:panose1 w:val="02010609030101010101"/>
    <w:charset w:val="86"/>
    <w:family w:val="auto"/>
    <w:pitch w:val="default"/>
    <w:sig w:usb0="00000000" w:usb1="00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F42"/>
    <w:rsid w:val="00054DCE"/>
    <w:rsid w:val="00301302"/>
    <w:rsid w:val="003C078D"/>
    <w:rsid w:val="003D0F42"/>
    <w:rsid w:val="004947C7"/>
    <w:rsid w:val="00496A88"/>
    <w:rsid w:val="005F3DCF"/>
    <w:rsid w:val="08A478CD"/>
    <w:rsid w:val="1AF08469"/>
    <w:rsid w:val="1FEFBF07"/>
    <w:rsid w:val="2BC27407"/>
    <w:rsid w:val="2DAF31D6"/>
    <w:rsid w:val="2EAFF2E4"/>
    <w:rsid w:val="404B57DF"/>
    <w:rsid w:val="44D205D2"/>
    <w:rsid w:val="464A47C5"/>
    <w:rsid w:val="47EB895B"/>
    <w:rsid w:val="4EC17D2B"/>
    <w:rsid w:val="59947270"/>
    <w:rsid w:val="5AFC65EE"/>
    <w:rsid w:val="5B152A8A"/>
    <w:rsid w:val="5B6FB207"/>
    <w:rsid w:val="5E202AB3"/>
    <w:rsid w:val="5E824960"/>
    <w:rsid w:val="5FBF072A"/>
    <w:rsid w:val="5FDBDD0D"/>
    <w:rsid w:val="63201773"/>
    <w:rsid w:val="67CC3193"/>
    <w:rsid w:val="6B720417"/>
    <w:rsid w:val="6C5D40CF"/>
    <w:rsid w:val="6CD25ECD"/>
    <w:rsid w:val="72A2115A"/>
    <w:rsid w:val="72D852CF"/>
    <w:rsid w:val="76A122AF"/>
    <w:rsid w:val="76C57490"/>
    <w:rsid w:val="7C2E4EA5"/>
    <w:rsid w:val="7EFE9587"/>
    <w:rsid w:val="7FFE70B0"/>
    <w:rsid w:val="AD3CF1E9"/>
    <w:rsid w:val="BB4F38BB"/>
    <w:rsid w:val="BDFFD156"/>
    <w:rsid w:val="CFECF121"/>
    <w:rsid w:val="D5F39ABF"/>
    <w:rsid w:val="D60E0E75"/>
    <w:rsid w:val="DFF920BE"/>
    <w:rsid w:val="DFFAF00A"/>
    <w:rsid w:val="DFFE6288"/>
    <w:rsid w:val="EF7AA782"/>
    <w:rsid w:val="EFF5B629"/>
    <w:rsid w:val="F7F63241"/>
    <w:rsid w:val="FBAFF26F"/>
    <w:rsid w:val="FD3D27DC"/>
    <w:rsid w:val="FDA68E1E"/>
    <w:rsid w:val="FDBED1E1"/>
    <w:rsid w:val="FDFE66B4"/>
    <w:rsid w:val="FF9F80BA"/>
    <w:rsid w:val="FFFB31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heading 1"/>
    <w:basedOn w:val="1"/>
    <w:next w:val="1"/>
    <w:qFormat/>
    <w:uiPriority w:val="0"/>
    <w:pPr>
      <w:keepNext/>
      <w:keepLines/>
      <w:spacing w:line="560" w:lineRule="exact"/>
      <w:ind w:firstLine="832" w:firstLineChars="200"/>
      <w:outlineLvl w:val="0"/>
    </w:pPr>
    <w:rPr>
      <w:rFonts w:eastAsia="黑体"/>
      <w:kern w:val="44"/>
      <w:sz w:val="32"/>
    </w:rPr>
  </w:style>
  <w:style w:type="paragraph" w:styleId="5">
    <w:name w:val="heading 2"/>
    <w:basedOn w:val="1"/>
    <w:next w:val="1"/>
    <w:unhideWhenUsed/>
    <w:qFormat/>
    <w:uiPriority w:val="0"/>
    <w:pPr>
      <w:keepNext/>
      <w:keepLines/>
      <w:spacing w:beforeLines="0" w:beforeAutospacing="0" w:afterLines="0" w:afterAutospacing="0" w:line="560" w:lineRule="exact"/>
      <w:ind w:firstLine="832" w:firstLineChars="200"/>
      <w:outlineLvl w:val="1"/>
    </w:pPr>
    <w:rPr>
      <w:rFonts w:ascii="Times New Roman" w:hAnsi="Times New Roman" w:eastAsia="楷体_GB2312"/>
      <w:b/>
      <w:sz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next w:val="1"/>
    <w:unhideWhenUsed/>
    <w:qFormat/>
    <w:uiPriority w:val="0"/>
    <w:pPr>
      <w:spacing w:after="120"/>
      <w:ind w:left="420" w:leftChars="200"/>
    </w:pPr>
  </w:style>
  <w:style w:type="paragraph" w:styleId="6">
    <w:name w:val="Normal Indent"/>
    <w:basedOn w:val="1"/>
    <w:next w:val="7"/>
    <w:qFormat/>
    <w:uiPriority w:val="0"/>
    <w:pPr>
      <w:ind w:firstLine="420" w:firstLineChars="200"/>
    </w:pPr>
  </w:style>
  <w:style w:type="paragraph" w:styleId="7">
    <w:name w:val="toc 4"/>
    <w:basedOn w:val="1"/>
    <w:next w:val="1"/>
    <w:qFormat/>
    <w:uiPriority w:val="0"/>
    <w:pPr>
      <w:ind w:left="1260" w:leftChars="600"/>
    </w:pPr>
  </w:style>
  <w:style w:type="paragraph" w:styleId="8">
    <w:name w:val="Body Text"/>
    <w:basedOn w:val="1"/>
    <w:semiHidden/>
    <w:unhideWhenUsed/>
    <w:qFormat/>
    <w:uiPriority w:val="99"/>
    <w:pPr>
      <w:spacing w:after="120" w:afterLines="0" w:afterAutospacing="0"/>
    </w:pPr>
  </w:style>
  <w:style w:type="paragraph" w:styleId="9">
    <w:name w:val="footer"/>
    <w:basedOn w:val="1"/>
    <w:link w:val="1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0">
    <w:name w:val="header"/>
    <w:basedOn w:val="1"/>
    <w:link w:val="1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1">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2">
    <w:name w:val="Body Text First Indent"/>
    <w:basedOn w:val="8"/>
    <w:semiHidden/>
    <w:unhideWhenUsed/>
    <w:qFormat/>
    <w:uiPriority w:val="99"/>
    <w:pPr>
      <w:ind w:firstLine="420" w:firstLineChars="100"/>
    </w:pPr>
  </w:style>
  <w:style w:type="character" w:styleId="15">
    <w:name w:val="Hyperlink"/>
    <w:basedOn w:val="14"/>
    <w:unhideWhenUsed/>
    <w:qFormat/>
    <w:uiPriority w:val="99"/>
    <w:rPr>
      <w:color w:val="0000FF" w:themeColor="hyperlink"/>
      <w:u w:val="single"/>
      <w14:textFill>
        <w14:solidFill>
          <w14:schemeClr w14:val="hlink"/>
        </w14:solidFill>
      </w14:textFill>
    </w:rPr>
  </w:style>
  <w:style w:type="character" w:customStyle="1" w:styleId="16">
    <w:name w:val="页眉 Char"/>
    <w:basedOn w:val="14"/>
    <w:link w:val="10"/>
    <w:qFormat/>
    <w:uiPriority w:val="99"/>
    <w:rPr>
      <w:sz w:val="18"/>
      <w:szCs w:val="18"/>
    </w:rPr>
  </w:style>
  <w:style w:type="character" w:customStyle="1" w:styleId="17">
    <w:name w:val="页脚 Char"/>
    <w:basedOn w:val="14"/>
    <w:link w:val="9"/>
    <w:qFormat/>
    <w:uiPriority w:val="99"/>
    <w:rPr>
      <w:sz w:val="18"/>
      <w:szCs w:val="18"/>
    </w:rPr>
  </w:style>
  <w:style w:type="paragraph" w:customStyle="1" w:styleId="18">
    <w:name w:val="列出段落1"/>
    <w:basedOn w:val="1"/>
    <w:qFormat/>
    <w:uiPriority w:val="34"/>
    <w:pPr>
      <w:ind w:firstLine="420" w:firstLineChars="200"/>
    </w:pPr>
    <w:rPr>
      <w:rFonts w:ascii="Calibri" w:hAnsi="Calibri"/>
    </w:rPr>
  </w:style>
  <w:style w:type="paragraph" w:customStyle="1" w:styleId="19">
    <w:name w:val="one-p"/>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72</Words>
  <Characters>412</Characters>
  <Lines>3</Lines>
  <Paragraphs>1</Paragraphs>
  <TotalTime>1</TotalTime>
  <ScaleCrop>false</ScaleCrop>
  <LinksUpToDate>false</LinksUpToDate>
  <CharactersWithSpaces>483</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2020-06-24T09:48:00Z</dcterms:created>
  <dc:creator>微软用户</dc:creator>
  <cp:lastModifiedBy>Huzhou</cp:lastModifiedBy>
  <dcterms:modified xsi:type="dcterms:W3CDTF">2021-08-12T15:45:44Z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ies>
</file>