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color w:val="000000"/>
          <w:sz w:val="40"/>
          <w:szCs w:val="40"/>
        </w:rPr>
      </w:pPr>
      <w:r>
        <w:rPr>
          <w:rFonts w:hint="eastAsia" w:ascii="方正小标宋简体" w:hAnsi="方正小标宋简体" w:eastAsia="方正小标宋简体" w:cs="方正小标宋简体"/>
          <w:bCs/>
          <w:color w:val="000000"/>
          <w:sz w:val="40"/>
          <w:szCs w:val="40"/>
        </w:rPr>
        <w:t>2021年湖州南太湖新区管理委员会下属事业单位公开招聘工作人员计划表</w:t>
      </w:r>
    </w:p>
    <w:tbl>
      <w:tblPr>
        <w:tblStyle w:val="3"/>
        <w:tblpPr w:leftFromText="180" w:rightFromText="180" w:vertAnchor="text" w:horzAnchor="page" w:tblpX="666" w:tblpY="325"/>
        <w:tblOverlap w:val="never"/>
        <w:tblW w:w="14275" w:type="dxa"/>
        <w:tblInd w:w="0" w:type="dxa"/>
        <w:tblLayout w:type="fixed"/>
        <w:tblCellMar>
          <w:top w:w="0" w:type="dxa"/>
          <w:left w:w="108" w:type="dxa"/>
          <w:bottom w:w="0" w:type="dxa"/>
          <w:right w:w="108" w:type="dxa"/>
        </w:tblCellMar>
      </w:tblPr>
      <w:tblGrid>
        <w:gridCol w:w="517"/>
        <w:gridCol w:w="1026"/>
        <w:gridCol w:w="1244"/>
        <w:gridCol w:w="776"/>
        <w:gridCol w:w="776"/>
        <w:gridCol w:w="776"/>
        <w:gridCol w:w="776"/>
        <w:gridCol w:w="776"/>
        <w:gridCol w:w="3258"/>
        <w:gridCol w:w="2055"/>
        <w:gridCol w:w="2295"/>
      </w:tblGrid>
      <w:tr>
        <w:tblPrEx>
          <w:tblCellMar>
            <w:top w:w="0" w:type="dxa"/>
            <w:left w:w="108" w:type="dxa"/>
            <w:bottom w:w="0" w:type="dxa"/>
            <w:right w:w="108" w:type="dxa"/>
          </w:tblCellMar>
        </w:tblPrEx>
        <w:trPr>
          <w:trHeight w:val="537" w:hRule="atLeast"/>
        </w:trPr>
        <w:tc>
          <w:tcPr>
            <w:tcW w:w="5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序号</w:t>
            </w:r>
          </w:p>
        </w:tc>
        <w:tc>
          <w:tcPr>
            <w:tcW w:w="10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主管部门</w:t>
            </w:r>
          </w:p>
        </w:tc>
        <w:tc>
          <w:tcPr>
            <w:tcW w:w="12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招聘</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单位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招聘</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岗位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招聘</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人数</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岗位</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类别</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岗位</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等级</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学历/</w:t>
            </w:r>
            <w:r>
              <w:rPr>
                <w:rFonts w:hint="eastAsia" w:ascii="仿宋_GB2312" w:hAnsi="宋体" w:eastAsia="仿宋_GB2312" w:cs="仿宋_GB2312"/>
                <w:b/>
                <w:bCs/>
                <w:color w:val="000000"/>
                <w:kern w:val="0"/>
                <w:sz w:val="20"/>
                <w:szCs w:val="20"/>
              </w:rPr>
              <w:br w:type="textWrapping"/>
            </w:r>
            <w:r>
              <w:rPr>
                <w:rFonts w:hint="eastAsia" w:ascii="仿宋_GB2312" w:hAnsi="宋体" w:eastAsia="仿宋_GB2312" w:cs="仿宋_GB2312"/>
                <w:b/>
                <w:bCs/>
                <w:color w:val="000000"/>
                <w:kern w:val="0"/>
                <w:sz w:val="20"/>
                <w:szCs w:val="20"/>
              </w:rPr>
              <w:t>学位</w:t>
            </w:r>
          </w:p>
        </w:tc>
        <w:tc>
          <w:tcPr>
            <w:tcW w:w="32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可报考专业及方向</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其他要求</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ind w:right="164" w:rightChars="78"/>
              <w:jc w:val="center"/>
              <w:textAlignment w:val="center"/>
              <w:rPr>
                <w:rFonts w:ascii="仿宋_GB2312" w:hAnsi="宋体" w:eastAsia="仿宋_GB2312" w:cs="仿宋_GB2312"/>
                <w:b/>
                <w:bCs/>
                <w:color w:val="000000"/>
                <w:sz w:val="20"/>
                <w:szCs w:val="20"/>
              </w:rPr>
            </w:pPr>
            <w:r>
              <w:rPr>
                <w:rFonts w:hint="eastAsia" w:ascii="仿宋_GB2312" w:hAnsi="宋体" w:eastAsia="仿宋_GB2312" w:cs="仿宋_GB2312"/>
                <w:b/>
                <w:bCs/>
                <w:color w:val="000000"/>
                <w:kern w:val="0"/>
                <w:sz w:val="20"/>
                <w:szCs w:val="20"/>
              </w:rPr>
              <w:t xml:space="preserve">   咨询电话</w:t>
            </w:r>
          </w:p>
        </w:tc>
      </w:tr>
      <w:tr>
        <w:tblPrEx>
          <w:tblCellMar>
            <w:top w:w="0" w:type="dxa"/>
            <w:left w:w="108" w:type="dxa"/>
            <w:bottom w:w="0" w:type="dxa"/>
            <w:right w:w="108" w:type="dxa"/>
          </w:tblCellMar>
        </w:tblPrEx>
        <w:trPr>
          <w:trHeight w:val="620" w:hRule="atLeast"/>
        </w:trPr>
        <w:tc>
          <w:tcPr>
            <w:tcW w:w="5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10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12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b/>
                <w:bCs/>
                <w:color w:val="000000"/>
                <w:sz w:val="20"/>
                <w:szCs w:val="20"/>
              </w:rPr>
            </w:pPr>
          </w:p>
        </w:tc>
        <w:tc>
          <w:tcPr>
            <w:tcW w:w="32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b/>
                <w:bCs/>
                <w:color w:val="000000"/>
                <w:sz w:val="20"/>
                <w:szCs w:val="20"/>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right="164" w:rightChars="78"/>
              <w:jc w:val="center"/>
              <w:rPr>
                <w:rFonts w:ascii="仿宋_GB2312" w:hAnsi="宋体" w:eastAsia="仿宋_GB2312" w:cs="仿宋_GB2312"/>
                <w:b/>
                <w:bCs/>
                <w:color w:val="000000"/>
                <w:sz w:val="20"/>
                <w:szCs w:val="20"/>
              </w:rPr>
            </w:pPr>
          </w:p>
        </w:tc>
      </w:tr>
      <w:tr>
        <w:tblPrEx>
          <w:tblCellMar>
            <w:top w:w="0" w:type="dxa"/>
            <w:left w:w="108" w:type="dxa"/>
            <w:bottom w:w="0" w:type="dxa"/>
            <w:right w:w="108" w:type="dxa"/>
          </w:tblCellMar>
        </w:tblPrEx>
        <w:trPr>
          <w:trHeight w:val="1353"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湖州市凤凰街道办事处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凤凰街道公共事业服务中心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综合治理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宪法学与行政法学、民商法学、经济法学、环境与资源保护法学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2年及以上工作经历</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曹老师，0572-2126769</w:t>
            </w:r>
          </w:p>
          <w:p>
            <w:pPr>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2293"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湖州市康山埠街道办事处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康山街道公用事业服务中心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经济管理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本科及以上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本科：</w:t>
            </w:r>
            <w:r>
              <w:rPr>
                <w:rFonts w:hint="eastAsia" w:ascii="仿宋_GB2312" w:hAnsi="宋体" w:eastAsia="仿宋_GB2312" w:cs="仿宋_GB2312"/>
                <w:color w:val="000000"/>
                <w:sz w:val="20"/>
                <w:szCs w:val="20"/>
              </w:rPr>
              <w:t>经济学、国际经济与贸易、国民经济管理 、金融学</w:t>
            </w:r>
          </w:p>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硕士研究生：</w:t>
            </w:r>
            <w:r>
              <w:rPr>
                <w:rFonts w:hint="eastAsia" w:ascii="仿宋_GB2312" w:hAnsi="宋体" w:eastAsia="仿宋_GB2312" w:cs="仿宋_GB2312"/>
                <w:color w:val="000000"/>
                <w:sz w:val="20"/>
                <w:szCs w:val="20"/>
              </w:rPr>
              <w:t>政治经济学、国民经济学、产业经济学、金融学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洪老师，0572-2921063</w:t>
            </w:r>
          </w:p>
        </w:tc>
      </w:tr>
      <w:tr>
        <w:tblPrEx>
          <w:tblCellMar>
            <w:top w:w="0" w:type="dxa"/>
            <w:left w:w="108" w:type="dxa"/>
            <w:bottom w:w="0" w:type="dxa"/>
            <w:right w:w="108" w:type="dxa"/>
          </w:tblCellMar>
        </w:tblPrEx>
        <w:trPr>
          <w:trHeight w:val="1841"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3</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湖州市龙溪街道办事处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龙溪街道公共事业服务中心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综合管理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本科及以上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highlight w:val="yellow"/>
              </w:rPr>
            </w:pPr>
            <w:r>
              <w:rPr>
                <w:rFonts w:hint="eastAsia" w:ascii="仿宋_GB2312" w:hAnsi="宋体" w:eastAsia="仿宋_GB2312" w:cs="仿宋_GB2312"/>
                <w:b/>
                <w:bCs/>
                <w:color w:val="000000"/>
                <w:sz w:val="20"/>
                <w:szCs w:val="20"/>
              </w:rPr>
              <w:t>本科：</w:t>
            </w:r>
            <w:r>
              <w:rPr>
                <w:rFonts w:hint="eastAsia" w:ascii="仿宋_GB2312" w:hAnsi="宋体" w:eastAsia="仿宋_GB2312" w:cs="仿宋_GB2312"/>
                <w:color w:val="000000"/>
                <w:sz w:val="20"/>
                <w:szCs w:val="20"/>
              </w:rPr>
              <w:t>汉语言文学、汉语言、新闻学、传播学</w:t>
            </w:r>
          </w:p>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硕士研究生：</w:t>
            </w:r>
            <w:r>
              <w:rPr>
                <w:rFonts w:hint="eastAsia" w:ascii="仿宋_GB2312" w:hAnsi="宋体" w:eastAsia="仿宋_GB2312" w:cs="仿宋_GB2312"/>
                <w:color w:val="000000"/>
                <w:sz w:val="20"/>
                <w:szCs w:val="20"/>
              </w:rPr>
              <w:t>中国语言文学、现代汉语语言学、汉语言文字学、新闻传播学、新闻学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2年及以上工作经历</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卢老师，0572-2111296</w:t>
            </w:r>
          </w:p>
          <w:p>
            <w:pPr>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4</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湖州市杨家埠街道办事处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杨家埠街道公共事业服务中心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财务管理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专技十二级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审计、会计、会计学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陈老师，0572-2598319</w:t>
            </w: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 xml:space="preserve"> 5</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湖州市杨家埠街道办事处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杨家埠街道公共事业服务中心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城乡建设</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水利水电工程、土木工程、工程管理</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陈老师，0572-2598319</w:t>
            </w: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6</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湖州市仁皇山街道办事处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仁皇山街道便民服务中心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经济发展</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专技十二级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国民经济学、产业经济学、区域经济学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董老师，0572-2662912</w:t>
            </w:r>
          </w:p>
          <w:p>
            <w:pPr>
              <w:jc w:val="center"/>
              <w:rPr>
                <w:rFonts w:ascii="仿宋_GB2312" w:hAnsi="宋体" w:eastAsia="仿宋_GB2312" w:cs="仿宋_GB2312"/>
                <w:color w:val="000000"/>
                <w:sz w:val="20"/>
                <w:szCs w:val="20"/>
              </w:rPr>
            </w:pPr>
          </w:p>
        </w:tc>
      </w:tr>
      <w:tr>
        <w:tblPrEx>
          <w:tblCellMar>
            <w:top w:w="0" w:type="dxa"/>
            <w:left w:w="108" w:type="dxa"/>
            <w:bottom w:w="0" w:type="dxa"/>
            <w:right w:w="108" w:type="dxa"/>
          </w:tblCellMar>
        </w:tblPrEx>
        <w:trPr>
          <w:trHeight w:val="92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7</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湖州市滨湖街道办事处</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滨湖街道便民服务中心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农村管理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专技十二级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农业、农村与区域发展、农村发展、农业</w:t>
            </w:r>
            <w:bookmarkStart w:id="0" w:name="_GoBack"/>
            <w:bookmarkEnd w:id="0"/>
            <w:r>
              <w:rPr>
                <w:rFonts w:hint="eastAsia" w:ascii="仿宋_GB2312" w:hAnsi="宋体" w:eastAsia="仿宋_GB2312" w:cs="仿宋_GB2312"/>
                <w:color w:val="000000"/>
                <w:sz w:val="20"/>
                <w:szCs w:val="20"/>
              </w:rPr>
              <w:t>经济管理</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蒋老师，0572-2593122</w:t>
            </w:r>
          </w:p>
        </w:tc>
      </w:tr>
      <w:tr>
        <w:tblPrEx>
          <w:tblCellMar>
            <w:top w:w="0" w:type="dxa"/>
            <w:left w:w="108" w:type="dxa"/>
            <w:bottom w:w="0" w:type="dxa"/>
            <w:right w:w="108" w:type="dxa"/>
          </w:tblCellMar>
        </w:tblPrEx>
        <w:trPr>
          <w:trHeight w:val="1152"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8</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湖州南太湖新区管理委员会</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湖州南太湖新区企业发展服务中心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企业服务</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硕研及以上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房地产经济与管理、房地产开发与管理、城市与房地产经济学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莫老师，0572-2702231</w:t>
            </w:r>
          </w:p>
        </w:tc>
      </w:tr>
      <w:tr>
        <w:tblPrEx>
          <w:tblCellMar>
            <w:top w:w="0" w:type="dxa"/>
            <w:left w:w="108" w:type="dxa"/>
            <w:bottom w:w="0" w:type="dxa"/>
            <w:right w:w="108" w:type="dxa"/>
          </w:tblCellMar>
        </w:tblPrEx>
        <w:trPr>
          <w:trHeight w:val="2756"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9</w:t>
            </w:r>
          </w:p>
        </w:tc>
        <w:tc>
          <w:tcPr>
            <w:tcW w:w="10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湖州南太湖新区人民法院</w:t>
            </w:r>
          </w:p>
        </w:tc>
        <w:tc>
          <w:tcPr>
            <w:tcW w:w="12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湖州南太湖新区人民法院审判保障服务中心</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法官助理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管理九级</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本科及以上</w:t>
            </w:r>
          </w:p>
        </w:tc>
        <w:tc>
          <w:tcPr>
            <w:tcW w:w="32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本科：</w:t>
            </w:r>
            <w:r>
              <w:rPr>
                <w:rFonts w:hint="eastAsia" w:ascii="仿宋_GB2312" w:hAnsi="宋体" w:eastAsia="仿宋_GB2312" w:cs="仿宋_GB2312"/>
                <w:color w:val="000000"/>
                <w:sz w:val="20"/>
                <w:szCs w:val="20"/>
              </w:rPr>
              <w:t>法学</w:t>
            </w:r>
          </w:p>
          <w:p>
            <w:pPr>
              <w:jc w:val="center"/>
              <w:rPr>
                <w:rFonts w:ascii="仿宋_GB2312" w:hAnsi="宋体" w:eastAsia="仿宋_GB2312" w:cs="仿宋_GB2312"/>
                <w:color w:val="000000"/>
                <w:sz w:val="20"/>
                <w:szCs w:val="20"/>
              </w:rPr>
            </w:pPr>
            <w:r>
              <w:rPr>
                <w:rFonts w:hint="eastAsia" w:ascii="仿宋_GB2312" w:hAnsi="宋体" w:eastAsia="仿宋_GB2312" w:cs="仿宋_GB2312"/>
                <w:b/>
                <w:bCs/>
                <w:color w:val="000000"/>
                <w:sz w:val="20"/>
                <w:szCs w:val="20"/>
              </w:rPr>
              <w:t>硕士研究生：</w:t>
            </w:r>
            <w:r>
              <w:rPr>
                <w:rFonts w:hint="eastAsia" w:ascii="仿宋_GB2312" w:hAnsi="宋体" w:eastAsia="仿宋_GB2312" w:cs="仿宋_GB2312"/>
                <w:color w:val="000000"/>
                <w:sz w:val="20"/>
                <w:szCs w:val="20"/>
              </w:rPr>
              <w:t>法学、环境与资源保护法学、民商法学、诉讼法学、宪法学与行政法学、刑法学</w:t>
            </w:r>
          </w:p>
        </w:tc>
        <w:tc>
          <w:tcPr>
            <w:tcW w:w="2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1.通过国家统一法律职业资格考试或国家司法考试，并取得A类《法律职业资格证书》；2.报考者大学本科阶段须为普通高等学校法学专业毕业，并取得相应学位。</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仿宋_GB2312"/>
                <w:color w:val="000000"/>
                <w:sz w:val="20"/>
                <w:szCs w:val="20"/>
              </w:rPr>
            </w:pPr>
            <w:r>
              <w:rPr>
                <w:rFonts w:hint="eastAsia" w:ascii="仿宋_GB2312" w:hAnsi="宋体" w:eastAsia="仿宋_GB2312" w:cs="仿宋_GB2312"/>
                <w:color w:val="000000"/>
                <w:sz w:val="20"/>
                <w:szCs w:val="20"/>
              </w:rPr>
              <w:t>何老师，0572-2128627</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36B59"/>
    <w:rsid w:val="31236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2021-06-18T09:10:00Z</dcterms:created>
  <dc:creator>Administrator</dc:creator>
  <cp:lastModifiedBy>Administrator</cp:lastModifiedBy>
  <dcterms:modified xsi:type="dcterms:W3CDTF">2021-06-18T09:10:32Z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4CCBD8B5D1EB4CEEA31809DA7206CB43</vt:lpwstr>
  </property>
</Properties>
</file>