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8"/>
        <w:jc w:val="both"/>
        <w:rPr>
          <w:rFonts w:hint="eastAsia" w:eastAsia="宋体"/>
          <w:b/>
          <w:sz w:val="44"/>
          <w:szCs w:val="21"/>
          <w:lang w:eastAsia="zh-CN"/>
        </w:rPr>
      </w:pPr>
      <w:bookmarkStart w:id="0" w:name="_Toc20907"/>
    </w:p>
    <w:p>
      <w:pPr>
        <w:spacing w:before="98"/>
        <w:jc w:val="center"/>
        <w:rPr>
          <w:b/>
          <w:sz w:val="52"/>
          <w:szCs w:val="28"/>
        </w:rPr>
      </w:pPr>
      <w:r>
        <w:rPr>
          <w:rFonts w:hint="eastAsia"/>
          <w:b/>
          <w:sz w:val="52"/>
          <w:szCs w:val="28"/>
          <w:lang w:eastAsia="zh-CN"/>
        </w:rPr>
        <w:t>湖州市吴兴区织里镇街区立面整治服务采购项目</w:t>
      </w:r>
    </w:p>
    <w:p>
      <w:pPr>
        <w:spacing w:before="98"/>
        <w:jc w:val="center"/>
        <w:rPr>
          <w:rFonts w:hint="eastAsia"/>
          <w:b/>
          <w:sz w:val="40"/>
          <w:szCs w:val="40"/>
        </w:rPr>
      </w:pPr>
    </w:p>
    <w:p>
      <w:pPr>
        <w:spacing w:before="98"/>
        <w:jc w:val="center"/>
        <w:rPr>
          <w:b/>
          <w:sz w:val="40"/>
          <w:szCs w:val="40"/>
        </w:rPr>
      </w:pPr>
      <w:r>
        <w:rPr>
          <w:rFonts w:hint="eastAsia"/>
          <w:b/>
          <w:sz w:val="40"/>
          <w:szCs w:val="40"/>
        </w:rPr>
        <w:t>（</w:t>
      </w:r>
      <w:r>
        <w:rPr>
          <w:b/>
          <w:sz w:val="40"/>
          <w:szCs w:val="40"/>
        </w:rPr>
        <w:t>财政审批编号：</w:t>
      </w:r>
      <w:r>
        <w:rPr>
          <w:rFonts w:hint="eastAsia"/>
          <w:b/>
          <w:color w:val="auto"/>
          <w:sz w:val="40"/>
          <w:szCs w:val="40"/>
        </w:rPr>
        <w:t>临[202</w:t>
      </w:r>
      <w:r>
        <w:rPr>
          <w:rFonts w:hint="eastAsia"/>
          <w:b/>
          <w:color w:val="auto"/>
          <w:sz w:val="40"/>
          <w:szCs w:val="40"/>
          <w:lang w:val="en-US" w:eastAsia="zh-CN"/>
        </w:rPr>
        <w:t>1</w:t>
      </w:r>
      <w:r>
        <w:rPr>
          <w:rFonts w:hint="eastAsia"/>
          <w:b/>
          <w:color w:val="auto"/>
          <w:sz w:val="40"/>
          <w:szCs w:val="40"/>
        </w:rPr>
        <w:t>]</w:t>
      </w:r>
      <w:r>
        <w:rPr>
          <w:rFonts w:hint="eastAsia"/>
          <w:b/>
          <w:color w:val="auto"/>
          <w:sz w:val="40"/>
          <w:szCs w:val="40"/>
          <w:lang w:val="en-US" w:eastAsia="zh-CN"/>
        </w:rPr>
        <w:t>624</w:t>
      </w:r>
      <w:r>
        <w:rPr>
          <w:rFonts w:hint="eastAsia"/>
          <w:b/>
          <w:sz w:val="40"/>
          <w:szCs w:val="40"/>
        </w:rPr>
        <w:t>号）</w:t>
      </w:r>
    </w:p>
    <w:p>
      <w:pPr>
        <w:spacing w:line="350" w:lineRule="auto"/>
        <w:jc w:val="center"/>
        <w:rPr>
          <w:sz w:val="32"/>
        </w:rPr>
      </w:pPr>
    </w:p>
    <w:p>
      <w:pPr>
        <w:pStyle w:val="20"/>
        <w:ind w:firstLine="640"/>
        <w:rPr>
          <w:sz w:val="32"/>
        </w:rPr>
      </w:pPr>
    </w:p>
    <w:p>
      <w:pPr>
        <w:rPr>
          <w:sz w:val="32"/>
        </w:rPr>
      </w:pPr>
    </w:p>
    <w:p>
      <w:pPr>
        <w:pStyle w:val="20"/>
        <w:rPr>
          <w:sz w:val="32"/>
        </w:rPr>
      </w:pPr>
    </w:p>
    <w:p>
      <w:pPr>
        <w:jc w:val="center"/>
        <w:rPr>
          <w:sz w:val="32"/>
        </w:rPr>
      </w:pPr>
      <w:r>
        <w:rPr>
          <w:rFonts w:hint="eastAsia"/>
          <w:b/>
          <w:bCs/>
          <w:sz w:val="72"/>
          <w:szCs w:val="72"/>
          <w:lang w:eastAsia="zh-CN"/>
        </w:rPr>
        <w:t>招标</w:t>
      </w:r>
      <w:r>
        <w:rPr>
          <w:rFonts w:hint="eastAsia"/>
          <w:b/>
          <w:bCs/>
          <w:sz w:val="72"/>
          <w:szCs w:val="72"/>
        </w:rPr>
        <w:t>文件</w:t>
      </w:r>
    </w:p>
    <w:p>
      <w:pPr>
        <w:rPr>
          <w:sz w:val="32"/>
        </w:rPr>
      </w:pPr>
    </w:p>
    <w:p>
      <w:pPr>
        <w:pStyle w:val="20"/>
        <w:ind w:left="0" w:leftChars="0" w:firstLine="0" w:firstLineChars="0"/>
        <w:rPr>
          <w:rFonts w:hint="eastAsia"/>
          <w:sz w:val="32"/>
        </w:rPr>
      </w:pPr>
    </w:p>
    <w:p>
      <w:pPr>
        <w:pStyle w:val="20"/>
        <w:ind w:leftChars="1200" w:firstLine="217" w:firstLineChars="68"/>
        <w:rPr>
          <w:rFonts w:hint="eastAsia"/>
          <w:sz w:val="32"/>
        </w:rPr>
      </w:pPr>
    </w:p>
    <w:p>
      <w:pPr>
        <w:pStyle w:val="20"/>
        <w:ind w:leftChars="1200" w:firstLine="218" w:firstLineChars="68"/>
        <w:rPr>
          <w:rFonts w:hint="eastAsia"/>
          <w:b/>
          <w:bCs w:val="0"/>
          <w:sz w:val="32"/>
        </w:rPr>
      </w:pPr>
    </w:p>
    <w:p>
      <w:pPr>
        <w:rPr>
          <w:rFonts w:hint="eastAsia"/>
          <w:b/>
          <w:bCs w:val="0"/>
          <w:sz w:val="32"/>
        </w:rPr>
      </w:pPr>
    </w:p>
    <w:p>
      <w:pPr>
        <w:rPr>
          <w:rFonts w:hint="eastAsia"/>
        </w:rPr>
      </w:pPr>
    </w:p>
    <w:p>
      <w:pPr>
        <w:pStyle w:val="20"/>
        <w:spacing w:line="360" w:lineRule="auto"/>
        <w:ind w:left="0" w:leftChars="0" w:firstLine="0" w:firstLineChars="0"/>
        <w:rPr>
          <w:rFonts w:hint="eastAsia"/>
          <w:b/>
          <w:bCs w:val="0"/>
          <w:sz w:val="32"/>
        </w:rPr>
      </w:pPr>
    </w:p>
    <w:p>
      <w:pPr>
        <w:rPr>
          <w:rFonts w:hint="eastAsia"/>
        </w:rPr>
      </w:pPr>
    </w:p>
    <w:p>
      <w:pPr>
        <w:pStyle w:val="20"/>
        <w:spacing w:line="360" w:lineRule="auto"/>
        <w:ind w:firstLine="1606" w:firstLineChars="500"/>
        <w:rPr>
          <w:rFonts w:hint="default" w:eastAsia="宋体"/>
          <w:b/>
          <w:bCs w:val="0"/>
          <w:sz w:val="32"/>
          <w:lang w:val="en-US" w:eastAsia="zh-CN"/>
        </w:rPr>
      </w:pPr>
      <w:r>
        <w:rPr>
          <w:rFonts w:hint="eastAsia"/>
          <w:b/>
          <w:bCs w:val="0"/>
          <w:sz w:val="32"/>
        </w:rPr>
        <w:t>项目编号：</w:t>
      </w:r>
      <w:r>
        <w:rPr>
          <w:rFonts w:hint="eastAsia"/>
          <w:b/>
          <w:bCs w:val="0"/>
          <w:sz w:val="32"/>
          <w:lang w:val="en-US" w:eastAsia="zh-CN"/>
        </w:rPr>
        <w:t>NBJX2021001</w:t>
      </w:r>
    </w:p>
    <w:p>
      <w:pPr>
        <w:spacing w:line="360" w:lineRule="auto"/>
        <w:ind w:firstLine="1606" w:firstLineChars="500"/>
        <w:rPr>
          <w:b/>
          <w:bCs w:val="0"/>
          <w:sz w:val="32"/>
          <w:lang w:val="en-US"/>
        </w:rPr>
      </w:pPr>
      <w:r>
        <w:rPr>
          <w:rFonts w:hint="eastAsia"/>
          <w:b/>
          <w:bCs w:val="0"/>
          <w:sz w:val="32"/>
        </w:rPr>
        <w:t>采购人：</w:t>
      </w:r>
      <w:r>
        <w:rPr>
          <w:rFonts w:hint="eastAsia"/>
          <w:b/>
          <w:bCs w:val="0"/>
          <w:sz w:val="32"/>
          <w:lang w:eastAsia="zh-CN"/>
        </w:rPr>
        <w:t>湖州市吴兴区织里镇公共事业服务中心</w:t>
      </w:r>
    </w:p>
    <w:p>
      <w:pPr>
        <w:pStyle w:val="20"/>
        <w:spacing w:line="360" w:lineRule="auto"/>
        <w:ind w:firstLine="1606" w:firstLineChars="500"/>
        <w:rPr>
          <w:rFonts w:hint="eastAsia" w:eastAsia="宋体"/>
          <w:b/>
          <w:bCs w:val="0"/>
          <w:sz w:val="32"/>
          <w:lang w:eastAsia="zh-CN"/>
        </w:rPr>
      </w:pPr>
      <w:r>
        <w:rPr>
          <w:rFonts w:hint="eastAsia"/>
          <w:b/>
          <w:bCs w:val="0"/>
          <w:sz w:val="32"/>
        </w:rPr>
        <w:t>采购代理机构：</w:t>
      </w:r>
      <w:r>
        <w:rPr>
          <w:rFonts w:hint="eastAsia"/>
          <w:b/>
          <w:bCs w:val="0"/>
          <w:sz w:val="32"/>
          <w:lang w:eastAsia="zh-CN"/>
        </w:rPr>
        <w:t>宁波建信工程造价咨询事务所有限公司</w:t>
      </w:r>
    </w:p>
    <w:p>
      <w:pPr>
        <w:pStyle w:val="20"/>
        <w:spacing w:line="360" w:lineRule="auto"/>
        <w:ind w:firstLine="1606" w:firstLineChars="500"/>
        <w:jc w:val="both"/>
        <w:rPr>
          <w:rFonts w:hint="eastAsia"/>
          <w:b/>
          <w:sz w:val="44"/>
          <w:lang w:val="en-US" w:eastAsia="zh-CN"/>
        </w:rPr>
      </w:pPr>
      <w:r>
        <w:rPr>
          <w:rFonts w:hint="eastAsia"/>
          <w:b/>
          <w:bCs w:val="0"/>
          <w:sz w:val="32"/>
          <w:lang w:val="en-US" w:eastAsia="zh-CN"/>
        </w:rPr>
        <w:t>日期：</w:t>
      </w:r>
      <w:r>
        <w:rPr>
          <w:rFonts w:hint="eastAsia"/>
          <w:b/>
          <w:bCs w:val="0"/>
          <w:sz w:val="32"/>
          <w:lang w:val="en-US"/>
        </w:rPr>
        <w:t>202</w:t>
      </w:r>
      <w:r>
        <w:rPr>
          <w:rFonts w:hint="eastAsia"/>
          <w:b/>
          <w:bCs w:val="0"/>
          <w:sz w:val="32"/>
          <w:lang w:val="en-US" w:eastAsia="zh-CN"/>
        </w:rPr>
        <w:t>1</w:t>
      </w:r>
      <w:r>
        <w:rPr>
          <w:rFonts w:hint="eastAsia"/>
          <w:b/>
          <w:bCs w:val="0"/>
          <w:sz w:val="32"/>
          <w:lang w:val="en-US"/>
        </w:rPr>
        <w:t>年</w:t>
      </w:r>
      <w:r>
        <w:rPr>
          <w:rFonts w:hint="eastAsia"/>
          <w:b/>
          <w:bCs w:val="0"/>
          <w:sz w:val="32"/>
          <w:lang w:val="en-US" w:eastAsia="zh-CN"/>
        </w:rPr>
        <w:t>1</w:t>
      </w:r>
      <w:r>
        <w:rPr>
          <w:rFonts w:hint="eastAsia"/>
          <w:b/>
          <w:bCs w:val="0"/>
          <w:sz w:val="32"/>
          <w:lang w:val="en-US"/>
        </w:rPr>
        <w:t>月</w:t>
      </w:r>
    </w:p>
    <w:p>
      <w:pPr>
        <w:jc w:val="center"/>
        <w:outlineLvl w:val="0"/>
        <w:rPr>
          <w:rFonts w:hint="eastAsia" w:ascii="宋体" w:hAnsi="宋体" w:cs="仿宋"/>
          <w:b/>
          <w:sz w:val="44"/>
          <w:szCs w:val="44"/>
        </w:rPr>
      </w:pPr>
    </w:p>
    <w:p>
      <w:pPr>
        <w:jc w:val="center"/>
        <w:outlineLvl w:val="0"/>
        <w:rPr>
          <w:rFonts w:hint="eastAsia" w:ascii="宋体" w:hAnsi="宋体" w:cs="仿宋"/>
          <w:b/>
          <w:sz w:val="44"/>
          <w:szCs w:val="44"/>
        </w:rPr>
      </w:pPr>
    </w:p>
    <w:p>
      <w:pPr>
        <w:jc w:val="center"/>
        <w:outlineLvl w:val="0"/>
        <w:rPr>
          <w:rFonts w:hint="eastAsia" w:ascii="宋体" w:hAnsi="宋体" w:cs="仿宋"/>
          <w:b/>
          <w:sz w:val="44"/>
          <w:szCs w:val="44"/>
        </w:rPr>
      </w:pPr>
    </w:p>
    <w:p>
      <w:pPr>
        <w:jc w:val="center"/>
        <w:outlineLvl w:val="0"/>
        <w:rPr>
          <w:rFonts w:ascii="宋体" w:hAnsi="宋体" w:cs="仿宋"/>
        </w:rPr>
      </w:pPr>
      <w:r>
        <w:rPr>
          <w:rFonts w:hint="eastAsia" w:ascii="宋体" w:hAnsi="宋体" w:cs="仿宋"/>
          <w:b/>
          <w:sz w:val="44"/>
          <w:szCs w:val="44"/>
        </w:rPr>
        <w:t>目  录</w:t>
      </w:r>
      <w:bookmarkEnd w:id="0"/>
    </w:p>
    <w:p>
      <w:pPr>
        <w:adjustRightInd w:val="0"/>
        <w:snapToGrid w:val="0"/>
        <w:spacing w:line="360" w:lineRule="auto"/>
        <w:rPr>
          <w:rFonts w:ascii="宋体" w:hAnsi="宋体" w:cs="仿宋"/>
          <w:sz w:val="30"/>
          <w:szCs w:val="30"/>
        </w:rPr>
      </w:pPr>
    </w:p>
    <w:p>
      <w:pPr>
        <w:pStyle w:val="33"/>
        <w:tabs>
          <w:tab w:val="right" w:leader="dot" w:pos="9532"/>
        </w:tabs>
        <w:spacing w:line="360" w:lineRule="auto"/>
        <w:rPr>
          <w:rFonts w:ascii="宋体" w:hAnsi="宋体" w:cs="仿宋"/>
          <w:sz w:val="30"/>
          <w:szCs w:val="30"/>
        </w:rPr>
      </w:pPr>
      <w:r>
        <w:rPr>
          <w:rFonts w:hint="eastAsia" w:ascii="宋体" w:hAnsi="宋体" w:cs="仿宋"/>
          <w:sz w:val="30"/>
          <w:szCs w:val="30"/>
        </w:rPr>
        <w:fldChar w:fldCharType="begin"/>
      </w:r>
      <w:r>
        <w:rPr>
          <w:rFonts w:hint="eastAsia" w:ascii="宋体" w:hAnsi="宋体" w:cs="仿宋"/>
          <w:sz w:val="30"/>
          <w:szCs w:val="30"/>
        </w:rPr>
        <w:instrText xml:space="preserve">TOC \o "1-2" \h \u </w:instrText>
      </w:r>
      <w:r>
        <w:rPr>
          <w:rFonts w:hint="eastAsia" w:ascii="宋体" w:hAnsi="宋体" w:cs="仿宋"/>
          <w:sz w:val="30"/>
          <w:szCs w:val="30"/>
        </w:rPr>
        <w:fldChar w:fldCharType="separate"/>
      </w:r>
      <w:r>
        <w:fldChar w:fldCharType="begin"/>
      </w:r>
      <w:r>
        <w:instrText xml:space="preserve"> HYPERLINK \l "_Toc28990" </w:instrText>
      </w:r>
      <w:r>
        <w:fldChar w:fldCharType="separate"/>
      </w:r>
      <w:r>
        <w:rPr>
          <w:rFonts w:hint="eastAsia" w:ascii="宋体" w:hAnsi="宋体" w:cs="仿宋"/>
          <w:sz w:val="30"/>
          <w:szCs w:val="30"/>
        </w:rPr>
        <w:t>第一章  公开招标采购公告</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_Toc28990 </w:instrText>
      </w:r>
      <w:r>
        <w:rPr>
          <w:rFonts w:hint="eastAsia" w:ascii="宋体" w:hAnsi="宋体" w:cs="仿宋"/>
          <w:sz w:val="30"/>
          <w:szCs w:val="30"/>
        </w:rPr>
        <w:fldChar w:fldCharType="separate"/>
      </w:r>
      <w:r>
        <w:rPr>
          <w:rFonts w:hint="eastAsia" w:ascii="宋体" w:hAnsi="宋体" w:cs="仿宋"/>
          <w:sz w:val="30"/>
          <w:szCs w:val="30"/>
        </w:rPr>
        <w:t>3</w:t>
      </w:r>
      <w:r>
        <w:rPr>
          <w:rFonts w:hint="eastAsia" w:ascii="宋体" w:hAnsi="宋体" w:cs="仿宋"/>
          <w:sz w:val="30"/>
          <w:szCs w:val="30"/>
        </w:rPr>
        <w:fldChar w:fldCharType="end"/>
      </w:r>
      <w:r>
        <w:rPr>
          <w:rFonts w:hint="eastAsia" w:ascii="宋体" w:hAnsi="宋体" w:cs="仿宋"/>
          <w:sz w:val="30"/>
          <w:szCs w:val="30"/>
        </w:rPr>
        <w:fldChar w:fldCharType="end"/>
      </w:r>
    </w:p>
    <w:p>
      <w:pPr>
        <w:pStyle w:val="33"/>
        <w:tabs>
          <w:tab w:val="right" w:leader="dot" w:pos="9532"/>
        </w:tabs>
        <w:spacing w:line="360" w:lineRule="auto"/>
        <w:rPr>
          <w:rFonts w:ascii="宋体" w:hAnsi="宋体" w:cs="仿宋"/>
          <w:sz w:val="30"/>
          <w:szCs w:val="30"/>
        </w:rPr>
      </w:pPr>
      <w:r>
        <w:fldChar w:fldCharType="begin"/>
      </w:r>
      <w:r>
        <w:instrText xml:space="preserve"> HYPERLINK \l "_Toc27574" </w:instrText>
      </w:r>
      <w:r>
        <w:fldChar w:fldCharType="separate"/>
      </w:r>
      <w:r>
        <w:rPr>
          <w:rFonts w:hint="eastAsia" w:ascii="宋体" w:hAnsi="宋体" w:cs="仿宋"/>
          <w:sz w:val="30"/>
          <w:szCs w:val="30"/>
        </w:rPr>
        <w:t>第二章  招标需求</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_Toc27574 </w:instrText>
      </w:r>
      <w:r>
        <w:rPr>
          <w:rFonts w:hint="eastAsia" w:ascii="宋体" w:hAnsi="宋体" w:cs="仿宋"/>
          <w:sz w:val="30"/>
          <w:szCs w:val="30"/>
        </w:rPr>
        <w:fldChar w:fldCharType="separate"/>
      </w:r>
      <w:r>
        <w:rPr>
          <w:rFonts w:hint="eastAsia" w:ascii="宋体" w:hAnsi="宋体" w:cs="仿宋"/>
          <w:sz w:val="30"/>
          <w:szCs w:val="30"/>
        </w:rPr>
        <w:t>8</w:t>
      </w:r>
      <w:r>
        <w:rPr>
          <w:rFonts w:hint="eastAsia" w:ascii="宋体" w:hAnsi="宋体" w:cs="仿宋"/>
          <w:sz w:val="30"/>
          <w:szCs w:val="30"/>
        </w:rPr>
        <w:fldChar w:fldCharType="end"/>
      </w:r>
      <w:r>
        <w:rPr>
          <w:rFonts w:hint="eastAsia" w:ascii="宋体" w:hAnsi="宋体" w:cs="仿宋"/>
          <w:sz w:val="30"/>
          <w:szCs w:val="30"/>
        </w:rPr>
        <w:fldChar w:fldCharType="end"/>
      </w:r>
    </w:p>
    <w:p>
      <w:pPr>
        <w:pStyle w:val="33"/>
        <w:tabs>
          <w:tab w:val="right" w:leader="dot" w:pos="9532"/>
        </w:tabs>
        <w:spacing w:line="360" w:lineRule="auto"/>
        <w:rPr>
          <w:rFonts w:ascii="宋体" w:hAnsi="宋体" w:cs="仿宋"/>
          <w:sz w:val="30"/>
          <w:szCs w:val="30"/>
        </w:rPr>
      </w:pPr>
      <w:r>
        <w:fldChar w:fldCharType="begin"/>
      </w:r>
      <w:r>
        <w:instrText xml:space="preserve"> HYPERLINK \l "_Toc23238" </w:instrText>
      </w:r>
      <w:r>
        <w:fldChar w:fldCharType="separate"/>
      </w:r>
      <w:r>
        <w:rPr>
          <w:rFonts w:hint="eastAsia" w:ascii="宋体" w:hAnsi="宋体" w:cs="仿宋"/>
          <w:sz w:val="30"/>
          <w:szCs w:val="30"/>
        </w:rPr>
        <w:t>第三章  投标供应商须知</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_Toc23238 </w:instrText>
      </w:r>
      <w:r>
        <w:rPr>
          <w:rFonts w:hint="eastAsia" w:ascii="宋体" w:hAnsi="宋体" w:cs="仿宋"/>
          <w:sz w:val="30"/>
          <w:szCs w:val="30"/>
        </w:rPr>
        <w:fldChar w:fldCharType="separate"/>
      </w:r>
      <w:r>
        <w:rPr>
          <w:rFonts w:hint="eastAsia" w:ascii="宋体" w:hAnsi="宋体" w:cs="仿宋"/>
          <w:sz w:val="30"/>
          <w:szCs w:val="30"/>
        </w:rPr>
        <w:t>9</w:t>
      </w:r>
      <w:r>
        <w:rPr>
          <w:rFonts w:hint="eastAsia" w:ascii="宋体" w:hAnsi="宋体" w:cs="仿宋"/>
          <w:sz w:val="30"/>
          <w:szCs w:val="30"/>
        </w:rPr>
        <w:fldChar w:fldCharType="end"/>
      </w:r>
      <w:r>
        <w:rPr>
          <w:rFonts w:hint="eastAsia" w:ascii="宋体" w:hAnsi="宋体" w:cs="仿宋"/>
          <w:sz w:val="30"/>
          <w:szCs w:val="30"/>
        </w:rPr>
        <w:fldChar w:fldCharType="end"/>
      </w:r>
    </w:p>
    <w:p>
      <w:pPr>
        <w:pStyle w:val="36"/>
        <w:tabs>
          <w:tab w:val="right" w:leader="dot" w:pos="9532"/>
        </w:tabs>
        <w:spacing w:line="360" w:lineRule="auto"/>
        <w:ind w:left="560"/>
        <w:rPr>
          <w:rFonts w:ascii="宋体" w:hAnsi="宋体" w:cs="仿宋"/>
          <w:sz w:val="30"/>
          <w:szCs w:val="30"/>
        </w:rPr>
      </w:pPr>
      <w:r>
        <w:fldChar w:fldCharType="begin"/>
      </w:r>
      <w:r>
        <w:instrText xml:space="preserve"> HYPERLINK \l "_Toc9577" </w:instrText>
      </w:r>
      <w:r>
        <w:fldChar w:fldCharType="separate"/>
      </w:r>
      <w:r>
        <w:rPr>
          <w:rFonts w:hint="eastAsia" w:ascii="宋体" w:hAnsi="宋体" w:cs="仿宋"/>
          <w:sz w:val="30"/>
          <w:szCs w:val="30"/>
        </w:rPr>
        <w:t>一、总则</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_Toc9577 </w:instrText>
      </w:r>
      <w:r>
        <w:rPr>
          <w:rFonts w:hint="eastAsia" w:ascii="宋体" w:hAnsi="宋体" w:cs="仿宋"/>
          <w:sz w:val="30"/>
          <w:szCs w:val="30"/>
        </w:rPr>
        <w:fldChar w:fldCharType="separate"/>
      </w:r>
      <w:r>
        <w:rPr>
          <w:rFonts w:hint="eastAsia" w:ascii="宋体" w:hAnsi="宋体" w:cs="仿宋"/>
          <w:sz w:val="30"/>
          <w:szCs w:val="30"/>
        </w:rPr>
        <w:t>13</w:t>
      </w:r>
      <w:r>
        <w:rPr>
          <w:rFonts w:hint="eastAsia" w:ascii="宋体" w:hAnsi="宋体" w:cs="仿宋"/>
          <w:sz w:val="30"/>
          <w:szCs w:val="30"/>
        </w:rPr>
        <w:fldChar w:fldCharType="end"/>
      </w:r>
      <w:r>
        <w:rPr>
          <w:rFonts w:hint="eastAsia" w:ascii="宋体" w:hAnsi="宋体" w:cs="仿宋"/>
          <w:sz w:val="30"/>
          <w:szCs w:val="30"/>
        </w:rPr>
        <w:fldChar w:fldCharType="end"/>
      </w:r>
    </w:p>
    <w:p>
      <w:pPr>
        <w:pStyle w:val="36"/>
        <w:tabs>
          <w:tab w:val="right" w:leader="dot" w:pos="9532"/>
        </w:tabs>
        <w:spacing w:line="360" w:lineRule="auto"/>
        <w:ind w:left="560"/>
        <w:rPr>
          <w:rFonts w:ascii="宋体" w:hAnsi="宋体" w:cs="仿宋"/>
          <w:sz w:val="30"/>
          <w:szCs w:val="30"/>
        </w:rPr>
      </w:pPr>
      <w:r>
        <w:fldChar w:fldCharType="begin"/>
      </w:r>
      <w:r>
        <w:instrText xml:space="preserve"> HYPERLINK \l "_Toc13309" </w:instrText>
      </w:r>
      <w:r>
        <w:fldChar w:fldCharType="separate"/>
      </w:r>
      <w:r>
        <w:rPr>
          <w:rFonts w:hint="eastAsia" w:ascii="宋体" w:hAnsi="宋体" w:cs="仿宋"/>
          <w:sz w:val="30"/>
          <w:szCs w:val="30"/>
        </w:rPr>
        <w:t>二、招标文件</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_Toc13309 </w:instrText>
      </w:r>
      <w:r>
        <w:rPr>
          <w:rFonts w:hint="eastAsia" w:ascii="宋体" w:hAnsi="宋体" w:cs="仿宋"/>
          <w:sz w:val="30"/>
          <w:szCs w:val="30"/>
        </w:rPr>
        <w:fldChar w:fldCharType="separate"/>
      </w:r>
      <w:r>
        <w:rPr>
          <w:rFonts w:hint="eastAsia" w:ascii="宋体" w:hAnsi="宋体" w:cs="仿宋"/>
          <w:sz w:val="30"/>
          <w:szCs w:val="30"/>
        </w:rPr>
        <w:t>16</w:t>
      </w:r>
      <w:r>
        <w:rPr>
          <w:rFonts w:hint="eastAsia" w:ascii="宋体" w:hAnsi="宋体" w:cs="仿宋"/>
          <w:sz w:val="30"/>
          <w:szCs w:val="30"/>
        </w:rPr>
        <w:fldChar w:fldCharType="end"/>
      </w:r>
      <w:r>
        <w:rPr>
          <w:rFonts w:hint="eastAsia" w:ascii="宋体" w:hAnsi="宋体" w:cs="仿宋"/>
          <w:sz w:val="30"/>
          <w:szCs w:val="30"/>
        </w:rPr>
        <w:fldChar w:fldCharType="end"/>
      </w:r>
    </w:p>
    <w:p>
      <w:pPr>
        <w:pStyle w:val="36"/>
        <w:tabs>
          <w:tab w:val="right" w:leader="dot" w:pos="9532"/>
        </w:tabs>
        <w:spacing w:line="360" w:lineRule="auto"/>
        <w:ind w:left="560"/>
        <w:rPr>
          <w:rFonts w:ascii="宋体" w:hAnsi="宋体" w:cs="仿宋"/>
          <w:sz w:val="30"/>
          <w:szCs w:val="30"/>
        </w:rPr>
      </w:pPr>
      <w:r>
        <w:fldChar w:fldCharType="begin"/>
      </w:r>
      <w:r>
        <w:instrText xml:space="preserve"> HYPERLINK \l "_Toc3451" </w:instrText>
      </w:r>
      <w:r>
        <w:fldChar w:fldCharType="separate"/>
      </w:r>
      <w:r>
        <w:rPr>
          <w:rFonts w:hint="eastAsia" w:ascii="宋体" w:hAnsi="宋体" w:cs="仿宋"/>
          <w:sz w:val="30"/>
          <w:szCs w:val="30"/>
        </w:rPr>
        <w:t>三、投标文件的编制要求</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_Toc3451 </w:instrText>
      </w:r>
      <w:r>
        <w:rPr>
          <w:rFonts w:hint="eastAsia" w:ascii="宋体" w:hAnsi="宋体" w:cs="仿宋"/>
          <w:sz w:val="30"/>
          <w:szCs w:val="30"/>
        </w:rPr>
        <w:fldChar w:fldCharType="separate"/>
      </w:r>
      <w:r>
        <w:rPr>
          <w:rFonts w:hint="eastAsia" w:ascii="宋体" w:hAnsi="宋体" w:cs="仿宋"/>
          <w:sz w:val="30"/>
          <w:szCs w:val="30"/>
        </w:rPr>
        <w:t>17</w:t>
      </w:r>
      <w:r>
        <w:rPr>
          <w:rFonts w:hint="eastAsia" w:ascii="宋体" w:hAnsi="宋体" w:cs="仿宋"/>
          <w:sz w:val="30"/>
          <w:szCs w:val="30"/>
        </w:rPr>
        <w:fldChar w:fldCharType="end"/>
      </w:r>
      <w:r>
        <w:rPr>
          <w:rFonts w:hint="eastAsia" w:ascii="宋体" w:hAnsi="宋体" w:cs="仿宋"/>
          <w:sz w:val="30"/>
          <w:szCs w:val="30"/>
        </w:rPr>
        <w:fldChar w:fldCharType="end"/>
      </w:r>
    </w:p>
    <w:p>
      <w:pPr>
        <w:pStyle w:val="36"/>
        <w:tabs>
          <w:tab w:val="right" w:leader="dot" w:pos="9532"/>
        </w:tabs>
        <w:spacing w:line="360" w:lineRule="auto"/>
        <w:ind w:left="560"/>
        <w:rPr>
          <w:rFonts w:ascii="宋体" w:hAnsi="宋体" w:cs="仿宋"/>
          <w:sz w:val="30"/>
          <w:szCs w:val="30"/>
        </w:rPr>
      </w:pPr>
      <w:r>
        <w:fldChar w:fldCharType="begin"/>
      </w:r>
      <w:r>
        <w:instrText xml:space="preserve"> HYPERLINK \l "_Toc16193" </w:instrText>
      </w:r>
      <w:r>
        <w:fldChar w:fldCharType="separate"/>
      </w:r>
      <w:r>
        <w:rPr>
          <w:rFonts w:hint="eastAsia" w:ascii="宋体" w:hAnsi="宋体" w:cs="仿宋"/>
          <w:sz w:val="30"/>
          <w:szCs w:val="30"/>
        </w:rPr>
        <w:t>四、开标</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_Toc16193 </w:instrText>
      </w:r>
      <w:r>
        <w:rPr>
          <w:rFonts w:hint="eastAsia" w:ascii="宋体" w:hAnsi="宋体" w:cs="仿宋"/>
          <w:sz w:val="30"/>
          <w:szCs w:val="30"/>
        </w:rPr>
        <w:fldChar w:fldCharType="separate"/>
      </w:r>
      <w:r>
        <w:rPr>
          <w:rFonts w:hint="eastAsia" w:ascii="宋体" w:hAnsi="宋体" w:cs="仿宋"/>
          <w:sz w:val="30"/>
          <w:szCs w:val="30"/>
        </w:rPr>
        <w:t>21</w:t>
      </w:r>
      <w:r>
        <w:rPr>
          <w:rFonts w:hint="eastAsia" w:ascii="宋体" w:hAnsi="宋体" w:cs="仿宋"/>
          <w:sz w:val="30"/>
          <w:szCs w:val="30"/>
        </w:rPr>
        <w:fldChar w:fldCharType="end"/>
      </w:r>
      <w:r>
        <w:rPr>
          <w:rFonts w:hint="eastAsia" w:ascii="宋体" w:hAnsi="宋体" w:cs="仿宋"/>
          <w:sz w:val="30"/>
          <w:szCs w:val="30"/>
        </w:rPr>
        <w:fldChar w:fldCharType="end"/>
      </w:r>
    </w:p>
    <w:p>
      <w:pPr>
        <w:pStyle w:val="36"/>
        <w:tabs>
          <w:tab w:val="right" w:leader="dot" w:pos="9532"/>
        </w:tabs>
        <w:spacing w:line="360" w:lineRule="auto"/>
        <w:ind w:left="560"/>
        <w:rPr>
          <w:rFonts w:ascii="宋体" w:hAnsi="宋体" w:cs="仿宋"/>
          <w:sz w:val="30"/>
          <w:szCs w:val="30"/>
        </w:rPr>
      </w:pPr>
      <w:r>
        <w:fldChar w:fldCharType="begin"/>
      </w:r>
      <w:r>
        <w:instrText xml:space="preserve"> HYPERLINK \l "_Toc17761" </w:instrText>
      </w:r>
      <w:r>
        <w:fldChar w:fldCharType="separate"/>
      </w:r>
      <w:r>
        <w:rPr>
          <w:rFonts w:hint="eastAsia" w:ascii="宋体" w:hAnsi="宋体" w:cs="仿宋"/>
          <w:sz w:val="30"/>
          <w:szCs w:val="30"/>
        </w:rPr>
        <w:t>五、评标</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_Toc17761 </w:instrText>
      </w:r>
      <w:r>
        <w:rPr>
          <w:rFonts w:hint="eastAsia" w:ascii="宋体" w:hAnsi="宋体" w:cs="仿宋"/>
          <w:sz w:val="30"/>
          <w:szCs w:val="30"/>
        </w:rPr>
        <w:fldChar w:fldCharType="separate"/>
      </w:r>
      <w:r>
        <w:rPr>
          <w:rFonts w:hint="eastAsia" w:ascii="宋体" w:hAnsi="宋体" w:cs="仿宋"/>
          <w:sz w:val="30"/>
          <w:szCs w:val="30"/>
        </w:rPr>
        <w:t>22</w:t>
      </w:r>
      <w:r>
        <w:rPr>
          <w:rFonts w:hint="eastAsia" w:ascii="宋体" w:hAnsi="宋体" w:cs="仿宋"/>
          <w:sz w:val="30"/>
          <w:szCs w:val="30"/>
        </w:rPr>
        <w:fldChar w:fldCharType="end"/>
      </w:r>
      <w:r>
        <w:rPr>
          <w:rFonts w:hint="eastAsia" w:ascii="宋体" w:hAnsi="宋体" w:cs="仿宋"/>
          <w:sz w:val="30"/>
          <w:szCs w:val="30"/>
        </w:rPr>
        <w:fldChar w:fldCharType="end"/>
      </w:r>
    </w:p>
    <w:p>
      <w:pPr>
        <w:pStyle w:val="36"/>
        <w:tabs>
          <w:tab w:val="right" w:leader="dot" w:pos="9532"/>
        </w:tabs>
        <w:spacing w:line="360" w:lineRule="auto"/>
        <w:ind w:left="560"/>
        <w:rPr>
          <w:rFonts w:ascii="宋体" w:hAnsi="宋体" w:cs="仿宋"/>
          <w:sz w:val="30"/>
          <w:szCs w:val="30"/>
        </w:rPr>
      </w:pPr>
      <w:r>
        <w:fldChar w:fldCharType="begin"/>
      </w:r>
      <w:r>
        <w:instrText xml:space="preserve"> HYPERLINK \l "_Toc7711" </w:instrText>
      </w:r>
      <w:r>
        <w:fldChar w:fldCharType="separate"/>
      </w:r>
      <w:r>
        <w:rPr>
          <w:rFonts w:hint="eastAsia" w:ascii="宋体" w:hAnsi="宋体" w:cs="仿宋"/>
          <w:sz w:val="30"/>
          <w:szCs w:val="30"/>
        </w:rPr>
        <w:t>六、定标</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_Toc7711 </w:instrText>
      </w:r>
      <w:r>
        <w:rPr>
          <w:rFonts w:hint="eastAsia" w:ascii="宋体" w:hAnsi="宋体" w:cs="仿宋"/>
          <w:sz w:val="30"/>
          <w:szCs w:val="30"/>
        </w:rPr>
        <w:fldChar w:fldCharType="separate"/>
      </w:r>
      <w:r>
        <w:rPr>
          <w:rFonts w:hint="eastAsia" w:ascii="宋体" w:hAnsi="宋体" w:cs="仿宋"/>
          <w:sz w:val="30"/>
          <w:szCs w:val="30"/>
        </w:rPr>
        <w:t>27</w:t>
      </w:r>
      <w:r>
        <w:rPr>
          <w:rFonts w:hint="eastAsia" w:ascii="宋体" w:hAnsi="宋体" w:cs="仿宋"/>
          <w:sz w:val="30"/>
          <w:szCs w:val="30"/>
        </w:rPr>
        <w:fldChar w:fldCharType="end"/>
      </w:r>
      <w:r>
        <w:rPr>
          <w:rFonts w:hint="eastAsia" w:ascii="宋体" w:hAnsi="宋体" w:cs="仿宋"/>
          <w:sz w:val="30"/>
          <w:szCs w:val="30"/>
        </w:rPr>
        <w:fldChar w:fldCharType="end"/>
      </w:r>
    </w:p>
    <w:p>
      <w:pPr>
        <w:pStyle w:val="36"/>
        <w:tabs>
          <w:tab w:val="right" w:leader="dot" w:pos="9532"/>
        </w:tabs>
        <w:spacing w:line="360" w:lineRule="auto"/>
        <w:ind w:left="560"/>
        <w:rPr>
          <w:rFonts w:ascii="宋体" w:hAnsi="宋体" w:cs="仿宋"/>
          <w:sz w:val="30"/>
          <w:szCs w:val="30"/>
        </w:rPr>
      </w:pPr>
      <w:r>
        <w:fldChar w:fldCharType="begin"/>
      </w:r>
      <w:r>
        <w:instrText xml:space="preserve"> HYPERLINK \l "_Toc23098" </w:instrText>
      </w:r>
      <w:r>
        <w:fldChar w:fldCharType="separate"/>
      </w:r>
      <w:r>
        <w:rPr>
          <w:rFonts w:hint="eastAsia" w:ascii="宋体" w:hAnsi="宋体" w:cs="仿宋"/>
          <w:sz w:val="30"/>
          <w:szCs w:val="30"/>
        </w:rPr>
        <w:t>七、合同授予</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_Toc23098 </w:instrText>
      </w:r>
      <w:r>
        <w:rPr>
          <w:rFonts w:hint="eastAsia" w:ascii="宋体" w:hAnsi="宋体" w:cs="仿宋"/>
          <w:sz w:val="30"/>
          <w:szCs w:val="30"/>
        </w:rPr>
        <w:fldChar w:fldCharType="separate"/>
      </w:r>
      <w:r>
        <w:rPr>
          <w:rFonts w:hint="eastAsia" w:ascii="宋体" w:hAnsi="宋体" w:cs="仿宋"/>
          <w:sz w:val="30"/>
          <w:szCs w:val="30"/>
        </w:rPr>
        <w:t>28</w:t>
      </w:r>
      <w:r>
        <w:rPr>
          <w:rFonts w:hint="eastAsia" w:ascii="宋体" w:hAnsi="宋体" w:cs="仿宋"/>
          <w:sz w:val="30"/>
          <w:szCs w:val="30"/>
        </w:rPr>
        <w:fldChar w:fldCharType="end"/>
      </w:r>
      <w:r>
        <w:rPr>
          <w:rFonts w:hint="eastAsia" w:ascii="宋体" w:hAnsi="宋体" w:cs="仿宋"/>
          <w:sz w:val="30"/>
          <w:szCs w:val="30"/>
        </w:rPr>
        <w:fldChar w:fldCharType="end"/>
      </w:r>
    </w:p>
    <w:p>
      <w:pPr>
        <w:pStyle w:val="33"/>
        <w:tabs>
          <w:tab w:val="right" w:leader="dot" w:pos="9532"/>
        </w:tabs>
        <w:spacing w:line="360" w:lineRule="auto"/>
        <w:rPr>
          <w:rFonts w:ascii="宋体" w:hAnsi="宋体" w:cs="仿宋"/>
          <w:sz w:val="30"/>
          <w:szCs w:val="30"/>
        </w:rPr>
      </w:pPr>
      <w:r>
        <w:fldChar w:fldCharType="begin"/>
      </w:r>
      <w:r>
        <w:instrText xml:space="preserve"> HYPERLINK \l "_Toc31705" </w:instrText>
      </w:r>
      <w:r>
        <w:fldChar w:fldCharType="separate"/>
      </w:r>
      <w:r>
        <w:rPr>
          <w:rFonts w:hint="eastAsia" w:ascii="宋体" w:hAnsi="宋体" w:cs="仿宋"/>
          <w:sz w:val="30"/>
          <w:szCs w:val="30"/>
        </w:rPr>
        <w:t>第四章  评标办法及评分标准</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_Toc31705 </w:instrText>
      </w:r>
      <w:r>
        <w:rPr>
          <w:rFonts w:hint="eastAsia" w:ascii="宋体" w:hAnsi="宋体" w:cs="仿宋"/>
          <w:sz w:val="30"/>
          <w:szCs w:val="30"/>
        </w:rPr>
        <w:fldChar w:fldCharType="separate"/>
      </w:r>
      <w:r>
        <w:rPr>
          <w:rFonts w:hint="eastAsia" w:ascii="宋体" w:hAnsi="宋体" w:cs="仿宋"/>
          <w:sz w:val="30"/>
          <w:szCs w:val="30"/>
        </w:rPr>
        <w:t>29</w:t>
      </w:r>
      <w:r>
        <w:rPr>
          <w:rFonts w:hint="eastAsia" w:ascii="宋体" w:hAnsi="宋体" w:cs="仿宋"/>
          <w:sz w:val="30"/>
          <w:szCs w:val="30"/>
        </w:rPr>
        <w:fldChar w:fldCharType="end"/>
      </w:r>
      <w:r>
        <w:rPr>
          <w:rFonts w:hint="eastAsia" w:ascii="宋体" w:hAnsi="宋体" w:cs="仿宋"/>
          <w:sz w:val="30"/>
          <w:szCs w:val="30"/>
        </w:rPr>
        <w:fldChar w:fldCharType="end"/>
      </w:r>
    </w:p>
    <w:p>
      <w:pPr>
        <w:pStyle w:val="33"/>
        <w:tabs>
          <w:tab w:val="right" w:leader="dot" w:pos="9532"/>
        </w:tabs>
        <w:spacing w:line="360" w:lineRule="auto"/>
        <w:rPr>
          <w:rFonts w:ascii="宋体" w:hAnsi="宋体" w:cs="仿宋"/>
          <w:sz w:val="30"/>
          <w:szCs w:val="30"/>
        </w:rPr>
      </w:pPr>
      <w:r>
        <w:fldChar w:fldCharType="begin"/>
      </w:r>
      <w:r>
        <w:instrText xml:space="preserve"> HYPERLINK \l "_Toc16549" </w:instrText>
      </w:r>
      <w:r>
        <w:fldChar w:fldCharType="separate"/>
      </w:r>
      <w:r>
        <w:rPr>
          <w:rFonts w:hint="eastAsia" w:ascii="宋体" w:hAnsi="宋体" w:cs="仿宋"/>
          <w:sz w:val="30"/>
          <w:szCs w:val="30"/>
        </w:rPr>
        <w:t>第五章  合同主要条款</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_Toc16549 </w:instrText>
      </w:r>
      <w:r>
        <w:rPr>
          <w:rFonts w:hint="eastAsia" w:ascii="宋体" w:hAnsi="宋体" w:cs="仿宋"/>
          <w:sz w:val="30"/>
          <w:szCs w:val="30"/>
        </w:rPr>
        <w:fldChar w:fldCharType="separate"/>
      </w:r>
      <w:r>
        <w:rPr>
          <w:rFonts w:hint="eastAsia" w:ascii="宋体" w:hAnsi="宋体" w:cs="仿宋"/>
          <w:sz w:val="30"/>
          <w:szCs w:val="30"/>
        </w:rPr>
        <w:t>30</w:t>
      </w:r>
      <w:r>
        <w:rPr>
          <w:rFonts w:hint="eastAsia" w:ascii="宋体" w:hAnsi="宋体" w:cs="仿宋"/>
          <w:sz w:val="30"/>
          <w:szCs w:val="30"/>
        </w:rPr>
        <w:fldChar w:fldCharType="end"/>
      </w:r>
      <w:r>
        <w:rPr>
          <w:rFonts w:hint="eastAsia" w:ascii="宋体" w:hAnsi="宋体" w:cs="仿宋"/>
          <w:sz w:val="30"/>
          <w:szCs w:val="30"/>
        </w:rPr>
        <w:fldChar w:fldCharType="end"/>
      </w:r>
    </w:p>
    <w:p>
      <w:pPr>
        <w:pStyle w:val="33"/>
        <w:tabs>
          <w:tab w:val="right" w:leader="dot" w:pos="9532"/>
        </w:tabs>
        <w:spacing w:line="360" w:lineRule="auto"/>
        <w:rPr>
          <w:rFonts w:ascii="宋体" w:hAnsi="宋体" w:cs="仿宋"/>
          <w:sz w:val="30"/>
          <w:szCs w:val="30"/>
        </w:rPr>
      </w:pPr>
      <w:r>
        <w:fldChar w:fldCharType="begin"/>
      </w:r>
      <w:r>
        <w:instrText xml:space="preserve"> HYPERLINK \l "_Toc11931" </w:instrText>
      </w:r>
      <w:r>
        <w:fldChar w:fldCharType="separate"/>
      </w:r>
      <w:r>
        <w:rPr>
          <w:rFonts w:hint="eastAsia" w:ascii="宋体" w:hAnsi="宋体" w:cs="仿宋"/>
          <w:sz w:val="30"/>
          <w:szCs w:val="30"/>
        </w:rPr>
        <w:t>第六章  投标文件格式</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_Toc11931 </w:instrText>
      </w:r>
      <w:r>
        <w:rPr>
          <w:rFonts w:hint="eastAsia" w:ascii="宋体" w:hAnsi="宋体" w:cs="仿宋"/>
          <w:sz w:val="30"/>
          <w:szCs w:val="30"/>
        </w:rPr>
        <w:fldChar w:fldCharType="separate"/>
      </w:r>
      <w:r>
        <w:rPr>
          <w:rFonts w:hint="eastAsia" w:ascii="宋体" w:hAnsi="宋体" w:cs="仿宋"/>
          <w:sz w:val="30"/>
          <w:szCs w:val="30"/>
        </w:rPr>
        <w:t>36</w:t>
      </w:r>
      <w:r>
        <w:rPr>
          <w:rFonts w:hint="eastAsia" w:ascii="宋体" w:hAnsi="宋体" w:cs="仿宋"/>
          <w:sz w:val="30"/>
          <w:szCs w:val="30"/>
        </w:rPr>
        <w:fldChar w:fldCharType="end"/>
      </w:r>
      <w:r>
        <w:rPr>
          <w:rFonts w:hint="eastAsia" w:ascii="宋体" w:hAnsi="宋体" w:cs="仿宋"/>
          <w:sz w:val="30"/>
          <w:szCs w:val="30"/>
        </w:rPr>
        <w:fldChar w:fldCharType="end"/>
      </w:r>
    </w:p>
    <w:p>
      <w:pPr>
        <w:adjustRightInd w:val="0"/>
        <w:snapToGrid w:val="0"/>
        <w:spacing w:line="360" w:lineRule="auto"/>
        <w:ind w:firstLine="600"/>
        <w:rPr>
          <w:rFonts w:ascii="宋体" w:hAnsi="宋体" w:cs="仿宋"/>
          <w:sz w:val="30"/>
          <w:szCs w:val="30"/>
        </w:rPr>
      </w:pPr>
      <w:r>
        <w:rPr>
          <w:rFonts w:hint="eastAsia" w:ascii="宋体" w:hAnsi="宋体" w:cs="仿宋"/>
          <w:sz w:val="30"/>
          <w:szCs w:val="30"/>
        </w:rPr>
        <w:fldChar w:fldCharType="end"/>
      </w:r>
    </w:p>
    <w:p>
      <w:pPr>
        <w:adjustRightInd w:val="0"/>
        <w:snapToGrid w:val="0"/>
        <w:spacing w:line="360" w:lineRule="auto"/>
        <w:ind w:firstLine="600"/>
        <w:rPr>
          <w:rFonts w:ascii="宋体" w:hAnsi="宋体" w:cs="仿宋"/>
          <w:sz w:val="30"/>
          <w:szCs w:val="30"/>
        </w:rPr>
      </w:pPr>
    </w:p>
    <w:p>
      <w:pPr>
        <w:adjustRightInd w:val="0"/>
        <w:snapToGrid w:val="0"/>
        <w:spacing w:line="360" w:lineRule="auto"/>
        <w:ind w:firstLine="600"/>
        <w:rPr>
          <w:rFonts w:ascii="宋体" w:hAnsi="宋体" w:cs="仿宋"/>
          <w:sz w:val="30"/>
          <w:szCs w:val="30"/>
        </w:rPr>
      </w:pPr>
    </w:p>
    <w:p>
      <w:pPr>
        <w:adjustRightInd w:val="0"/>
        <w:snapToGrid w:val="0"/>
        <w:spacing w:line="360" w:lineRule="auto"/>
        <w:ind w:firstLine="600"/>
        <w:rPr>
          <w:rFonts w:ascii="宋体" w:hAnsi="宋体" w:cs="仿宋"/>
          <w:sz w:val="30"/>
          <w:szCs w:val="30"/>
        </w:rPr>
      </w:pPr>
    </w:p>
    <w:p>
      <w:pPr>
        <w:adjustRightInd w:val="0"/>
        <w:snapToGrid w:val="0"/>
        <w:spacing w:line="360" w:lineRule="auto"/>
        <w:ind w:firstLine="600"/>
        <w:rPr>
          <w:rFonts w:ascii="宋体" w:hAnsi="宋体" w:cs="仿宋"/>
          <w:sz w:val="30"/>
          <w:szCs w:val="30"/>
        </w:rPr>
      </w:pPr>
    </w:p>
    <w:p>
      <w:pPr>
        <w:adjustRightInd w:val="0"/>
        <w:snapToGrid w:val="0"/>
        <w:spacing w:line="360" w:lineRule="auto"/>
        <w:ind w:firstLine="600"/>
        <w:rPr>
          <w:rFonts w:ascii="宋体" w:hAnsi="宋体" w:cs="仿宋"/>
          <w:sz w:val="30"/>
          <w:szCs w:val="30"/>
        </w:rPr>
      </w:pPr>
    </w:p>
    <w:p>
      <w:pPr>
        <w:pStyle w:val="3"/>
        <w:bidi w:val="0"/>
        <w:rPr>
          <w:rFonts w:ascii="宋体" w:hAnsi="宋体" w:cs="仿宋"/>
          <w:b/>
          <w:sz w:val="44"/>
          <w:szCs w:val="44"/>
        </w:rPr>
      </w:pPr>
      <w:r>
        <w:rPr>
          <w:rFonts w:hint="eastAsia" w:ascii="宋体" w:hAnsi="宋体" w:cs="仿宋"/>
          <w:b/>
          <w:sz w:val="44"/>
          <w:szCs w:val="44"/>
        </w:rPr>
        <w:br w:type="page"/>
      </w:r>
      <w:bookmarkStart w:id="1" w:name="_Toc28990"/>
      <w:r>
        <w:rPr>
          <w:rFonts w:hint="eastAsia" w:ascii="宋体" w:hAnsi="宋体" w:eastAsia="宋体" w:cs="宋体"/>
          <w:b/>
          <w:sz w:val="44"/>
          <w:szCs w:val="44"/>
        </w:rPr>
        <w:t>第一章 公开招标采购公告</w:t>
      </w:r>
      <w:bookmarkEnd w:id="1"/>
    </w:p>
    <w:p>
      <w:pPr>
        <w:pStyle w:val="29"/>
        <w:keepNext w:val="0"/>
        <w:keepLines w:val="0"/>
        <w:pageBreakBefore w:val="0"/>
        <w:kinsoku/>
        <w:overflowPunct/>
        <w:topLinePunct w:val="0"/>
        <w:autoSpaceDE/>
        <w:autoSpaceDN/>
        <w:bidi w:val="0"/>
        <w:adjustRightInd w:val="0"/>
        <w:snapToGrid w:val="0"/>
        <w:spacing w:line="500" w:lineRule="exact"/>
        <w:ind w:firstLine="480"/>
        <w:textAlignment w:val="auto"/>
        <w:rPr>
          <w:rFonts w:cs="宋体"/>
          <w:sz w:val="24"/>
          <w:szCs w:val="24"/>
        </w:rPr>
      </w:pPr>
      <w:r>
        <w:rPr>
          <w:rFonts w:hint="eastAsia" w:cs="宋体"/>
          <w:sz w:val="24"/>
          <w:szCs w:val="24"/>
        </w:rPr>
        <w:t>根据《中华人民共和国政府采购法》等规定，经</w:t>
      </w:r>
      <w:r>
        <w:rPr>
          <w:rFonts w:hint="eastAsia" w:cs="宋体"/>
          <w:kern w:val="0"/>
          <w:sz w:val="24"/>
          <w:u w:val="single"/>
        </w:rPr>
        <w:t>湖州市吴兴区财政局</w:t>
      </w:r>
      <w:r>
        <w:rPr>
          <w:rFonts w:hint="eastAsia" w:cs="宋体"/>
          <w:sz w:val="24"/>
          <w:szCs w:val="24"/>
        </w:rPr>
        <w:t>批准（财政审批编号</w:t>
      </w:r>
      <w:r>
        <w:rPr>
          <w:rFonts w:hint="eastAsia" w:cs="宋体"/>
          <w:color w:val="auto"/>
          <w:sz w:val="24"/>
          <w:szCs w:val="24"/>
        </w:rPr>
        <w:t>:临[202</w:t>
      </w:r>
      <w:r>
        <w:rPr>
          <w:rFonts w:hint="eastAsia" w:cs="宋体"/>
          <w:color w:val="auto"/>
          <w:sz w:val="24"/>
          <w:szCs w:val="24"/>
          <w:lang w:val="en-US" w:eastAsia="zh-CN"/>
        </w:rPr>
        <w:t>1</w:t>
      </w:r>
      <w:r>
        <w:rPr>
          <w:rFonts w:hint="eastAsia" w:cs="宋体"/>
          <w:color w:val="auto"/>
          <w:sz w:val="24"/>
          <w:szCs w:val="24"/>
        </w:rPr>
        <w:t>]</w:t>
      </w:r>
      <w:r>
        <w:rPr>
          <w:rFonts w:hint="eastAsia" w:cs="宋体"/>
          <w:color w:val="auto"/>
          <w:sz w:val="24"/>
          <w:szCs w:val="24"/>
          <w:lang w:val="en-US" w:eastAsia="zh-CN"/>
        </w:rPr>
        <w:t>624</w:t>
      </w:r>
      <w:r>
        <w:rPr>
          <w:rFonts w:hint="eastAsia" w:cs="宋体"/>
          <w:sz w:val="24"/>
          <w:szCs w:val="24"/>
        </w:rPr>
        <w:t>号），</w:t>
      </w:r>
      <w:r>
        <w:rPr>
          <w:rFonts w:hint="eastAsia" w:cs="宋体"/>
          <w:sz w:val="24"/>
          <w:szCs w:val="24"/>
          <w:u w:val="single"/>
          <w:lang w:eastAsia="zh-CN"/>
        </w:rPr>
        <w:t>宁波建信工程造价咨询事务所有限公司</w:t>
      </w:r>
      <w:r>
        <w:rPr>
          <w:rFonts w:hint="eastAsia" w:cs="宋体"/>
          <w:sz w:val="24"/>
          <w:szCs w:val="24"/>
        </w:rPr>
        <w:t>受</w:t>
      </w:r>
      <w:r>
        <w:rPr>
          <w:rFonts w:hint="eastAsia" w:cs="宋体"/>
          <w:sz w:val="24"/>
          <w:szCs w:val="24"/>
          <w:u w:val="single"/>
          <w:lang w:eastAsia="zh-CN"/>
        </w:rPr>
        <w:t>湖州市吴兴区织里镇公共事业服务中心</w:t>
      </w:r>
      <w:r>
        <w:rPr>
          <w:rFonts w:hint="eastAsia" w:cs="宋体"/>
          <w:sz w:val="24"/>
          <w:szCs w:val="24"/>
        </w:rPr>
        <w:t>委托，现就</w:t>
      </w:r>
      <w:r>
        <w:rPr>
          <w:rFonts w:hint="eastAsia" w:cs="宋体"/>
          <w:kern w:val="0"/>
          <w:sz w:val="24"/>
          <w:u w:val="single"/>
          <w:lang w:eastAsia="zh-CN"/>
        </w:rPr>
        <w:t>湖州市吴兴区织里镇街区立面整治服务采购项目</w:t>
      </w:r>
      <w:r>
        <w:rPr>
          <w:rFonts w:hint="eastAsia" w:cs="宋体"/>
          <w:sz w:val="24"/>
          <w:szCs w:val="24"/>
        </w:rPr>
        <w:t>进行公开招标采购，欢迎中华人民共和国境内的合格投标供应商前来参加投标。</w:t>
      </w:r>
    </w:p>
    <w:p>
      <w:pPr>
        <w:pStyle w:val="29"/>
        <w:keepNext w:val="0"/>
        <w:keepLines w:val="0"/>
        <w:pageBreakBefore w:val="0"/>
        <w:kinsoku/>
        <w:overflowPunct/>
        <w:topLinePunct w:val="0"/>
        <w:autoSpaceDE/>
        <w:autoSpaceDN/>
        <w:bidi w:val="0"/>
        <w:adjustRightInd w:val="0"/>
        <w:snapToGrid w:val="0"/>
        <w:spacing w:line="500" w:lineRule="exact"/>
        <w:ind w:firstLine="482"/>
        <w:textAlignment w:val="auto"/>
        <w:outlineLvl w:val="1"/>
        <w:rPr>
          <w:rFonts w:hint="default" w:eastAsia="宋体" w:cs="宋体"/>
          <w:sz w:val="24"/>
          <w:szCs w:val="24"/>
          <w:lang w:val="en-US" w:eastAsia="zh-CN"/>
        </w:rPr>
      </w:pPr>
      <w:bookmarkStart w:id="2" w:name="_Toc7519"/>
      <w:r>
        <w:rPr>
          <w:rFonts w:hint="eastAsia" w:cs="宋体"/>
          <w:b/>
          <w:sz w:val="24"/>
          <w:szCs w:val="24"/>
        </w:rPr>
        <w:t>一、项目编号：</w:t>
      </w:r>
      <w:bookmarkEnd w:id="2"/>
      <w:r>
        <w:rPr>
          <w:rFonts w:hint="eastAsia" w:cs="宋体"/>
          <w:sz w:val="24"/>
          <w:szCs w:val="24"/>
          <w:lang w:val="en-US" w:eastAsia="zh-CN"/>
        </w:rPr>
        <w:t xml:space="preserve">NBJX2021001  </w:t>
      </w:r>
    </w:p>
    <w:p>
      <w:pPr>
        <w:pStyle w:val="29"/>
        <w:keepNext w:val="0"/>
        <w:keepLines w:val="0"/>
        <w:pageBreakBefore w:val="0"/>
        <w:kinsoku/>
        <w:overflowPunct/>
        <w:topLinePunct w:val="0"/>
        <w:autoSpaceDE/>
        <w:autoSpaceDN/>
        <w:bidi w:val="0"/>
        <w:adjustRightInd w:val="0"/>
        <w:snapToGrid w:val="0"/>
        <w:spacing w:line="500" w:lineRule="exact"/>
        <w:ind w:firstLine="482"/>
        <w:textAlignment w:val="auto"/>
        <w:outlineLvl w:val="1"/>
        <w:rPr>
          <w:rFonts w:cs="宋体"/>
          <w:sz w:val="24"/>
          <w:szCs w:val="24"/>
        </w:rPr>
      </w:pPr>
      <w:bookmarkStart w:id="3" w:name="_Toc3936"/>
      <w:r>
        <w:rPr>
          <w:rFonts w:hint="eastAsia" w:cs="宋体"/>
          <w:b/>
          <w:sz w:val="24"/>
          <w:szCs w:val="24"/>
        </w:rPr>
        <w:t>二、项目组织类型：</w:t>
      </w:r>
      <w:r>
        <w:rPr>
          <w:rFonts w:hint="eastAsia" w:cs="宋体"/>
          <w:sz w:val="24"/>
          <w:szCs w:val="24"/>
        </w:rPr>
        <w:t>分散采购-委托代理</w:t>
      </w:r>
      <w:bookmarkEnd w:id="3"/>
    </w:p>
    <w:p>
      <w:pPr>
        <w:pStyle w:val="29"/>
        <w:keepNext w:val="0"/>
        <w:keepLines w:val="0"/>
        <w:pageBreakBefore w:val="0"/>
        <w:kinsoku/>
        <w:overflowPunct/>
        <w:topLinePunct w:val="0"/>
        <w:autoSpaceDE/>
        <w:autoSpaceDN/>
        <w:bidi w:val="0"/>
        <w:adjustRightInd w:val="0"/>
        <w:snapToGrid w:val="0"/>
        <w:spacing w:line="500" w:lineRule="exact"/>
        <w:ind w:firstLine="482"/>
        <w:textAlignment w:val="auto"/>
        <w:outlineLvl w:val="1"/>
        <w:rPr>
          <w:rFonts w:cs="宋体"/>
          <w:sz w:val="24"/>
          <w:szCs w:val="24"/>
        </w:rPr>
      </w:pPr>
      <w:bookmarkStart w:id="4" w:name="_Toc20830"/>
      <w:r>
        <w:rPr>
          <w:rFonts w:hint="eastAsia" w:cs="宋体"/>
          <w:b/>
          <w:sz w:val="24"/>
          <w:szCs w:val="24"/>
        </w:rPr>
        <w:t>三、招标方式：</w:t>
      </w:r>
      <w:r>
        <w:rPr>
          <w:rFonts w:hint="eastAsia" w:cs="宋体"/>
          <w:sz w:val="24"/>
          <w:szCs w:val="24"/>
        </w:rPr>
        <w:t>公开招标</w:t>
      </w:r>
      <w:bookmarkEnd w:id="4"/>
    </w:p>
    <w:p>
      <w:pPr>
        <w:pStyle w:val="29"/>
        <w:keepNext w:val="0"/>
        <w:keepLines w:val="0"/>
        <w:pageBreakBefore w:val="0"/>
        <w:kinsoku/>
        <w:overflowPunct/>
        <w:topLinePunct w:val="0"/>
        <w:autoSpaceDE/>
        <w:autoSpaceDN/>
        <w:bidi w:val="0"/>
        <w:adjustRightInd w:val="0"/>
        <w:snapToGrid w:val="0"/>
        <w:spacing w:line="500" w:lineRule="exact"/>
        <w:ind w:firstLine="482"/>
        <w:textAlignment w:val="auto"/>
        <w:outlineLvl w:val="1"/>
        <w:rPr>
          <w:rFonts w:hint="eastAsia" w:cs="宋体"/>
          <w:b/>
          <w:sz w:val="24"/>
          <w:szCs w:val="24"/>
        </w:rPr>
      </w:pPr>
      <w:bookmarkStart w:id="5" w:name="_Toc4561"/>
      <w:r>
        <w:rPr>
          <w:rFonts w:hint="eastAsia" w:cs="宋体"/>
          <w:b/>
          <w:sz w:val="24"/>
          <w:szCs w:val="24"/>
        </w:rPr>
        <w:t>四、采购内容及预算：</w:t>
      </w:r>
      <w:bookmarkEnd w:id="5"/>
    </w:p>
    <w:tbl>
      <w:tblPr>
        <w:tblStyle w:val="40"/>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4962"/>
        <w:gridCol w:w="1941"/>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095" w:type="dxa"/>
            <w:noWrap w:val="0"/>
            <w:vAlign w:val="center"/>
          </w:tcPr>
          <w:p>
            <w:pPr>
              <w:pStyle w:val="27"/>
              <w:keepNext w:val="0"/>
              <w:keepLines w:val="0"/>
              <w:pageBreakBefore w:val="0"/>
              <w:kinsoku/>
              <w:overflowPunct/>
              <w:topLinePunct w:val="0"/>
              <w:autoSpaceDE/>
              <w:autoSpaceDN/>
              <w:bidi w:val="0"/>
              <w:spacing w:line="500" w:lineRule="exact"/>
              <w:jc w:val="center"/>
              <w:textAlignment w:val="auto"/>
              <w:rPr>
                <w:rFonts w:hAnsi="宋体" w:cs="宋体"/>
                <w:color w:val="000000"/>
                <w:sz w:val="24"/>
                <w:szCs w:val="24"/>
              </w:rPr>
            </w:pPr>
            <w:bookmarkStart w:id="6" w:name="_Toc4575"/>
            <w:r>
              <w:rPr>
                <w:rFonts w:hint="eastAsia" w:hAnsi="宋体" w:cs="宋体"/>
                <w:color w:val="000000"/>
                <w:sz w:val="24"/>
                <w:szCs w:val="24"/>
              </w:rPr>
              <w:t>序号</w:t>
            </w:r>
          </w:p>
        </w:tc>
        <w:tc>
          <w:tcPr>
            <w:tcW w:w="4962" w:type="dxa"/>
            <w:noWrap w:val="0"/>
            <w:vAlign w:val="center"/>
          </w:tcPr>
          <w:p>
            <w:pPr>
              <w:pStyle w:val="27"/>
              <w:keepNext w:val="0"/>
              <w:keepLines w:val="0"/>
              <w:pageBreakBefore w:val="0"/>
              <w:kinsoku/>
              <w:overflowPunct/>
              <w:topLinePunct w:val="0"/>
              <w:autoSpaceDE/>
              <w:autoSpaceDN/>
              <w:bidi w:val="0"/>
              <w:spacing w:line="500" w:lineRule="exact"/>
              <w:jc w:val="center"/>
              <w:textAlignment w:val="auto"/>
              <w:rPr>
                <w:rFonts w:hAnsi="宋体" w:cs="宋体"/>
                <w:color w:val="000000"/>
                <w:sz w:val="24"/>
                <w:szCs w:val="24"/>
              </w:rPr>
            </w:pPr>
            <w:r>
              <w:rPr>
                <w:rFonts w:hint="eastAsia" w:hAnsi="宋体" w:cs="宋体"/>
                <w:color w:val="000000"/>
                <w:sz w:val="24"/>
                <w:szCs w:val="24"/>
              </w:rPr>
              <w:t>采购内容</w:t>
            </w:r>
          </w:p>
        </w:tc>
        <w:tc>
          <w:tcPr>
            <w:tcW w:w="1941" w:type="dxa"/>
            <w:noWrap w:val="0"/>
            <w:vAlign w:val="top"/>
          </w:tcPr>
          <w:p>
            <w:pPr>
              <w:pStyle w:val="27"/>
              <w:keepNext w:val="0"/>
              <w:keepLines w:val="0"/>
              <w:pageBreakBefore w:val="0"/>
              <w:kinsoku/>
              <w:overflowPunct/>
              <w:topLinePunct w:val="0"/>
              <w:autoSpaceDE/>
              <w:autoSpaceDN/>
              <w:bidi w:val="0"/>
              <w:spacing w:line="500" w:lineRule="exact"/>
              <w:jc w:val="center"/>
              <w:textAlignment w:val="auto"/>
              <w:rPr>
                <w:rFonts w:hint="eastAsia" w:hAnsi="宋体" w:eastAsia="宋体" w:cs="宋体"/>
                <w:color w:val="000000"/>
                <w:sz w:val="24"/>
                <w:szCs w:val="24"/>
                <w:lang w:eastAsia="zh-CN"/>
              </w:rPr>
            </w:pPr>
            <w:r>
              <w:rPr>
                <w:rFonts w:hint="eastAsia" w:hAnsi="宋体" w:cs="宋体"/>
                <w:color w:val="000000"/>
                <w:sz w:val="24"/>
                <w:szCs w:val="24"/>
                <w:lang w:eastAsia="zh-CN"/>
              </w:rPr>
              <w:t>服务期</w:t>
            </w:r>
          </w:p>
        </w:tc>
        <w:tc>
          <w:tcPr>
            <w:tcW w:w="1517" w:type="dxa"/>
            <w:noWrap w:val="0"/>
            <w:vAlign w:val="center"/>
          </w:tcPr>
          <w:p>
            <w:pPr>
              <w:pStyle w:val="27"/>
              <w:keepNext w:val="0"/>
              <w:keepLines w:val="0"/>
              <w:pageBreakBefore w:val="0"/>
              <w:kinsoku/>
              <w:overflowPunct/>
              <w:topLinePunct w:val="0"/>
              <w:autoSpaceDE/>
              <w:autoSpaceDN/>
              <w:bidi w:val="0"/>
              <w:spacing w:line="500" w:lineRule="exact"/>
              <w:jc w:val="center"/>
              <w:textAlignment w:val="auto"/>
              <w:rPr>
                <w:rFonts w:hAnsi="宋体" w:cs="宋体"/>
                <w:color w:val="000000"/>
                <w:sz w:val="24"/>
                <w:szCs w:val="24"/>
              </w:rPr>
            </w:pPr>
            <w:r>
              <w:rPr>
                <w:rFonts w:hint="eastAsia" w:hAnsi="宋体" w:cs="宋体"/>
                <w:color w:val="000000"/>
                <w:sz w:val="24"/>
                <w:szCs w:val="24"/>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095" w:type="dxa"/>
            <w:noWrap w:val="0"/>
            <w:vAlign w:val="center"/>
          </w:tcPr>
          <w:p>
            <w:pPr>
              <w:pStyle w:val="27"/>
              <w:keepNext w:val="0"/>
              <w:keepLines w:val="0"/>
              <w:pageBreakBefore w:val="0"/>
              <w:kinsoku/>
              <w:overflowPunct/>
              <w:topLinePunct w:val="0"/>
              <w:autoSpaceDE/>
              <w:autoSpaceDN/>
              <w:bidi w:val="0"/>
              <w:spacing w:line="500" w:lineRule="exact"/>
              <w:jc w:val="center"/>
              <w:textAlignment w:val="auto"/>
              <w:rPr>
                <w:rFonts w:hAnsi="宋体" w:cs="宋体"/>
                <w:color w:val="000000"/>
                <w:sz w:val="24"/>
                <w:szCs w:val="24"/>
              </w:rPr>
            </w:pPr>
            <w:r>
              <w:rPr>
                <w:rFonts w:hint="eastAsia" w:hAnsi="宋体" w:cs="宋体"/>
                <w:color w:val="000000"/>
                <w:sz w:val="24"/>
                <w:szCs w:val="24"/>
              </w:rPr>
              <w:t>1</w:t>
            </w:r>
          </w:p>
        </w:tc>
        <w:tc>
          <w:tcPr>
            <w:tcW w:w="4962" w:type="dxa"/>
            <w:noWrap w:val="0"/>
            <w:vAlign w:val="center"/>
          </w:tcPr>
          <w:p>
            <w:pPr>
              <w:pStyle w:val="27"/>
              <w:keepNext w:val="0"/>
              <w:keepLines w:val="0"/>
              <w:pageBreakBefore w:val="0"/>
              <w:kinsoku/>
              <w:overflowPunct/>
              <w:topLinePunct w:val="0"/>
              <w:autoSpaceDE/>
              <w:autoSpaceDN/>
              <w:bidi w:val="0"/>
              <w:spacing w:line="500" w:lineRule="exact"/>
              <w:jc w:val="center"/>
              <w:textAlignment w:val="auto"/>
              <w:rPr>
                <w:rFonts w:hAnsi="宋体" w:cs="宋体"/>
                <w:color w:val="000000"/>
                <w:sz w:val="24"/>
                <w:szCs w:val="24"/>
              </w:rPr>
            </w:pPr>
            <w:r>
              <w:rPr>
                <w:rFonts w:hint="eastAsia" w:cs="宋体"/>
                <w:kern w:val="0"/>
                <w:sz w:val="24"/>
                <w:u w:val="none"/>
                <w:lang w:eastAsia="zh-CN"/>
              </w:rPr>
              <w:t>织里镇街区立面整治服务（详见采购需求）</w:t>
            </w:r>
          </w:p>
        </w:tc>
        <w:tc>
          <w:tcPr>
            <w:tcW w:w="1941" w:type="dxa"/>
            <w:noWrap w:val="0"/>
            <w:vAlign w:val="center"/>
          </w:tcPr>
          <w:p>
            <w:pPr>
              <w:pStyle w:val="27"/>
              <w:keepNext w:val="0"/>
              <w:keepLines w:val="0"/>
              <w:pageBreakBefore w:val="0"/>
              <w:kinsoku/>
              <w:overflowPunct/>
              <w:topLinePunct w:val="0"/>
              <w:autoSpaceDE/>
              <w:autoSpaceDN/>
              <w:bidi w:val="0"/>
              <w:spacing w:line="500" w:lineRule="exact"/>
              <w:jc w:val="center"/>
              <w:textAlignment w:val="auto"/>
              <w:rPr>
                <w:rFonts w:hint="eastAsia" w:hAnsi="宋体" w:eastAsia="宋体" w:cs="宋体"/>
                <w:color w:val="000000"/>
                <w:sz w:val="24"/>
                <w:szCs w:val="24"/>
                <w:lang w:eastAsia="zh-CN"/>
              </w:rPr>
            </w:pPr>
            <w:r>
              <w:rPr>
                <w:rFonts w:hint="eastAsia" w:hAnsi="宋体" w:cs="宋体"/>
                <w:color w:val="000000"/>
                <w:sz w:val="24"/>
                <w:szCs w:val="24"/>
                <w:lang w:val="en-US" w:eastAsia="zh-CN"/>
              </w:rPr>
              <w:t>1年</w:t>
            </w:r>
          </w:p>
        </w:tc>
        <w:tc>
          <w:tcPr>
            <w:tcW w:w="1517" w:type="dxa"/>
            <w:noWrap w:val="0"/>
            <w:vAlign w:val="center"/>
          </w:tcPr>
          <w:p>
            <w:pPr>
              <w:pStyle w:val="27"/>
              <w:keepNext w:val="0"/>
              <w:keepLines w:val="0"/>
              <w:pageBreakBefore w:val="0"/>
              <w:kinsoku/>
              <w:overflowPunct/>
              <w:topLinePunct w:val="0"/>
              <w:autoSpaceDE/>
              <w:autoSpaceDN/>
              <w:bidi w:val="0"/>
              <w:spacing w:line="500" w:lineRule="exact"/>
              <w:jc w:val="center"/>
              <w:textAlignment w:val="auto"/>
              <w:rPr>
                <w:rFonts w:hAnsi="宋体" w:cs="宋体"/>
                <w:color w:val="000000"/>
                <w:sz w:val="24"/>
                <w:szCs w:val="24"/>
              </w:rPr>
            </w:pPr>
            <w:r>
              <w:rPr>
                <w:rFonts w:hint="eastAsia" w:hAnsi="宋体" w:cs="宋体"/>
                <w:b/>
                <w:bCs/>
                <w:color w:val="FF0000"/>
                <w:sz w:val="24"/>
                <w:szCs w:val="24"/>
                <w:lang w:val="en-US" w:eastAsia="zh-CN"/>
              </w:rPr>
              <w:t>600万元</w:t>
            </w:r>
          </w:p>
        </w:tc>
      </w:tr>
    </w:tbl>
    <w:p>
      <w:pPr>
        <w:pStyle w:val="29"/>
        <w:keepNext w:val="0"/>
        <w:keepLines w:val="0"/>
        <w:pageBreakBefore w:val="0"/>
        <w:kinsoku/>
        <w:overflowPunct/>
        <w:topLinePunct w:val="0"/>
        <w:autoSpaceDE/>
        <w:autoSpaceDN/>
        <w:bidi w:val="0"/>
        <w:adjustRightInd w:val="0"/>
        <w:snapToGrid w:val="0"/>
        <w:spacing w:line="500" w:lineRule="exact"/>
        <w:ind w:firstLine="482"/>
        <w:textAlignment w:val="auto"/>
        <w:outlineLvl w:val="1"/>
        <w:rPr>
          <w:rFonts w:cs="宋体"/>
          <w:b/>
          <w:sz w:val="24"/>
          <w:szCs w:val="24"/>
        </w:rPr>
      </w:pPr>
      <w:r>
        <w:rPr>
          <w:rFonts w:hint="eastAsia" w:cs="宋体"/>
          <w:b/>
          <w:sz w:val="24"/>
          <w:szCs w:val="24"/>
        </w:rPr>
        <w:t>五、合格投标供应商的资格要求：</w:t>
      </w:r>
      <w:bookmarkEnd w:id="6"/>
    </w:p>
    <w:p>
      <w:pPr>
        <w:keepNext w:val="0"/>
        <w:keepLines w:val="0"/>
        <w:pageBreakBefore w:val="0"/>
        <w:kinsoku/>
        <w:overflowPunct/>
        <w:topLinePunct w:val="0"/>
        <w:autoSpaceDE/>
        <w:autoSpaceDN/>
        <w:bidi w:val="0"/>
        <w:snapToGrid w:val="0"/>
        <w:spacing w:line="500" w:lineRule="exact"/>
        <w:ind w:firstLine="480" w:firstLineChars="200"/>
        <w:textAlignment w:val="auto"/>
        <w:rPr>
          <w:rFonts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符合《中华人民共和国政府采购法》第二十二条投标供应商应当具备的条件和浙财采监【2013】24号《关于规范政府采购投标供应商资格设定及资格审查的通知》第六条规定；且未被“信用中国”</w:t>
      </w:r>
      <w:r>
        <w:fldChar w:fldCharType="begin"/>
      </w:r>
      <w:r>
        <w:instrText xml:space="preserve"> HYPERLINK "http://www.creditchina.gov.cn/" \h </w:instrText>
      </w:r>
      <w:r>
        <w:fldChar w:fldCharType="separate"/>
      </w:r>
      <w:r>
        <w:rPr>
          <w:rFonts w:hint="eastAsia" w:ascii="宋体" w:hAnsi="宋体" w:cs="宋体"/>
          <w:sz w:val="24"/>
        </w:rPr>
        <w:t>（www.creditchina.gov.cn</w:t>
      </w:r>
      <w:r>
        <w:rPr>
          <w:rFonts w:hint="eastAsia" w:ascii="宋体" w:hAnsi="宋体" w:cs="宋体"/>
          <w:sz w:val="24"/>
        </w:rPr>
        <w:fldChar w:fldCharType="end"/>
      </w:r>
      <w:r>
        <w:rPr>
          <w:rFonts w:hint="eastAsia" w:ascii="宋体" w:hAnsi="宋体" w:cs="宋体"/>
          <w:sz w:val="24"/>
        </w:rPr>
        <w:t>）、“中国政府采购网”（</w:t>
      </w:r>
      <w:r>
        <w:fldChar w:fldCharType="begin"/>
      </w:r>
      <w:r>
        <w:instrText xml:space="preserve"> HYPERLINK "http://www.ccgp.gov.cn/" \h </w:instrText>
      </w:r>
      <w:r>
        <w:fldChar w:fldCharType="separate"/>
      </w:r>
      <w:r>
        <w:rPr>
          <w:rFonts w:hint="eastAsia" w:ascii="宋体" w:hAnsi="宋体" w:cs="宋体"/>
          <w:sz w:val="24"/>
        </w:rPr>
        <w:t>www.ccgp.gov.cn</w:t>
      </w:r>
      <w:r>
        <w:rPr>
          <w:rFonts w:hint="eastAsia" w:ascii="宋体" w:hAnsi="宋体" w:cs="宋体"/>
          <w:sz w:val="24"/>
        </w:rPr>
        <w:fldChar w:fldCharType="end"/>
      </w:r>
      <w:r>
        <w:rPr>
          <w:rFonts w:hint="eastAsia" w:ascii="宋体" w:hAnsi="宋体" w:cs="宋体"/>
          <w:sz w:val="24"/>
        </w:rPr>
        <w:t>）列入失信被执行人、重大税收违法案件当事人名单、政府采购严重违法失信行为记录名单。</w:t>
      </w:r>
    </w:p>
    <w:p>
      <w:pPr>
        <w:pStyle w:val="29"/>
        <w:keepNext w:val="0"/>
        <w:keepLines w:val="0"/>
        <w:pageBreakBefore w:val="0"/>
        <w:kinsoku/>
        <w:overflowPunct/>
        <w:topLinePunct w:val="0"/>
        <w:autoSpaceDE/>
        <w:autoSpaceDN/>
        <w:bidi w:val="0"/>
        <w:adjustRightInd w:val="0"/>
        <w:snapToGrid w:val="0"/>
        <w:spacing w:line="500" w:lineRule="exact"/>
        <w:ind w:firstLine="480"/>
        <w:textAlignment w:val="auto"/>
        <w:rPr>
          <w:rFonts w:cs="宋体"/>
          <w:sz w:val="24"/>
          <w:szCs w:val="24"/>
        </w:rPr>
      </w:pPr>
      <w:r>
        <w:rPr>
          <w:rFonts w:hint="eastAsia" w:cs="宋体"/>
          <w:kern w:val="0"/>
          <w:sz w:val="24"/>
          <w:szCs w:val="24"/>
          <w:lang w:val="en-US" w:eastAsia="zh-CN"/>
        </w:rPr>
        <w:t>2.</w:t>
      </w:r>
      <w:r>
        <w:rPr>
          <w:rFonts w:hint="eastAsia" w:cs="宋体"/>
          <w:kern w:val="0"/>
          <w:sz w:val="24"/>
        </w:rPr>
        <w:t>本项目不接受联合体投标</w:t>
      </w:r>
      <w:r>
        <w:rPr>
          <w:rFonts w:hint="eastAsia" w:cs="宋体"/>
          <w:sz w:val="24"/>
          <w:szCs w:val="24"/>
        </w:rPr>
        <w:t>。</w:t>
      </w:r>
    </w:p>
    <w:p>
      <w:pPr>
        <w:pStyle w:val="29"/>
        <w:keepNext w:val="0"/>
        <w:keepLines w:val="0"/>
        <w:pageBreakBefore w:val="0"/>
        <w:kinsoku/>
        <w:overflowPunct/>
        <w:topLinePunct w:val="0"/>
        <w:autoSpaceDE/>
        <w:autoSpaceDN/>
        <w:bidi w:val="0"/>
        <w:adjustRightInd w:val="0"/>
        <w:snapToGrid w:val="0"/>
        <w:spacing w:line="500" w:lineRule="exact"/>
        <w:ind w:firstLine="482"/>
        <w:textAlignment w:val="auto"/>
        <w:outlineLvl w:val="1"/>
        <w:rPr>
          <w:rFonts w:cs="宋体"/>
          <w:b/>
          <w:sz w:val="24"/>
          <w:szCs w:val="24"/>
        </w:rPr>
      </w:pPr>
      <w:bookmarkStart w:id="7" w:name="_Toc3951"/>
      <w:r>
        <w:rPr>
          <w:rFonts w:hint="eastAsia" w:cs="宋体"/>
          <w:b/>
          <w:sz w:val="24"/>
          <w:szCs w:val="24"/>
        </w:rPr>
        <w:t>六、采购文件获取：</w:t>
      </w:r>
      <w:bookmarkEnd w:id="7"/>
    </w:p>
    <w:p>
      <w:pPr>
        <w:keepNext w:val="0"/>
        <w:keepLines w:val="0"/>
        <w:pageBreakBefore w:val="0"/>
        <w:kinsoku/>
        <w:overflowPunct/>
        <w:topLinePunct w:val="0"/>
        <w:autoSpaceDE/>
        <w:autoSpaceDN/>
        <w:bidi w:val="0"/>
        <w:snapToGrid w:val="0"/>
        <w:spacing w:line="500" w:lineRule="exact"/>
        <w:ind w:firstLine="480" w:firstLineChars="200"/>
        <w:textAlignment w:val="auto"/>
        <w:rPr>
          <w:rFonts w:hint="eastAsia" w:ascii="宋体" w:hAnsi="宋体" w:eastAsia="宋体" w:cs="宋体"/>
          <w:sz w:val="24"/>
          <w:highlight w:val="none"/>
          <w:lang w:eastAsia="zh-CN"/>
        </w:rPr>
      </w:pPr>
      <w:bookmarkStart w:id="8" w:name="_Toc6085"/>
      <w:r>
        <w:rPr>
          <w:rFonts w:hint="eastAsia" w:ascii="宋体" w:hAnsi="宋体" w:cs="宋体"/>
          <w:sz w:val="24"/>
        </w:rPr>
        <w:t>1.获取文件时间</w:t>
      </w:r>
      <w:r>
        <w:rPr>
          <w:rFonts w:hint="eastAsia" w:ascii="宋体" w:hAnsi="宋体" w:cs="宋体"/>
          <w:sz w:val="24"/>
          <w:highlight w:val="none"/>
        </w:rPr>
        <w:t>：202</w:t>
      </w:r>
      <w:r>
        <w:rPr>
          <w:rFonts w:hint="eastAsia" w:ascii="宋体" w:hAnsi="宋体" w:cs="宋体"/>
          <w:sz w:val="24"/>
          <w:highlight w:val="none"/>
          <w:lang w:val="en-US" w:eastAsia="zh-CN"/>
        </w:rPr>
        <w:t>1</w:t>
      </w:r>
      <w:r>
        <w:rPr>
          <w:rFonts w:hint="eastAsia" w:ascii="宋体" w:hAnsi="宋体" w:cs="宋体"/>
          <w:sz w:val="24"/>
          <w:highlight w:val="none"/>
        </w:rPr>
        <w:t>年</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月</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日至202</w:t>
      </w:r>
      <w:r>
        <w:rPr>
          <w:rFonts w:hint="eastAsia" w:ascii="宋体" w:hAnsi="宋体" w:cs="宋体"/>
          <w:sz w:val="24"/>
          <w:highlight w:val="none"/>
          <w:lang w:val="en-US" w:eastAsia="zh-CN"/>
        </w:rPr>
        <w:t>1</w:t>
      </w:r>
      <w:r>
        <w:rPr>
          <w:rFonts w:hint="eastAsia" w:ascii="宋体" w:hAnsi="宋体" w:cs="宋体"/>
          <w:sz w:val="24"/>
          <w:highlight w:val="none"/>
        </w:rPr>
        <w:t>年</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月</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日</w:t>
      </w:r>
      <w:r>
        <w:rPr>
          <w:rFonts w:hint="eastAsia" w:ascii="宋体" w:hAnsi="宋体" w:cs="宋体"/>
          <w:sz w:val="24"/>
          <w:highlight w:val="none"/>
          <w:lang w:eastAsia="zh-CN"/>
        </w:rPr>
        <w:t>。</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ascii="宋体" w:hAnsi="宋体" w:cs="宋体"/>
          <w:b/>
          <w:bCs/>
          <w:kern w:val="0"/>
          <w:sz w:val="24"/>
        </w:rPr>
      </w:pPr>
      <w:r>
        <w:rPr>
          <w:rFonts w:hint="eastAsia" w:ascii="宋体" w:hAnsi="宋体" w:cs="宋体"/>
          <w:sz w:val="24"/>
        </w:rPr>
        <w:t>2.本项目采购文件实行网上获取，</w:t>
      </w:r>
      <w:r>
        <w:rPr>
          <w:rFonts w:hint="eastAsia" w:ascii="宋体" w:hAnsi="宋体" w:cs="宋体"/>
          <w:b/>
          <w:bCs/>
          <w:kern w:val="0"/>
          <w:sz w:val="24"/>
        </w:rPr>
        <w:t>不收取工本费。</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ascii="宋体" w:hAnsi="宋体" w:cs="宋体"/>
          <w:sz w:val="24"/>
        </w:rPr>
      </w:pPr>
      <w:r>
        <w:rPr>
          <w:rFonts w:hint="eastAsia" w:ascii="宋体" w:hAnsi="宋体" w:cs="宋体"/>
          <w:sz w:val="24"/>
        </w:rPr>
        <w:t>3.本项目实行网上报名，不接受投标供应商现场报名，投标供应商登录浙江政府采购网(http://zfcg.czt.zj.gov.cn/)进入政采云系统“项目采购”模块“获取采购文件”菜单，进行网上获取采购文件。（“政采云”注册账号、密码登录系统后获取采购文件）。</w:t>
      </w:r>
    </w:p>
    <w:p>
      <w:pPr>
        <w:keepNext w:val="0"/>
        <w:keepLines w:val="0"/>
        <w:pageBreakBefore w:val="0"/>
        <w:kinsoku/>
        <w:overflowPunct/>
        <w:topLinePunct w:val="0"/>
        <w:autoSpaceDE/>
        <w:autoSpaceDN/>
        <w:bidi w:val="0"/>
        <w:snapToGrid w:val="0"/>
        <w:spacing w:before="60" w:after="60" w:line="500" w:lineRule="exact"/>
        <w:ind w:right="60"/>
        <w:textAlignment w:val="auto"/>
        <w:rPr>
          <w:rFonts w:ascii="宋体" w:hAnsi="宋体" w:cs="宋体"/>
          <w:sz w:val="24"/>
        </w:rPr>
      </w:pPr>
      <w:r>
        <w:rPr>
          <w:rFonts w:hint="eastAsia" w:ascii="宋体" w:hAnsi="宋体" w:cs="宋体"/>
          <w:sz w:val="24"/>
        </w:rPr>
        <w:t xml:space="preserve">    4.未注册投标供应商可登录浙江政府采购网(http://zfcg.czt.zj.gov.cn/)查看公告下附件或在湖州市吴兴区公共资源交易中心</w:t>
      </w:r>
      <w:r>
        <w:rPr>
          <w:rFonts w:hint="eastAsia" w:ascii="宋体" w:hAnsi="宋体" w:cs="宋体"/>
          <w:kern w:val="0"/>
          <w:sz w:val="24"/>
        </w:rPr>
        <w:t>http://www.wuxing.gov.cn/hzgov/front/s127/sy/index.html</w:t>
      </w:r>
      <w:r>
        <w:rPr>
          <w:rFonts w:hint="eastAsia" w:ascii="宋体" w:hAnsi="宋体" w:cs="宋体"/>
          <w:sz w:val="24"/>
        </w:rPr>
        <w:t>“政府采购”--“招标公告”版块公告附件下载。招标公告附件内的采购文件仅供阅览使用，投标供应商只有在“政府采购云平台”完成获取采购文件申请并下载了采购文件后才视作依法获取采购文件（投标供应商获取采购文件时间以投标供应商完成获取采购文件申请后下载采购文件的时间为准）。请投标供应商按上述要求获取采购文件，如未在“政采云”系统内完成相关流程，引起的投标无效责任自负。</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ascii="宋体" w:hAnsi="宋体" w:cs="宋体"/>
          <w:sz w:val="24"/>
        </w:rPr>
      </w:pPr>
      <w:r>
        <w:rPr>
          <w:rFonts w:hint="eastAsia" w:ascii="宋体" w:hAnsi="宋体" w:cs="宋体"/>
          <w:sz w:val="24"/>
        </w:rPr>
        <w:t>5.免费注册网址：浙江政府采购网（投标供应商注册页面）：https://middle.zcygov.cn/v-settle-front/registry“政采云”, 如遇平台技术问题咨询电话：400-881-7190。</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ascii="宋体" w:hAnsi="宋体" w:cs="宋体"/>
          <w:sz w:val="24"/>
        </w:rPr>
      </w:pPr>
      <w:r>
        <w:rPr>
          <w:rFonts w:hint="eastAsia" w:ascii="宋体" w:hAnsi="宋体" w:cs="宋体"/>
          <w:sz w:val="24"/>
        </w:rPr>
        <w:t>已经注册成功的投标供应商无需重复注册。</w:t>
      </w:r>
    </w:p>
    <w:p>
      <w:pPr>
        <w:keepNext w:val="0"/>
        <w:keepLines w:val="0"/>
        <w:pageBreakBefore w:val="0"/>
        <w:kinsoku/>
        <w:overflowPunct/>
        <w:topLinePunct w:val="0"/>
        <w:autoSpaceDE/>
        <w:autoSpaceDN/>
        <w:bidi w:val="0"/>
        <w:snapToGrid w:val="0"/>
        <w:spacing w:line="500" w:lineRule="exact"/>
        <w:ind w:firstLine="482" w:firstLineChars="200"/>
        <w:textAlignment w:val="auto"/>
        <w:rPr>
          <w:rFonts w:ascii="宋体" w:hAnsi="宋体" w:cs="宋体"/>
          <w:b/>
          <w:bCs/>
          <w:sz w:val="24"/>
        </w:rPr>
      </w:pPr>
      <w:r>
        <w:rPr>
          <w:rFonts w:hint="eastAsia" w:ascii="宋体" w:hAnsi="宋体" w:cs="宋体"/>
          <w:b/>
          <w:bCs/>
          <w:sz w:val="24"/>
        </w:rPr>
        <w:t>七、</w:t>
      </w:r>
      <w:bookmarkEnd w:id="8"/>
      <w:bookmarkStart w:id="9" w:name="_Toc140"/>
      <w:bookmarkStart w:id="10" w:name="_Toc3484"/>
      <w:r>
        <w:rPr>
          <w:rFonts w:hint="eastAsia" w:ascii="宋体" w:hAnsi="宋体" w:cs="宋体"/>
          <w:b/>
          <w:bCs/>
          <w:sz w:val="24"/>
        </w:rPr>
        <w:t>投标截止时间和投标文件递交地点：</w:t>
      </w:r>
      <w:bookmarkEnd w:id="9"/>
      <w:bookmarkEnd w:id="10"/>
    </w:p>
    <w:p>
      <w:pPr>
        <w:keepNext w:val="0"/>
        <w:keepLines w:val="0"/>
        <w:pageBreakBefore w:val="0"/>
        <w:kinsoku/>
        <w:overflowPunct/>
        <w:topLinePunct w:val="0"/>
        <w:autoSpaceDE/>
        <w:autoSpaceDN/>
        <w:bidi w:val="0"/>
        <w:snapToGrid w:val="0"/>
        <w:spacing w:line="500" w:lineRule="exact"/>
        <w:ind w:firstLine="480" w:firstLineChars="200"/>
        <w:textAlignment w:val="auto"/>
        <w:rPr>
          <w:rFonts w:ascii="宋体" w:hAnsi="宋体" w:cs="宋体"/>
          <w:sz w:val="24"/>
          <w:highlight w:val="none"/>
        </w:rPr>
      </w:pPr>
      <w:r>
        <w:rPr>
          <w:rFonts w:hint="eastAsia" w:ascii="宋体" w:hAnsi="宋体" w:cs="宋体"/>
          <w:sz w:val="24"/>
        </w:rPr>
        <w:t>（1）投标截止</w:t>
      </w:r>
      <w:r>
        <w:rPr>
          <w:rFonts w:hint="eastAsia" w:ascii="宋体" w:hAnsi="宋体" w:cs="宋体"/>
          <w:sz w:val="24"/>
          <w:highlight w:val="none"/>
        </w:rPr>
        <w:t>时间：202</w:t>
      </w:r>
      <w:r>
        <w:rPr>
          <w:rFonts w:hint="eastAsia" w:ascii="宋体" w:hAnsi="宋体" w:cs="宋体"/>
          <w:sz w:val="24"/>
          <w:highlight w:val="none"/>
          <w:lang w:val="en-US" w:eastAsia="zh-CN"/>
        </w:rPr>
        <w:t>1</w:t>
      </w:r>
      <w:r>
        <w:rPr>
          <w:rFonts w:hint="eastAsia" w:ascii="宋体" w:hAnsi="宋体" w:cs="宋体"/>
          <w:sz w:val="24"/>
          <w:highlight w:val="none"/>
        </w:rPr>
        <w:t>年</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月</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日</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时</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分整。</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ascii="宋体" w:hAnsi="宋体" w:cs="宋体"/>
          <w:sz w:val="24"/>
        </w:rPr>
      </w:pPr>
      <w:r>
        <w:rPr>
          <w:rFonts w:hint="eastAsia" w:ascii="宋体" w:hAnsi="宋体" w:cs="宋体"/>
          <w:sz w:val="24"/>
        </w:rPr>
        <w:t xml:space="preserve">（2）投标文件递交地点：本项目通过“政府采购云平台（www.zcygov.cn）”实行在线投标响应（电子投标）。 </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ascii="宋体" w:hAnsi="宋体" w:cs="宋体"/>
          <w:sz w:val="24"/>
        </w:rPr>
      </w:pPr>
      <w:r>
        <w:rPr>
          <w:rFonts w:hint="eastAsia" w:ascii="宋体" w:hAnsi="宋体" w:cs="宋体"/>
          <w:sz w:val="24"/>
        </w:rPr>
        <w:t>（3）投标供应商应当在投标截止时间前，将生成的文件格式“.jmbs”的“电子加密投标文件”上传递交至“政府采购云平台”实行在线投标响应。投标截止时间以后上传递交的投标文件将被“政府采购云平台”拒收。</w:t>
      </w:r>
    </w:p>
    <w:p>
      <w:pPr>
        <w:keepNext w:val="0"/>
        <w:keepLines w:val="0"/>
        <w:pageBreakBefore w:val="0"/>
        <w:kinsoku/>
        <w:overflowPunct/>
        <w:topLinePunct w:val="0"/>
        <w:autoSpaceDE/>
        <w:autoSpaceDN/>
        <w:bidi w:val="0"/>
        <w:snapToGrid w:val="0"/>
        <w:spacing w:line="500" w:lineRule="exact"/>
        <w:ind w:firstLine="482" w:firstLineChars="200"/>
        <w:textAlignment w:val="auto"/>
        <w:rPr>
          <w:rFonts w:ascii="宋体" w:hAnsi="宋体" w:cs="宋体"/>
          <w:b/>
          <w:bCs/>
          <w:sz w:val="24"/>
        </w:rPr>
      </w:pPr>
      <w:bookmarkStart w:id="11" w:name="_Toc25948"/>
      <w:bookmarkStart w:id="12" w:name="_Toc1896"/>
      <w:r>
        <w:rPr>
          <w:rFonts w:hint="eastAsia" w:ascii="宋体" w:hAnsi="宋体" w:cs="宋体"/>
          <w:b/>
          <w:bCs/>
          <w:sz w:val="24"/>
        </w:rPr>
        <w:t>八、开标时间及地点：</w:t>
      </w:r>
      <w:bookmarkEnd w:id="11"/>
      <w:bookmarkEnd w:id="12"/>
    </w:p>
    <w:p>
      <w:pPr>
        <w:keepNext w:val="0"/>
        <w:keepLines w:val="0"/>
        <w:pageBreakBefore w:val="0"/>
        <w:kinsoku/>
        <w:overflowPunct/>
        <w:topLinePunct w:val="0"/>
        <w:autoSpaceDE/>
        <w:autoSpaceDN/>
        <w:bidi w:val="0"/>
        <w:snapToGrid w:val="0"/>
        <w:spacing w:line="500" w:lineRule="exact"/>
        <w:ind w:firstLine="480" w:firstLineChars="200"/>
        <w:textAlignment w:val="auto"/>
        <w:rPr>
          <w:rFonts w:ascii="宋体" w:hAnsi="宋体" w:cs="宋体"/>
          <w:sz w:val="24"/>
          <w:highlight w:val="none"/>
        </w:rPr>
      </w:pPr>
      <w:r>
        <w:rPr>
          <w:rFonts w:hint="eastAsia" w:ascii="宋体" w:hAnsi="宋体" w:cs="宋体"/>
          <w:sz w:val="24"/>
        </w:rPr>
        <w:t>开标时</w:t>
      </w:r>
      <w:r>
        <w:rPr>
          <w:rFonts w:hint="eastAsia" w:ascii="宋体" w:hAnsi="宋体" w:cs="宋体"/>
          <w:sz w:val="24"/>
          <w:highlight w:val="none"/>
        </w:rPr>
        <w:t>间：202</w:t>
      </w:r>
      <w:r>
        <w:rPr>
          <w:rFonts w:hint="eastAsia" w:ascii="宋体" w:hAnsi="宋体" w:cs="宋体"/>
          <w:sz w:val="24"/>
          <w:highlight w:val="none"/>
          <w:lang w:val="en-US" w:eastAsia="zh-CN"/>
        </w:rPr>
        <w:t>1</w:t>
      </w:r>
      <w:r>
        <w:rPr>
          <w:rFonts w:hint="eastAsia" w:ascii="宋体" w:hAnsi="宋体" w:cs="宋体"/>
          <w:sz w:val="24"/>
          <w:highlight w:val="none"/>
        </w:rPr>
        <w:t>年</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月</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日</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时</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分整。</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ascii="宋体" w:hAnsi="宋体" w:cs="宋体"/>
          <w:sz w:val="24"/>
        </w:rPr>
      </w:pPr>
      <w:r>
        <w:rPr>
          <w:rFonts w:hint="eastAsia" w:ascii="宋体" w:hAnsi="宋体" w:cs="宋体"/>
          <w:sz w:val="24"/>
        </w:rPr>
        <w:t>开标地点：采购代理机构在湖州市吴兴区公共资源交易中心开标室（</w:t>
      </w:r>
      <w:r>
        <w:rPr>
          <w:rFonts w:hint="eastAsia" w:ascii="宋体" w:hAnsi="宋体" w:cs="宋体"/>
          <w:color w:val="FF0000"/>
          <w:sz w:val="24"/>
          <w:lang w:val="en-US" w:eastAsia="zh-CN"/>
        </w:rPr>
        <w:t>40*</w:t>
      </w:r>
      <w:r>
        <w:rPr>
          <w:rFonts w:hint="eastAsia" w:ascii="宋体" w:hAnsi="宋体" w:cs="宋体"/>
          <w:sz w:val="24"/>
        </w:rPr>
        <w:t>号）【湖州市吴兴区区府路1188 号总部自由港E 幢4楼】对本项目进行开标。投标供应商应在投标截止时间前委派投标代表（法定代表人或授权委托人）登入“政府采购云平台（www.zcygov.cn）”在线参与开标，并CA锁在线解密投标文件等完成相关工作 。</w:t>
      </w:r>
    </w:p>
    <w:p>
      <w:pPr>
        <w:keepNext w:val="0"/>
        <w:keepLines w:val="0"/>
        <w:pageBreakBefore w:val="0"/>
        <w:kinsoku/>
        <w:overflowPunct/>
        <w:topLinePunct w:val="0"/>
        <w:autoSpaceDE/>
        <w:autoSpaceDN/>
        <w:bidi w:val="0"/>
        <w:snapToGrid w:val="0"/>
        <w:spacing w:line="500" w:lineRule="exact"/>
        <w:ind w:firstLine="472" w:firstLineChars="196"/>
        <w:textAlignment w:val="auto"/>
        <w:rPr>
          <w:rFonts w:ascii="宋体" w:hAnsi="宋体" w:cs="宋体"/>
          <w:b/>
          <w:kern w:val="0"/>
          <w:sz w:val="24"/>
        </w:rPr>
      </w:pPr>
      <w:r>
        <w:rPr>
          <w:rFonts w:hint="eastAsia" w:cs="宋体"/>
          <w:b/>
          <w:sz w:val="24"/>
        </w:rPr>
        <w:t>注：</w:t>
      </w:r>
      <w:r>
        <w:rPr>
          <w:rFonts w:hint="eastAsia" w:cs="宋体"/>
          <w:b/>
          <w:sz w:val="24"/>
        </w:rPr>
        <w:fldChar w:fldCharType="begin"/>
      </w:r>
      <w:r>
        <w:rPr>
          <w:rFonts w:hint="eastAsia" w:cs="宋体"/>
          <w:b/>
          <w:sz w:val="24"/>
        </w:rPr>
        <w:instrText xml:space="preserve"> EQ \o\ac(</w:instrText>
      </w:r>
      <w:r>
        <w:rPr>
          <w:rFonts w:hint="eastAsia" w:ascii="宋体" w:hAnsi="宋体" w:cs="宋体"/>
          <w:b/>
          <w:position w:val="-4"/>
          <w:sz w:val="36"/>
          <w:lang w:bidi="zh-CN"/>
        </w:rPr>
        <w:instrText xml:space="preserve">○</w:instrText>
      </w:r>
      <w:r>
        <w:rPr>
          <w:rFonts w:hint="eastAsia" w:cs="宋体"/>
          <w:b/>
          <w:sz w:val="24"/>
        </w:rPr>
        <w:instrText xml:space="preserve">,1)</w:instrText>
      </w:r>
      <w:r>
        <w:rPr>
          <w:rFonts w:hint="eastAsia" w:cs="宋体"/>
          <w:b/>
          <w:sz w:val="24"/>
        </w:rPr>
        <w:fldChar w:fldCharType="end"/>
      </w:r>
      <w:r>
        <w:rPr>
          <w:rFonts w:hint="eastAsia" w:ascii="宋体" w:hAnsi="宋体" w:cs="宋体"/>
          <w:b/>
          <w:kern w:val="0"/>
          <w:sz w:val="24"/>
        </w:rPr>
        <w:t>供应商可以派授权代表出席开标会议（授权代表必须携带身份证、法人授权委托书或法人身份证明文书等有效证明文件以及最近一个月个人社保缴纳证明文件。）。</w:t>
      </w:r>
    </w:p>
    <w:p>
      <w:pPr>
        <w:pStyle w:val="29"/>
        <w:keepNext w:val="0"/>
        <w:keepLines w:val="0"/>
        <w:pageBreakBefore w:val="0"/>
        <w:kinsoku/>
        <w:overflowPunct/>
        <w:topLinePunct w:val="0"/>
        <w:autoSpaceDE/>
        <w:autoSpaceDN/>
        <w:bidi w:val="0"/>
        <w:adjustRightInd w:val="0"/>
        <w:snapToGrid w:val="0"/>
        <w:spacing w:line="500" w:lineRule="exact"/>
        <w:ind w:firstLine="964" w:firstLineChars="400"/>
        <w:textAlignment w:val="auto"/>
      </w:pPr>
      <w:r>
        <w:rPr>
          <w:rFonts w:hint="eastAsia" w:cs="宋体"/>
          <w:b/>
          <w:kern w:val="0"/>
          <w:sz w:val="24"/>
        </w:rPr>
        <w:fldChar w:fldCharType="begin"/>
      </w:r>
      <w:r>
        <w:rPr>
          <w:rFonts w:hint="eastAsia" w:cs="宋体"/>
          <w:b/>
          <w:kern w:val="0"/>
          <w:sz w:val="24"/>
        </w:rPr>
        <w:instrText xml:space="preserve"> EQ \o\ac(</w:instrText>
      </w:r>
      <w:r>
        <w:rPr>
          <w:rFonts w:hint="eastAsia" w:cs="宋体"/>
          <w:b/>
          <w:kern w:val="0"/>
          <w:position w:val="-4"/>
          <w:sz w:val="36"/>
          <w:lang w:bidi="zh-CN"/>
        </w:rPr>
        <w:instrText xml:space="preserve">○</w:instrText>
      </w:r>
      <w:r>
        <w:rPr>
          <w:rFonts w:hint="eastAsia" w:cs="宋体"/>
          <w:b/>
          <w:kern w:val="0"/>
          <w:sz w:val="24"/>
        </w:rPr>
        <w:instrText xml:space="preserve">,2)</w:instrText>
      </w:r>
      <w:r>
        <w:rPr>
          <w:rFonts w:hint="eastAsia" w:cs="宋体"/>
          <w:b/>
          <w:kern w:val="0"/>
          <w:sz w:val="24"/>
        </w:rPr>
        <w:fldChar w:fldCharType="end"/>
      </w:r>
      <w:r>
        <w:rPr>
          <w:rFonts w:hint="eastAsia" w:cs="宋体"/>
          <w:b/>
          <w:kern w:val="0"/>
          <w:sz w:val="24"/>
        </w:rPr>
        <w:t>疫情防控期，按照“不见面、少接触”的原则，投标人可不委派专人（法定代表人或委托代理人）参加现场开标。</w:t>
      </w:r>
    </w:p>
    <w:p>
      <w:pPr>
        <w:keepNext w:val="0"/>
        <w:keepLines w:val="0"/>
        <w:pageBreakBefore w:val="0"/>
        <w:kinsoku/>
        <w:overflowPunct/>
        <w:topLinePunct w:val="0"/>
        <w:autoSpaceDE/>
        <w:autoSpaceDN/>
        <w:bidi w:val="0"/>
        <w:snapToGrid w:val="0"/>
        <w:spacing w:line="500" w:lineRule="exact"/>
        <w:ind w:firstLine="482" w:firstLineChars="200"/>
        <w:textAlignment w:val="auto"/>
        <w:rPr>
          <w:rFonts w:ascii="宋体" w:hAnsi="宋体" w:cs="宋体"/>
          <w:b/>
          <w:bCs/>
          <w:sz w:val="24"/>
        </w:rPr>
      </w:pPr>
      <w:r>
        <w:rPr>
          <w:rFonts w:hint="eastAsia" w:ascii="宋体" w:hAnsi="宋体" w:cs="宋体"/>
          <w:b/>
          <w:bCs/>
          <w:sz w:val="24"/>
        </w:rPr>
        <w:t>九、在线投标响应（电子投标）说明</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ascii="宋体" w:hAnsi="宋体" w:cs="宋体"/>
          <w:sz w:val="24"/>
        </w:rPr>
      </w:pPr>
      <w:bookmarkStart w:id="13" w:name="_Toc32145"/>
      <w:bookmarkStart w:id="14" w:name="_Toc4490"/>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本项目通过“政府采购云平台（www.zcygov.cn）”实行在线投标（电子投标），投标供应商应先安装“政采云电子交易客户端”，“政采云电子交易客户端”请自行前往“浙江政府采购网-下载专区-电子交易客户端”进行下载；投标供应商电子交易操作指南详见网址：</w:t>
      </w:r>
      <w:r>
        <w:fldChar w:fldCharType="begin"/>
      </w:r>
      <w:r>
        <w:instrText xml:space="preserve"> HYPERLINK "https://help.zcygov.cn/web/site_2/2018/12-28/2573.html" </w:instrText>
      </w:r>
      <w:r>
        <w:fldChar w:fldCharType="separate"/>
      </w:r>
      <w:r>
        <w:rPr>
          <w:rFonts w:hint="eastAsia" w:ascii="宋体" w:hAnsi="宋体" w:cs="宋体"/>
          <w:sz w:val="24"/>
        </w:rPr>
        <w:t>https://help.zcygov.cn/web/site_2/2018/12-28/2573.html</w:t>
      </w:r>
      <w:r>
        <w:rPr>
          <w:rFonts w:hint="eastAsia" w:ascii="宋体" w:hAnsi="宋体" w:cs="宋体"/>
          <w:sz w:val="24"/>
        </w:rPr>
        <w:fldChar w:fldCharType="end"/>
      </w:r>
      <w:r>
        <w:rPr>
          <w:rFonts w:hint="eastAsia" w:ascii="宋体" w:hAnsi="宋体" w:cs="宋体"/>
          <w:sz w:val="24"/>
        </w:rPr>
        <w:t>。</w:t>
      </w:r>
    </w:p>
    <w:p>
      <w:pPr>
        <w:keepNext w:val="0"/>
        <w:keepLines w:val="0"/>
        <w:pageBreakBefore w:val="0"/>
        <w:kinsoku/>
        <w:overflowPunct/>
        <w:topLinePunct w:val="0"/>
        <w:autoSpaceDE/>
        <w:autoSpaceDN/>
        <w:bidi w:val="0"/>
        <w:spacing w:line="500" w:lineRule="exact"/>
        <w:ind w:firstLine="480"/>
        <w:textAlignment w:val="auto"/>
        <w:outlineLvl w:val="0"/>
        <w:rPr>
          <w:rFonts w:ascii="宋体" w:hAnsi="宋体" w:cs="宋体"/>
          <w:sz w:val="24"/>
        </w:rPr>
      </w:pPr>
      <w:r>
        <w:rPr>
          <w:rFonts w:hint="eastAsia" w:ascii="宋体" w:hAnsi="宋体" w:cs="宋体"/>
          <w:sz w:val="24"/>
        </w:rPr>
        <w:t>2.为确保网上操作合法、有效和安全，投标供应商应当在开标截止时间前完成在“政府采购云平台”的身份认证，确保在电子投标过程中能够对相关数据电文进行加密和使用电子签章。使用“政采云电子交易客户端”需要提前申领CA数字证书（完成CA数字证书办理预计一周左右，建议各投标供应商自行把握时间），申领流程请自行前往“浙江政府采购网-下载专区-电子交易客户端-</w:t>
      </w:r>
      <w:r>
        <w:fldChar w:fldCharType="begin"/>
      </w:r>
      <w:r>
        <w:instrText xml:space="preserve"> HYPERLINK "http://zfcg.czt.zj.gov.cn/bidClientTemplate/2019-05-27/12945.html" \o "CA驱动和申领流程" </w:instrText>
      </w:r>
      <w:r>
        <w:fldChar w:fldCharType="separate"/>
      </w:r>
      <w:r>
        <w:rPr>
          <w:rFonts w:hint="eastAsia" w:ascii="宋体" w:hAnsi="宋体" w:cs="宋体"/>
          <w:sz w:val="24"/>
        </w:rPr>
        <w:t>CA驱动和申领流程</w:t>
      </w:r>
      <w:r>
        <w:rPr>
          <w:rFonts w:hint="eastAsia" w:ascii="宋体" w:hAnsi="宋体" w:cs="宋体"/>
          <w:sz w:val="24"/>
        </w:rPr>
        <w:fldChar w:fldCharType="end"/>
      </w:r>
      <w:r>
        <w:rPr>
          <w:rFonts w:hint="eastAsia" w:ascii="宋体" w:hAnsi="宋体" w:cs="宋体"/>
          <w:sz w:val="24"/>
        </w:rPr>
        <w:t>”进行查阅。</w:t>
      </w:r>
    </w:p>
    <w:p>
      <w:pPr>
        <w:keepNext w:val="0"/>
        <w:keepLines w:val="0"/>
        <w:pageBreakBefore w:val="0"/>
        <w:kinsoku/>
        <w:overflowPunct/>
        <w:topLinePunct w:val="0"/>
        <w:autoSpaceDE/>
        <w:autoSpaceDN/>
        <w:bidi w:val="0"/>
        <w:spacing w:line="500" w:lineRule="exact"/>
        <w:ind w:firstLine="470" w:firstLineChars="196"/>
        <w:textAlignment w:val="auto"/>
        <w:outlineLvl w:val="0"/>
        <w:rPr>
          <w:rFonts w:ascii="宋体" w:hAnsi="宋体" w:cs="宋体"/>
          <w:kern w:val="0"/>
          <w:sz w:val="24"/>
        </w:rPr>
      </w:pPr>
      <w:r>
        <w:rPr>
          <w:rFonts w:hint="eastAsia" w:ascii="宋体" w:hAnsi="宋体" w:cs="宋体"/>
          <w:kern w:val="0"/>
          <w:sz w:val="24"/>
        </w:rPr>
        <w:t>3.投标文件递交方式：</w:t>
      </w:r>
    </w:p>
    <w:p>
      <w:pPr>
        <w:keepNext w:val="0"/>
        <w:keepLines w:val="0"/>
        <w:pageBreakBefore w:val="0"/>
        <w:kinsoku/>
        <w:overflowPunct/>
        <w:topLinePunct w:val="0"/>
        <w:autoSpaceDE/>
        <w:autoSpaceDN/>
        <w:bidi w:val="0"/>
        <w:snapToGrid w:val="0"/>
        <w:spacing w:line="500" w:lineRule="exact"/>
        <w:ind w:firstLine="470" w:firstLineChars="196"/>
        <w:textAlignment w:val="auto"/>
        <w:rPr>
          <w:rFonts w:ascii="宋体" w:hAnsi="宋体" w:cs="宋体"/>
          <w:kern w:val="0"/>
          <w:sz w:val="24"/>
        </w:rPr>
      </w:pPr>
      <w:r>
        <w:rPr>
          <w:rFonts w:hint="eastAsia" w:ascii="宋体" w:hAnsi="宋体" w:cs="宋体"/>
          <w:kern w:val="0"/>
          <w:sz w:val="24"/>
          <w:lang w:val="en-US" w:eastAsia="zh-CN"/>
        </w:rPr>
        <w:t>3.1</w:t>
      </w:r>
      <w:r>
        <w:rPr>
          <w:rFonts w:hint="eastAsia" w:ascii="宋体" w:hAnsi="宋体" w:cs="宋体"/>
          <w:kern w:val="0"/>
          <w:sz w:val="24"/>
        </w:rPr>
        <w:t>供应商应当</w:t>
      </w:r>
      <w:r>
        <w:rPr>
          <w:rFonts w:hint="eastAsia" w:ascii="宋体" w:hAnsi="宋体" w:cs="宋体"/>
          <w:color w:val="auto"/>
          <w:kern w:val="0"/>
          <w:sz w:val="24"/>
          <w:highlight w:val="none"/>
        </w:rPr>
        <w:t>在202</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年</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月</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日</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时</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分</w:t>
      </w:r>
      <w:r>
        <w:rPr>
          <w:rFonts w:hint="eastAsia" w:ascii="宋体" w:hAnsi="宋体" w:cs="宋体"/>
          <w:kern w:val="0"/>
          <w:sz w:val="24"/>
        </w:rPr>
        <w:t>（北京时间）</w:t>
      </w:r>
      <w:r>
        <w:rPr>
          <w:rFonts w:hint="eastAsia" w:cs="宋体"/>
          <w:kern w:val="0"/>
          <w:sz w:val="24"/>
        </w:rPr>
        <w:t>前</w:t>
      </w:r>
      <w:r>
        <w:rPr>
          <w:rFonts w:hint="eastAsia" w:ascii="宋体" w:hAnsi="宋体" w:cs="宋体"/>
          <w:kern w:val="0"/>
          <w:sz w:val="24"/>
        </w:rPr>
        <w:t>，将生成的“电子加密</w:t>
      </w:r>
      <w:r>
        <w:rPr>
          <w:rFonts w:hint="eastAsia" w:ascii="宋体" w:hAnsi="宋体" w:cs="宋体"/>
          <w:kern w:val="0"/>
          <w:sz w:val="24"/>
          <w:lang w:eastAsia="zh-CN"/>
        </w:rPr>
        <w:t>投标文件</w:t>
      </w:r>
      <w:r>
        <w:rPr>
          <w:rFonts w:hint="eastAsia" w:ascii="宋体" w:hAnsi="宋体" w:cs="宋体"/>
          <w:kern w:val="0"/>
          <w:sz w:val="24"/>
        </w:rPr>
        <w:t>”上传递交至“政采云平台”。（未准时上传的视为放弃投标资格，作无效标处理）。</w:t>
      </w:r>
    </w:p>
    <w:p>
      <w:pPr>
        <w:keepNext w:val="0"/>
        <w:keepLines w:val="0"/>
        <w:pageBreakBefore w:val="0"/>
        <w:kinsoku/>
        <w:overflowPunct/>
        <w:topLinePunct w:val="0"/>
        <w:autoSpaceDE/>
        <w:autoSpaceDN/>
        <w:bidi w:val="0"/>
        <w:snapToGrid w:val="0"/>
        <w:spacing w:line="500" w:lineRule="exact"/>
        <w:ind w:firstLine="470" w:firstLineChars="196"/>
        <w:textAlignment w:val="auto"/>
        <w:rPr>
          <w:rFonts w:hint="eastAsia" w:ascii="宋体" w:hAnsi="宋体" w:cs="宋体"/>
          <w:kern w:val="0"/>
          <w:sz w:val="24"/>
        </w:rPr>
      </w:pPr>
      <w:r>
        <w:rPr>
          <w:rFonts w:hint="eastAsia" w:ascii="宋体" w:hAnsi="宋体" w:cs="宋体"/>
          <w:kern w:val="0"/>
          <w:sz w:val="24"/>
          <w:lang w:val="en-US" w:eastAsia="zh-CN"/>
        </w:rPr>
        <w:t>3.2</w:t>
      </w:r>
      <w:r>
        <w:rPr>
          <w:rFonts w:hint="eastAsia" w:ascii="宋体" w:hAnsi="宋体" w:cs="宋体"/>
          <w:kern w:val="0"/>
          <w:sz w:val="24"/>
        </w:rPr>
        <w:t>数据电子备份投标文件（U 盘）：以U盘形式提供的数据电子备份投标文件格式及内容须与政采云平台项目采购-电子交易操作指南中制作、加密并递交的电子投标文件格式及内容一致。）</w:t>
      </w:r>
    </w:p>
    <w:p>
      <w:pPr>
        <w:keepNext w:val="0"/>
        <w:keepLines w:val="0"/>
        <w:pageBreakBefore w:val="0"/>
        <w:kinsoku/>
        <w:overflowPunct/>
        <w:topLinePunct w:val="0"/>
        <w:autoSpaceDE/>
        <w:autoSpaceDN/>
        <w:bidi w:val="0"/>
        <w:snapToGrid w:val="0"/>
        <w:spacing w:line="500" w:lineRule="exact"/>
        <w:ind w:firstLine="470" w:firstLineChars="196"/>
        <w:textAlignment w:val="auto"/>
        <w:rPr>
          <w:rFonts w:ascii="宋体" w:hAnsi="宋体" w:cs="宋体"/>
          <w:kern w:val="0"/>
          <w:sz w:val="24"/>
        </w:rPr>
      </w:pPr>
      <w:r>
        <w:rPr>
          <w:rFonts w:hint="eastAsia" w:ascii="宋体" w:hAnsi="宋体" w:cs="宋体"/>
          <w:kern w:val="0"/>
          <w:sz w:val="24"/>
          <w:lang w:val="en-US" w:eastAsia="zh-CN"/>
        </w:rPr>
        <w:t>3.3</w:t>
      </w:r>
      <w:r>
        <w:rPr>
          <w:rFonts w:hint="eastAsia" w:cs="宋体"/>
          <w:kern w:val="0"/>
          <w:sz w:val="24"/>
        </w:rPr>
        <w:t>供应商可以以现场递交或邮寄的形式递交以介质存储的数据电文形式的</w:t>
      </w:r>
      <w:r>
        <w:rPr>
          <w:rFonts w:hint="eastAsia" w:cs="宋体"/>
          <w:kern w:val="0"/>
          <w:sz w:val="24"/>
          <w:lang w:eastAsia="zh-CN"/>
        </w:rPr>
        <w:t>备份</w:t>
      </w:r>
      <w:r>
        <w:rPr>
          <w:rFonts w:hint="eastAsia" w:cs="宋体"/>
          <w:kern w:val="0"/>
          <w:sz w:val="24"/>
        </w:rPr>
        <w:t>投标文件，现场递交地址为：</w:t>
      </w:r>
      <w:r>
        <w:rPr>
          <w:rFonts w:hint="eastAsia" w:cs="宋体"/>
          <w:b/>
          <w:bCs/>
          <w:kern w:val="0"/>
          <w:sz w:val="24"/>
        </w:rPr>
        <w:t>湖州市吴兴区公共资源交易中心开标室（</w:t>
      </w:r>
      <w:r>
        <w:rPr>
          <w:rFonts w:hint="eastAsia" w:cs="宋体"/>
          <w:b/>
          <w:bCs/>
          <w:color w:val="FF0000"/>
          <w:kern w:val="0"/>
          <w:sz w:val="24"/>
          <w:lang w:val="en-US" w:eastAsia="zh-CN"/>
        </w:rPr>
        <w:t>40*</w:t>
      </w:r>
      <w:r>
        <w:rPr>
          <w:rFonts w:hint="eastAsia" w:cs="宋体"/>
          <w:b/>
          <w:bCs/>
          <w:color w:val="FF0000"/>
          <w:kern w:val="0"/>
          <w:sz w:val="24"/>
        </w:rPr>
        <w:t>号</w:t>
      </w:r>
      <w:r>
        <w:rPr>
          <w:rFonts w:hint="eastAsia" w:cs="宋体"/>
          <w:b/>
          <w:bCs/>
          <w:kern w:val="0"/>
          <w:sz w:val="24"/>
        </w:rPr>
        <w:t>）【湖州市吴兴区区府路1188 号总部自由港E 幢4楼】</w:t>
      </w:r>
      <w:r>
        <w:rPr>
          <w:rFonts w:hint="eastAsia" w:cs="宋体"/>
          <w:kern w:val="0"/>
          <w:sz w:val="24"/>
        </w:rPr>
        <w:t>，</w:t>
      </w:r>
      <w:r>
        <w:rPr>
          <w:rFonts w:hint="eastAsia" w:ascii="宋体" w:hAnsi="宋体" w:cs="宋体"/>
          <w:kern w:val="0"/>
          <w:sz w:val="24"/>
        </w:rPr>
        <w:t>供应商若采用邮寄方式递交数据电子备份投标文件（快递单上请注明项目编号及供应商名称）；邮寄地址为：</w:t>
      </w:r>
      <w:r>
        <w:rPr>
          <w:rFonts w:hint="eastAsia" w:cs="宋体"/>
          <w:b/>
          <w:bCs/>
          <w:kern w:val="0"/>
          <w:sz w:val="24"/>
          <w:lang w:eastAsia="zh-CN"/>
        </w:rPr>
        <w:t>宁波建信工程造价咨询事务所有限公司</w:t>
      </w:r>
      <w:r>
        <w:rPr>
          <w:rFonts w:hint="eastAsia" w:ascii="宋体" w:hAnsi="宋体" w:cs="宋体"/>
          <w:b/>
          <w:bCs/>
          <w:kern w:val="0"/>
          <w:sz w:val="24"/>
          <w:lang w:eastAsia="zh-CN"/>
        </w:rPr>
        <w:t>（湖州市亿丰国际建材城</w:t>
      </w:r>
      <w:r>
        <w:rPr>
          <w:rFonts w:hint="eastAsia" w:ascii="宋体" w:hAnsi="宋体" w:cs="宋体"/>
          <w:b/>
          <w:bCs/>
          <w:kern w:val="0"/>
          <w:sz w:val="24"/>
          <w:lang w:val="en-US" w:eastAsia="zh-CN"/>
        </w:rPr>
        <w:t>10号楼3楼308室</w:t>
      </w:r>
      <w:r>
        <w:rPr>
          <w:rFonts w:hint="eastAsia" w:ascii="宋体" w:hAnsi="宋体" w:cs="宋体"/>
          <w:b/>
          <w:bCs/>
          <w:kern w:val="0"/>
          <w:sz w:val="24"/>
          <w:lang w:eastAsia="zh-CN"/>
        </w:rPr>
        <w:t>）</w:t>
      </w:r>
      <w:r>
        <w:rPr>
          <w:rFonts w:hint="eastAsia" w:ascii="宋体" w:hAnsi="宋体" w:cs="宋体"/>
          <w:kern w:val="0"/>
          <w:sz w:val="24"/>
        </w:rPr>
        <w:t>，联系电话：</w:t>
      </w:r>
      <w:r>
        <w:rPr>
          <w:rFonts w:hint="eastAsia" w:cs="宋体"/>
          <w:kern w:val="0"/>
          <w:sz w:val="24"/>
          <w:lang w:val="en-US" w:eastAsia="zh-CN"/>
        </w:rPr>
        <w:t>0572-2125808</w:t>
      </w:r>
      <w:r>
        <w:rPr>
          <w:rFonts w:hint="eastAsia" w:cs="宋体"/>
          <w:kern w:val="0"/>
          <w:sz w:val="24"/>
        </w:rPr>
        <w:t>。</w:t>
      </w:r>
      <w:r>
        <w:rPr>
          <w:rFonts w:hint="eastAsia" w:ascii="宋体" w:hAnsi="宋体" w:cs="宋体"/>
          <w:kern w:val="0"/>
          <w:sz w:val="24"/>
        </w:rPr>
        <w:t>数据电子备份投标文件（U 盘）接收截止时间</w:t>
      </w:r>
      <w:r>
        <w:rPr>
          <w:rFonts w:hint="eastAsia" w:ascii="宋体" w:hAnsi="宋体" w:cs="宋体"/>
          <w:b/>
          <w:bCs/>
          <w:kern w:val="0"/>
          <w:sz w:val="24"/>
        </w:rPr>
        <w:t>：</w:t>
      </w:r>
      <w:r>
        <w:rPr>
          <w:rFonts w:hint="eastAsia" w:ascii="宋体" w:hAnsi="宋体" w:cs="宋体"/>
          <w:b/>
          <w:bCs/>
          <w:color w:val="auto"/>
          <w:kern w:val="0"/>
          <w:sz w:val="24"/>
          <w:highlight w:val="none"/>
        </w:rPr>
        <w:t>为202</w:t>
      </w:r>
      <w:r>
        <w:rPr>
          <w:rFonts w:hint="eastAsia" w:ascii="宋体" w:hAnsi="宋体" w:cs="宋体"/>
          <w:b/>
          <w:bCs/>
          <w:color w:val="auto"/>
          <w:kern w:val="0"/>
          <w:sz w:val="24"/>
          <w:highlight w:val="none"/>
          <w:lang w:val="en-US" w:eastAsia="zh-CN"/>
        </w:rPr>
        <w:t>1</w:t>
      </w:r>
      <w:r>
        <w:rPr>
          <w:rFonts w:hint="eastAsia" w:ascii="宋体" w:hAnsi="宋体" w:cs="宋体"/>
          <w:b/>
          <w:bCs/>
          <w:color w:val="auto"/>
          <w:kern w:val="0"/>
          <w:sz w:val="24"/>
          <w:highlight w:val="none"/>
        </w:rPr>
        <w:t>年</w:t>
      </w:r>
      <w:r>
        <w:rPr>
          <w:rFonts w:hint="eastAsia" w:ascii="宋体" w:hAnsi="宋体" w:cs="宋体"/>
          <w:b/>
          <w:bCs/>
          <w:sz w:val="24"/>
          <w:highlight w:val="none"/>
          <w:u w:val="single"/>
          <w:lang w:val="en-US" w:eastAsia="zh-CN"/>
        </w:rPr>
        <w:t xml:space="preserve">   </w:t>
      </w:r>
      <w:r>
        <w:rPr>
          <w:rFonts w:hint="eastAsia" w:ascii="宋体" w:hAnsi="宋体" w:cs="宋体"/>
          <w:b/>
          <w:bCs/>
          <w:sz w:val="24"/>
          <w:highlight w:val="none"/>
        </w:rPr>
        <w:t>月</w:t>
      </w:r>
      <w:r>
        <w:rPr>
          <w:rFonts w:hint="eastAsia" w:ascii="宋体" w:hAnsi="宋体" w:cs="宋体"/>
          <w:b/>
          <w:bCs/>
          <w:sz w:val="24"/>
          <w:highlight w:val="none"/>
          <w:u w:val="single"/>
          <w:lang w:val="en-US" w:eastAsia="zh-CN"/>
        </w:rPr>
        <w:t xml:space="preserve">   </w:t>
      </w:r>
      <w:r>
        <w:rPr>
          <w:rFonts w:hint="eastAsia" w:ascii="宋体" w:hAnsi="宋体" w:cs="宋体"/>
          <w:b/>
          <w:bCs/>
          <w:sz w:val="24"/>
          <w:highlight w:val="none"/>
        </w:rPr>
        <w:t>日</w:t>
      </w:r>
      <w:r>
        <w:rPr>
          <w:rFonts w:hint="eastAsia" w:cs="宋体"/>
          <w:b/>
          <w:bCs/>
          <w:color w:val="auto"/>
          <w:kern w:val="0"/>
          <w:sz w:val="24"/>
          <w:highlight w:val="none"/>
          <w:lang w:eastAsia="zh-CN"/>
        </w:rPr>
        <w:t>下午</w:t>
      </w:r>
      <w:r>
        <w:rPr>
          <w:rFonts w:hint="eastAsia" w:cs="宋体"/>
          <w:b/>
          <w:bCs/>
          <w:color w:val="auto"/>
          <w:kern w:val="0"/>
          <w:sz w:val="24"/>
          <w:highlight w:val="none"/>
          <w:lang w:val="en-US" w:eastAsia="zh-CN"/>
        </w:rPr>
        <w:t>16</w:t>
      </w:r>
      <w:r>
        <w:rPr>
          <w:rFonts w:hint="eastAsia" w:ascii="宋体" w:hAnsi="宋体" w:cs="宋体"/>
          <w:b/>
          <w:bCs/>
          <w:color w:val="auto"/>
          <w:kern w:val="0"/>
          <w:sz w:val="24"/>
          <w:highlight w:val="none"/>
        </w:rPr>
        <w:t>:00 时前</w:t>
      </w:r>
      <w:r>
        <w:rPr>
          <w:rFonts w:hint="eastAsia" w:ascii="宋体" w:hAnsi="宋体" w:cs="宋体"/>
          <w:color w:val="auto"/>
          <w:kern w:val="0"/>
          <w:sz w:val="24"/>
          <w:highlight w:val="none"/>
        </w:rPr>
        <w:t>，</w:t>
      </w:r>
      <w:r>
        <w:rPr>
          <w:rFonts w:hint="eastAsia" w:ascii="宋体" w:hAnsi="宋体" w:cs="宋体"/>
          <w:kern w:val="0"/>
          <w:sz w:val="24"/>
        </w:rPr>
        <w:t>逾期送达或未密封的将被拒收。由代理公司二名人员（一名接收人、一名监督人员）统一负责接收数据电子备份投标文件（U 盘），二人均在接收记录单上对数据电子备份投标文件（U 盘）快递包裹的相关情况签字确认，与投标资料一并归档，接收文件全过程将录音录像。</w:t>
      </w:r>
    </w:p>
    <w:p>
      <w:pPr>
        <w:keepNext w:val="0"/>
        <w:keepLines w:val="0"/>
        <w:pageBreakBefore w:val="0"/>
        <w:kinsoku/>
        <w:overflowPunct/>
        <w:topLinePunct w:val="0"/>
        <w:autoSpaceDE/>
        <w:autoSpaceDN/>
        <w:bidi w:val="0"/>
        <w:snapToGrid w:val="0"/>
        <w:spacing w:line="500" w:lineRule="exact"/>
        <w:ind w:firstLine="470" w:firstLineChars="196"/>
        <w:textAlignment w:val="auto"/>
        <w:rPr>
          <w:rFonts w:hint="eastAsia" w:ascii="宋体" w:hAnsi="宋体" w:cs="宋体"/>
          <w:kern w:val="0"/>
          <w:sz w:val="24"/>
        </w:rPr>
      </w:pPr>
      <w:r>
        <w:rPr>
          <w:rFonts w:hint="eastAsia" w:ascii="宋体" w:hAnsi="宋体" w:cs="宋体"/>
          <w:kern w:val="0"/>
          <w:sz w:val="24"/>
        </w:rPr>
        <w:t>注：1）供应商应权衡利弊考虑是否提供数据电子备份投标文件（U盘），采购人及采购代理机构不做强制性要求，若因下一条款（第4条）原因须启用数据电子备份投标文件（U盘）时，而供应商未提供的，视为放弃投标资格，作无效标处理；2）供应商应对提供的数据电子备份投标文件（U盘）进行加密处理，若需要启用数据电子备份投标文件（U盘）时，再由供应商告知采购人及采购代理机构加密信息进行解密；3）若供应商未提供数据电子备份投标文件（U盘），招标公告及招标文件中关于数据电子备份投标文件（U盘）的要求及内容不再适用。</w:t>
      </w:r>
    </w:p>
    <w:p>
      <w:pPr>
        <w:keepNext w:val="0"/>
        <w:keepLines w:val="0"/>
        <w:pageBreakBefore w:val="0"/>
        <w:kinsoku/>
        <w:overflowPunct/>
        <w:topLinePunct w:val="0"/>
        <w:autoSpaceDE/>
        <w:autoSpaceDN/>
        <w:bidi w:val="0"/>
        <w:snapToGrid w:val="0"/>
        <w:spacing w:line="500" w:lineRule="exact"/>
        <w:ind w:firstLine="470" w:firstLineChars="196"/>
        <w:textAlignment w:val="auto"/>
        <w:rPr>
          <w:rFonts w:ascii="宋体" w:hAnsi="宋体" w:cs="宋体"/>
          <w:kern w:val="0"/>
          <w:sz w:val="24"/>
        </w:rPr>
      </w:pPr>
      <w:r>
        <w:rPr>
          <w:rFonts w:hint="eastAsia" w:ascii="宋体" w:hAnsi="宋体" w:cs="宋体"/>
          <w:kern w:val="0"/>
          <w:sz w:val="24"/>
        </w:rPr>
        <w:t>3.4</w:t>
      </w:r>
      <w:r>
        <w:rPr>
          <w:rFonts w:hint="eastAsia" w:ascii="宋体" w:hAnsi="宋体" w:cs="宋体"/>
          <w:kern w:val="0"/>
          <w:sz w:val="24"/>
          <w:lang w:val="en-US" w:eastAsia="zh-CN"/>
        </w:rPr>
        <w:t xml:space="preserve"> </w:t>
      </w:r>
      <w:r>
        <w:rPr>
          <w:rFonts w:hint="eastAsia" w:ascii="宋体" w:hAnsi="宋体" w:cs="宋体"/>
          <w:kern w:val="0"/>
          <w:sz w:val="24"/>
        </w:rPr>
        <w:t>CA锁解密时间为开标当日投标截止时间后，各供应商须提供符合要求的CA加密后的电子投标文件、有效的CA锁供开标当天解密，投标截止时间止未完成上传的电子投标文件或未按招标文件要求密封、包装的数据电子备份投标文件（U 盘）将拒绝接收，作无效标处理。整个开标过程中若因供应商问题造成电子投标文件无法正常解密的，均认定为未提交电子投标文件，作无效标处理。若因网络或者其他非供应商问题造成电子投标文件无法正常解密的，启用数据电子备份投标文件（U 盘），数据电子备份投标文件（U 盘）未提供或因供应商问题造成无法打开的，作无效标处理。若正常解密成功，则数据电子备份投标文件（U 盘）不予开启。在下一顺位的投标文件启用时，前一顺位的投标文件自动失效。</w:t>
      </w:r>
    </w:p>
    <w:p>
      <w:pPr>
        <w:keepNext w:val="0"/>
        <w:keepLines w:val="0"/>
        <w:pageBreakBefore w:val="0"/>
        <w:kinsoku/>
        <w:overflowPunct/>
        <w:topLinePunct w:val="0"/>
        <w:autoSpaceDE/>
        <w:autoSpaceDN/>
        <w:bidi w:val="0"/>
        <w:snapToGrid w:val="0"/>
        <w:spacing w:line="500" w:lineRule="exact"/>
        <w:ind w:firstLine="470" w:firstLineChars="196"/>
        <w:textAlignment w:val="auto"/>
        <w:rPr>
          <w:rFonts w:ascii="宋体" w:hAnsi="宋体" w:cs="宋体"/>
          <w:kern w:val="0"/>
          <w:sz w:val="24"/>
        </w:rPr>
      </w:pPr>
      <w:r>
        <w:rPr>
          <w:rFonts w:hint="eastAsia" w:ascii="宋体" w:hAnsi="宋体" w:cs="宋体"/>
          <w:kern w:val="0"/>
          <w:sz w:val="24"/>
        </w:rPr>
        <w:t>4.供应商须在线获取CA数字证书（完成CA数字证书办理预计一周左右，建议各供应商自行把握时间，办理流程详见</w:t>
      </w:r>
    </w:p>
    <w:p>
      <w:pPr>
        <w:keepNext w:val="0"/>
        <w:keepLines w:val="0"/>
        <w:pageBreakBefore w:val="0"/>
        <w:kinsoku/>
        <w:overflowPunct/>
        <w:topLinePunct w:val="0"/>
        <w:autoSpaceDE/>
        <w:autoSpaceDN/>
        <w:bidi w:val="0"/>
        <w:snapToGrid w:val="0"/>
        <w:spacing w:line="500" w:lineRule="exact"/>
        <w:ind w:firstLine="470" w:firstLineChars="196"/>
        <w:textAlignment w:val="auto"/>
        <w:rPr>
          <w:rFonts w:ascii="宋体" w:hAnsi="宋体" w:cs="宋体"/>
          <w:kern w:val="0"/>
          <w:sz w:val="24"/>
        </w:rPr>
      </w:pPr>
      <w:r>
        <w:rPr>
          <w:rFonts w:hint="eastAsia" w:ascii="宋体" w:hAnsi="宋体" w:cs="宋体"/>
          <w:kern w:val="0"/>
          <w:sz w:val="24"/>
          <w:lang w:val="en-US"/>
        </w:rPr>
        <w:t>http://zfcg.czt.zj.gov.cn/bidClientTemplate/2019-05-27/12945.html</w:t>
      </w:r>
      <w:r>
        <w:rPr>
          <w:rFonts w:hint="eastAsia" w:ascii="宋体" w:hAnsi="宋体" w:cs="宋体"/>
          <w:kern w:val="0"/>
          <w:sz w:val="24"/>
        </w:rPr>
        <w:t>），并登陆“浙江省政府采购网”(</w:t>
      </w:r>
      <w:r>
        <w:rPr>
          <w:rFonts w:ascii="宋体" w:hAnsi="宋体" w:eastAsia="宋体" w:cs="宋体"/>
          <w:sz w:val="24"/>
          <w:szCs w:val="24"/>
        </w:rPr>
        <w:t>http://zfcg.czt.zj.gov.cn/</w:t>
      </w:r>
      <w:r>
        <w:rPr>
          <w:rFonts w:hint="eastAsia" w:ascii="宋体" w:hAnsi="宋体" w:cs="宋体"/>
          <w:kern w:val="0"/>
          <w:sz w:val="24"/>
        </w:rPr>
        <w:t>)，进入“下载专区”下载“电子交易客户端”，制作投标文件。</w:t>
      </w:r>
    </w:p>
    <w:p>
      <w:pPr>
        <w:keepNext w:val="0"/>
        <w:keepLines w:val="0"/>
        <w:pageBreakBefore w:val="0"/>
        <w:kinsoku/>
        <w:overflowPunct/>
        <w:topLinePunct w:val="0"/>
        <w:autoSpaceDE/>
        <w:autoSpaceDN/>
        <w:bidi w:val="0"/>
        <w:snapToGrid w:val="0"/>
        <w:spacing w:line="500" w:lineRule="exact"/>
        <w:ind w:firstLine="470" w:firstLineChars="196"/>
        <w:textAlignment w:val="auto"/>
        <w:rPr>
          <w:rFonts w:ascii="宋体" w:hAnsi="宋体" w:cs="宋体"/>
          <w:kern w:val="0"/>
          <w:sz w:val="24"/>
        </w:rPr>
      </w:pPr>
      <w:r>
        <w:rPr>
          <w:rFonts w:hint="eastAsia" w:ascii="宋体" w:hAnsi="宋体" w:cs="宋体"/>
          <w:kern w:val="0"/>
          <w:sz w:val="24"/>
        </w:rPr>
        <w:t>5.供应商须将制作、加密后的电子版投标文件于投标截止时间前上传到政采云系统中，超过投标截止时间上传的，均按无效标处理。</w:t>
      </w:r>
    </w:p>
    <w:p>
      <w:pPr>
        <w:keepNext w:val="0"/>
        <w:keepLines w:val="0"/>
        <w:pageBreakBefore w:val="0"/>
        <w:kinsoku/>
        <w:overflowPunct/>
        <w:topLinePunct w:val="0"/>
        <w:autoSpaceDE/>
        <w:autoSpaceDN/>
        <w:bidi w:val="0"/>
        <w:snapToGrid w:val="0"/>
        <w:spacing w:line="500" w:lineRule="exact"/>
        <w:ind w:firstLine="470" w:firstLineChars="196"/>
        <w:textAlignment w:val="auto"/>
        <w:rPr>
          <w:rFonts w:ascii="宋体" w:hAnsi="宋体" w:cs="宋体"/>
          <w:kern w:val="0"/>
          <w:sz w:val="24"/>
        </w:rPr>
      </w:pPr>
      <w:r>
        <w:rPr>
          <w:rFonts w:hint="eastAsia" w:ascii="宋体" w:hAnsi="宋体" w:cs="宋体"/>
          <w:kern w:val="0"/>
          <w:sz w:val="24"/>
        </w:rPr>
        <w:t>6.供应商通过政采云平台电子投标工具制作投标文件，电子投标工具请供应商自行前往浙江省政府采购网下载并安装，（下载网址：</w:t>
      </w:r>
      <w:r>
        <w:rPr>
          <w:rFonts w:hint="eastAsia" w:ascii="宋体" w:hAnsi="宋体" w:cs="宋体"/>
          <w:kern w:val="0"/>
          <w:sz w:val="24"/>
          <w:lang w:val="en-US"/>
        </w:rPr>
        <w:t>http://zfcg.czt.zj.gov.cn</w:t>
      </w:r>
      <w:r>
        <w:rPr>
          <w:rFonts w:hint="eastAsia" w:ascii="宋体" w:hAnsi="宋体" w:cs="宋体"/>
          <w:kern w:val="0"/>
          <w:sz w:val="24"/>
        </w:rPr>
        <w:t>/bidClientTemplate/2019-09-24/12975.html），供应商电子交易操作指南详见网址：https://help.zcygov.cn/web/site_2/2018/12-28/2573.html）；</w:t>
      </w:r>
    </w:p>
    <w:p>
      <w:pPr>
        <w:keepNext w:val="0"/>
        <w:keepLines w:val="0"/>
        <w:pageBreakBefore w:val="0"/>
        <w:kinsoku/>
        <w:overflowPunct/>
        <w:topLinePunct w:val="0"/>
        <w:autoSpaceDE/>
        <w:autoSpaceDN/>
        <w:bidi w:val="0"/>
        <w:snapToGrid w:val="0"/>
        <w:spacing w:line="500" w:lineRule="exact"/>
        <w:ind w:firstLine="470" w:firstLineChars="196"/>
        <w:textAlignment w:val="auto"/>
        <w:rPr>
          <w:rFonts w:ascii="宋体" w:hAnsi="宋体" w:cs="宋体"/>
          <w:kern w:val="0"/>
          <w:sz w:val="24"/>
        </w:rPr>
      </w:pPr>
      <w:r>
        <w:rPr>
          <w:rFonts w:hint="eastAsia" w:ascii="宋体" w:hAnsi="宋体" w:cs="宋体"/>
          <w:kern w:val="0"/>
          <w:sz w:val="24"/>
        </w:rPr>
        <w:t>具体的投标文件加密上传等操作详见政采云平台操作指南。</w:t>
      </w:r>
    </w:p>
    <w:p>
      <w:pPr>
        <w:keepNext w:val="0"/>
        <w:keepLines w:val="0"/>
        <w:pageBreakBefore w:val="0"/>
        <w:kinsoku/>
        <w:overflowPunct/>
        <w:topLinePunct w:val="0"/>
        <w:autoSpaceDE/>
        <w:autoSpaceDN/>
        <w:bidi w:val="0"/>
        <w:snapToGrid w:val="0"/>
        <w:spacing w:line="500" w:lineRule="exact"/>
        <w:ind w:firstLine="548" w:firstLineChars="196"/>
        <w:textAlignment w:val="auto"/>
        <w:rPr>
          <w:rFonts w:ascii="宋体" w:hAnsi="宋体" w:cs="宋体"/>
          <w:kern w:val="0"/>
          <w:sz w:val="24"/>
        </w:rPr>
      </w:pPr>
      <w:r>
        <w:fldChar w:fldCharType="begin"/>
      </w:r>
      <w:r>
        <w:instrText xml:space="preserve"> HYPERLINK "https://edu.zcygov.cn/luban/e-biding?utm=a0004.2ef5001f.0001.0109.da8b35e0da8611e98d8937b7ef8a3544" </w:instrText>
      </w:r>
      <w:r>
        <w:fldChar w:fldCharType="separate"/>
      </w:r>
      <w:r>
        <w:rPr>
          <w:rFonts w:hint="eastAsia" w:ascii="宋体" w:hAnsi="宋体" w:cs="宋体"/>
          <w:kern w:val="0"/>
          <w:sz w:val="24"/>
        </w:rPr>
        <w:t>https://edu.zcygov.cn/luban/e-biding?utm=a0004.2ef5001f.0001.0109.da8b35e0da8611e98d8937b7ef8a3544</w:t>
      </w:r>
      <w:r>
        <w:rPr>
          <w:rFonts w:hint="eastAsia" w:ascii="宋体" w:hAnsi="宋体" w:cs="宋体"/>
          <w:kern w:val="0"/>
          <w:sz w:val="24"/>
        </w:rPr>
        <w:fldChar w:fldCharType="end"/>
      </w:r>
    </w:p>
    <w:p>
      <w:pPr>
        <w:keepNext w:val="0"/>
        <w:keepLines w:val="0"/>
        <w:pageBreakBefore w:val="0"/>
        <w:kinsoku/>
        <w:overflowPunct/>
        <w:topLinePunct w:val="0"/>
        <w:autoSpaceDE/>
        <w:autoSpaceDN/>
        <w:bidi w:val="0"/>
        <w:snapToGrid w:val="0"/>
        <w:spacing w:line="500" w:lineRule="exact"/>
        <w:ind w:firstLine="472" w:firstLineChars="196"/>
        <w:textAlignment w:val="auto"/>
        <w:rPr>
          <w:rFonts w:ascii="宋体" w:hAnsi="宋体" w:cs="宋体"/>
          <w:b/>
          <w:sz w:val="24"/>
        </w:rPr>
      </w:pPr>
      <w:r>
        <w:rPr>
          <w:rFonts w:hint="eastAsia" w:ascii="宋体" w:hAnsi="宋体" w:cs="宋体"/>
          <w:b/>
          <w:sz w:val="24"/>
        </w:rPr>
        <w:t>十、发布采购公告的媒体为：</w:t>
      </w:r>
    </w:p>
    <w:p>
      <w:pPr>
        <w:keepNext w:val="0"/>
        <w:keepLines w:val="0"/>
        <w:pageBreakBefore w:val="0"/>
        <w:widowControl/>
        <w:tabs>
          <w:tab w:val="left" w:pos="418"/>
        </w:tabs>
        <w:kinsoku/>
        <w:overflowPunct/>
        <w:topLinePunct w:val="0"/>
        <w:autoSpaceDE/>
        <w:autoSpaceDN/>
        <w:bidi w:val="0"/>
        <w:spacing w:line="500" w:lineRule="exact"/>
        <w:ind w:firstLine="480" w:firstLineChars="200"/>
        <w:textAlignment w:val="auto"/>
        <w:rPr>
          <w:rFonts w:ascii="宋体" w:hAnsi="宋体" w:cs="宋体"/>
          <w:kern w:val="0"/>
          <w:sz w:val="24"/>
        </w:rPr>
      </w:pPr>
      <w:r>
        <w:rPr>
          <w:rFonts w:hint="eastAsia" w:ascii="宋体" w:hAnsi="宋体" w:cs="宋体"/>
          <w:kern w:val="0"/>
          <w:sz w:val="24"/>
        </w:rPr>
        <w:t>浙江政府采购网 （</w:t>
      </w:r>
      <w:r>
        <w:rPr>
          <w:rFonts w:ascii="宋体" w:hAnsi="宋体" w:eastAsia="宋体" w:cs="宋体"/>
          <w:sz w:val="24"/>
          <w:szCs w:val="24"/>
        </w:rPr>
        <w:t>http://zfcg.czt.zj.gov.cn/</w:t>
      </w:r>
      <w:r>
        <w:rPr>
          <w:rFonts w:hint="eastAsia" w:ascii="宋体" w:hAnsi="宋体" w:cs="宋体"/>
          <w:kern w:val="0"/>
          <w:sz w:val="24"/>
        </w:rPr>
        <w:t>）；</w:t>
      </w:r>
    </w:p>
    <w:p>
      <w:pPr>
        <w:keepNext w:val="0"/>
        <w:keepLines w:val="0"/>
        <w:pageBreakBefore w:val="0"/>
        <w:widowControl/>
        <w:tabs>
          <w:tab w:val="left" w:pos="418"/>
        </w:tabs>
        <w:kinsoku/>
        <w:overflowPunct/>
        <w:topLinePunct w:val="0"/>
        <w:autoSpaceDE/>
        <w:autoSpaceDN/>
        <w:bidi w:val="0"/>
        <w:spacing w:line="500" w:lineRule="exact"/>
        <w:ind w:firstLine="480" w:firstLineChars="200"/>
        <w:textAlignment w:val="auto"/>
        <w:rPr>
          <w:rFonts w:ascii="宋体" w:hAnsi="宋体" w:cs="宋体"/>
          <w:kern w:val="0"/>
          <w:sz w:val="24"/>
        </w:rPr>
      </w:pPr>
      <w:r>
        <w:rPr>
          <w:rFonts w:hint="eastAsia" w:ascii="宋体" w:hAnsi="宋体" w:cs="宋体"/>
          <w:kern w:val="0"/>
          <w:sz w:val="24"/>
        </w:rPr>
        <w:t>湖州市吴兴区公共资源交易中心（http://www.wuxing.gov.cn/hzgov/front/s127/sy/index.html）；</w:t>
      </w:r>
    </w:p>
    <w:p>
      <w:pPr>
        <w:pStyle w:val="29"/>
        <w:keepNext w:val="0"/>
        <w:keepLines w:val="0"/>
        <w:pageBreakBefore w:val="0"/>
        <w:kinsoku/>
        <w:overflowPunct/>
        <w:topLinePunct w:val="0"/>
        <w:autoSpaceDE/>
        <w:autoSpaceDN/>
        <w:bidi w:val="0"/>
        <w:adjustRightInd w:val="0"/>
        <w:snapToGrid w:val="0"/>
        <w:spacing w:line="500" w:lineRule="exact"/>
        <w:ind w:firstLine="482"/>
        <w:textAlignment w:val="auto"/>
        <w:outlineLvl w:val="1"/>
        <w:rPr>
          <w:rFonts w:cs="宋体"/>
          <w:b/>
          <w:sz w:val="24"/>
          <w:szCs w:val="24"/>
        </w:rPr>
      </w:pPr>
      <w:r>
        <w:rPr>
          <w:rFonts w:hint="eastAsia" w:cs="宋体"/>
          <w:b/>
          <w:sz w:val="24"/>
          <w:szCs w:val="24"/>
        </w:rPr>
        <w:t>十</w:t>
      </w:r>
      <w:bookmarkEnd w:id="13"/>
      <w:bookmarkEnd w:id="14"/>
      <w:r>
        <w:rPr>
          <w:rFonts w:hint="eastAsia" w:cs="宋体"/>
          <w:b/>
          <w:sz w:val="24"/>
          <w:szCs w:val="24"/>
          <w:lang w:eastAsia="zh-CN"/>
        </w:rPr>
        <w:t>一</w:t>
      </w:r>
      <w:r>
        <w:rPr>
          <w:rFonts w:hint="eastAsia" w:cs="宋体"/>
          <w:b/>
          <w:sz w:val="24"/>
          <w:szCs w:val="24"/>
        </w:rPr>
        <w:t>、其它事项：</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ascii="宋体" w:hAnsi="宋体" w:cs="宋体"/>
          <w:kern w:val="0"/>
          <w:sz w:val="24"/>
        </w:rPr>
      </w:pPr>
      <w:bookmarkStart w:id="15" w:name="_Toc20737"/>
      <w:r>
        <w:rPr>
          <w:rFonts w:hint="eastAsia" w:ascii="宋体" w:hAnsi="宋体" w:cs="宋体"/>
          <w:kern w:val="0"/>
          <w:sz w:val="24"/>
        </w:rPr>
        <w:t>1</w:t>
      </w:r>
      <w:r>
        <w:rPr>
          <w:rFonts w:hint="eastAsia" w:ascii="宋体" w:hAnsi="宋体" w:cs="宋体"/>
          <w:kern w:val="0"/>
          <w:sz w:val="24"/>
          <w:lang w:val="en-US" w:eastAsia="zh-CN"/>
        </w:rPr>
        <w:t>.</w:t>
      </w:r>
      <w:r>
        <w:rPr>
          <w:rFonts w:hint="eastAsia" w:ascii="宋体" w:hAnsi="宋体" w:cs="宋体"/>
          <w:kern w:val="0"/>
          <w:sz w:val="24"/>
        </w:rPr>
        <w:t>本项目为电子招投标项目，实行网上招投标，应按照本采购文件及政采云平台的要求编制、加密并要求投标供应商通过政采云系统在线开标响应，开标截止时间前须完成电子投标文件的上传。投标供应商在使用系统进行响应的过程中遇到涉及平台使用的任何问题，可致电政采云平台技术支持热线咨询，联系方式：400-881-7190。</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ascii="宋体" w:hAnsi="宋体" w:cs="宋体"/>
          <w:sz w:val="24"/>
        </w:rPr>
      </w:pPr>
      <w:r>
        <w:rPr>
          <w:rFonts w:hint="eastAsia" w:ascii="宋体" w:hAnsi="宋体" w:cs="宋体"/>
          <w:kern w:val="0"/>
          <w:sz w:val="24"/>
        </w:rPr>
        <w:t>2</w:t>
      </w:r>
      <w:r>
        <w:rPr>
          <w:rFonts w:hint="eastAsia" w:ascii="宋体" w:hAnsi="宋体" w:cs="宋体"/>
          <w:kern w:val="0"/>
          <w:sz w:val="24"/>
          <w:lang w:val="en-US" w:eastAsia="zh-CN"/>
        </w:rPr>
        <w:t>.</w:t>
      </w:r>
      <w:r>
        <w:rPr>
          <w:rFonts w:hint="eastAsia" w:ascii="宋体" w:hAnsi="宋体" w:cs="宋体"/>
          <w:color w:val="000000"/>
          <w:kern w:val="0"/>
          <w:sz w:val="24"/>
        </w:rPr>
        <w:t>本项目公告期限为5个工作日，供应商认为采购文件使自己的权益受到损害的，可以自获取采购文件之日起7个工作日内，以书面形式向采购人和采购代理机构提出质疑（未按规定在“政府采购云平台”完成投标报名并获取采购文件的供应商对采购文件提起的质疑将不予受理）。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r>
        <w:rPr>
          <w:rFonts w:hint="eastAsia" w:ascii="宋体" w:hAnsi="宋体" w:cs="宋体"/>
          <w:kern w:val="0"/>
          <w:sz w:val="24"/>
        </w:rPr>
        <w:t>。</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ascii="宋体" w:hAnsi="宋体" w:cs="宋体"/>
          <w:sz w:val="24"/>
        </w:rPr>
      </w:pPr>
      <w:r>
        <w:rPr>
          <w:rFonts w:hint="eastAsia" w:ascii="宋体" w:hAnsi="宋体" w:cs="宋体"/>
          <w:color w:val="000000"/>
          <w:kern w:val="0"/>
          <w:sz w:val="24"/>
          <w:lang w:val="en-US" w:eastAsia="zh-CN"/>
        </w:rPr>
        <w:t>3.</w:t>
      </w:r>
      <w:r>
        <w:rPr>
          <w:rFonts w:hint="eastAsia" w:ascii="宋体" w:hAnsi="宋体" w:cs="宋体"/>
          <w:color w:val="000000"/>
          <w:kern w:val="0"/>
          <w:sz w:val="24"/>
        </w:rPr>
        <w:t>投标供应商如认为开标过程和成交结果使自身的合法权益受到损害的，应于自预成交结果公告之日起七个工作日内以书面形式向采购机构提出质疑，逾期不予受理。投标供应商对采购代理机构的质疑答复不满意或者采购代理机构未在规定时间内作出答复的，可以在答复期满后十五个工作日内向同级政府采购监督管理部门投诉。</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hint="eastAsia" w:ascii="宋体" w:hAnsi="宋体" w:cs="宋体"/>
          <w:kern w:val="0"/>
          <w:sz w:val="24"/>
        </w:rPr>
      </w:pPr>
      <w:r>
        <w:rPr>
          <w:rFonts w:hint="eastAsia" w:ascii="宋体" w:hAnsi="宋体" w:cs="宋体"/>
          <w:kern w:val="0"/>
          <w:sz w:val="24"/>
          <w:lang w:val="en-US" w:eastAsia="zh-CN"/>
        </w:rPr>
        <w:t>4</w:t>
      </w:r>
      <w:r>
        <w:rPr>
          <w:rFonts w:hint="eastAsia" w:ascii="宋体" w:hAnsi="宋体" w:cs="宋体"/>
          <w:kern w:val="0"/>
          <w:sz w:val="24"/>
        </w:rPr>
        <w:t>.参与政府采购项目的注册投标供应商，需登录浙江政府采购云平台(http://www.zcygov.cn)进行网上报名；尚未注册的投标供应商应当先在浙江政府采购云平台上申请注册，注册终审通过后再进行网上报名。</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hint="eastAsia" w:ascii="宋体" w:hAnsi="宋体" w:cs="宋体"/>
          <w:kern w:val="0"/>
          <w:sz w:val="24"/>
          <w:lang w:val="en-US" w:eastAsia="zh-CN"/>
        </w:rPr>
      </w:pPr>
      <w:r>
        <w:rPr>
          <w:rFonts w:hint="eastAsia" w:ascii="宋体" w:hAnsi="宋体" w:cs="宋体"/>
          <w:kern w:val="0"/>
          <w:sz w:val="24"/>
          <w:lang w:val="en-US" w:eastAsia="zh-CN"/>
        </w:rPr>
        <w:t>5.为有效破解当前中小微企业面临的“融资难、融资贵”困局，充分发挥好政府采购扶持小微企业发展的政策功能，本项目中标供应商可凭中标通知书等材料至“绿贷通平台”网页（https://lvdt.huzldt.com/）或“政采贷”平台网页（www.zcygov.cn）申请相关融资产品。具体操作方式可在“绿贷通”或“政采贷”平台网站查询，也可向“绿贷通”或“政采贷”平台电话咨询（“绿贷通”联系电话：0572-2392590、“政采贷”联系电话：0572-2151055、18698580797）。</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hint="default" w:ascii="宋体" w:hAnsi="宋体" w:cs="宋体"/>
          <w:kern w:val="0"/>
          <w:sz w:val="24"/>
          <w:lang w:val="en-US" w:eastAsia="zh-CN"/>
        </w:rPr>
      </w:pPr>
      <w:r>
        <w:rPr>
          <w:rFonts w:hint="eastAsia" w:ascii="宋体" w:hAnsi="宋体" w:cs="宋体"/>
          <w:kern w:val="0"/>
          <w:sz w:val="24"/>
          <w:lang w:val="en-US" w:eastAsia="zh-CN"/>
        </w:rPr>
        <w:t>6.本项目是否专门面向中小企业采购：</w:t>
      </w:r>
      <w:r>
        <w:rPr>
          <w:rFonts w:hint="eastAsia" w:ascii="宋体" w:hAnsi="宋体" w:cs="宋体"/>
          <w:color w:val="auto"/>
          <w:kern w:val="0"/>
          <w:sz w:val="24"/>
          <w:lang w:val="en-US" w:eastAsia="zh-CN"/>
        </w:rPr>
        <w:t>否</w:t>
      </w:r>
      <w:r>
        <w:rPr>
          <w:rFonts w:hint="eastAsia" w:ascii="宋体" w:hAnsi="宋体" w:cs="宋体"/>
          <w:kern w:val="0"/>
          <w:sz w:val="24"/>
          <w:lang w:val="en-US" w:eastAsia="zh-CN"/>
        </w:rPr>
        <w:t>。</w:t>
      </w:r>
    </w:p>
    <w:p>
      <w:pPr>
        <w:keepNext w:val="0"/>
        <w:keepLines w:val="0"/>
        <w:pageBreakBefore w:val="0"/>
        <w:kinsoku/>
        <w:overflowPunct/>
        <w:topLinePunct w:val="0"/>
        <w:autoSpaceDE/>
        <w:autoSpaceDN/>
        <w:bidi w:val="0"/>
        <w:snapToGrid w:val="0"/>
        <w:spacing w:line="500" w:lineRule="exact"/>
        <w:ind w:firstLine="482" w:firstLineChars="200"/>
        <w:textAlignment w:val="auto"/>
        <w:rPr>
          <w:rFonts w:ascii="宋体" w:hAnsi="宋体" w:cs="宋体"/>
          <w:b/>
          <w:sz w:val="24"/>
        </w:rPr>
      </w:pPr>
      <w:r>
        <w:rPr>
          <w:rFonts w:hint="eastAsia" w:ascii="宋体" w:hAnsi="宋体" w:cs="宋体"/>
          <w:b/>
          <w:bCs/>
          <w:kern w:val="0"/>
          <w:sz w:val="24"/>
        </w:rPr>
        <w:t>十</w:t>
      </w:r>
      <w:r>
        <w:rPr>
          <w:rFonts w:hint="eastAsia" w:ascii="宋体" w:hAnsi="宋体" w:cs="宋体"/>
          <w:b/>
          <w:bCs/>
          <w:kern w:val="0"/>
          <w:sz w:val="24"/>
          <w:lang w:eastAsia="zh-CN"/>
        </w:rPr>
        <w:t>二</w:t>
      </w:r>
      <w:r>
        <w:rPr>
          <w:rFonts w:hint="eastAsia" w:ascii="宋体" w:hAnsi="宋体" w:cs="宋体"/>
          <w:b/>
          <w:bCs/>
          <w:kern w:val="0"/>
          <w:sz w:val="24"/>
        </w:rPr>
        <w:t>、告知事</w:t>
      </w:r>
      <w:r>
        <w:rPr>
          <w:rFonts w:hint="eastAsia" w:ascii="宋体" w:hAnsi="宋体" w:cs="宋体"/>
          <w:b/>
          <w:sz w:val="24"/>
        </w:rPr>
        <w:t>项</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hint="eastAsia" w:ascii="宋体" w:hAnsi="宋体" w:eastAsia="宋体" w:cs="宋体"/>
          <w:sz w:val="24"/>
          <w:lang w:val="en-US" w:eastAsia="zh-CN"/>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投标供应商如需到场，必须指派无疫情接触史、身体健康且符合防控要求、佩戴口罩的人员参与开标现场活动，请严格把关。且只能指派 1 人参加现场开标活动</w:t>
      </w:r>
      <w:r>
        <w:rPr>
          <w:rFonts w:hint="eastAsia" w:ascii="宋体" w:hAnsi="宋体" w:cs="宋体"/>
          <w:sz w:val="24"/>
          <w:lang w:eastAsia="zh-CN"/>
        </w:rPr>
        <w:t>。</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参加开标的人员，请自觉做好个人防护工作，必须全程佩戴口罩（自备），听从交易中心工作人员引导，必须提供“一证一码一表”，即：身份证、“湖州健康码”（个人支付宝或浙里办 APP 中申领），开评标人员健康信息登记表（格式详见附件）。主动配合做好体温测量等各项疫情防控措施。投标供应商若为省外的，投标供应商代表在持有“湖州健康码”。</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rPr>
        <w:t>“湖州健康码”显示为绿色可进入交易中心，“湖州健康码”显示为黄色、红色或者现场测量体温高于 37.2℃且不符合防控管理要求的人员，一律谢绝进入交易中心参加开标活动</w:t>
      </w:r>
      <w:r>
        <w:rPr>
          <w:rFonts w:hint="eastAsia" w:ascii="宋体" w:hAnsi="宋体" w:cs="宋体"/>
          <w:sz w:val="24"/>
          <w:lang w:eastAsia="zh-CN"/>
        </w:rPr>
        <w:t>。</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ascii="宋体" w:hAnsi="宋体" w:cs="宋体"/>
          <w:sz w:val="24"/>
        </w:rPr>
      </w:pPr>
      <w:r>
        <w:rPr>
          <w:rFonts w:hint="eastAsia" w:ascii="宋体" w:hAnsi="宋体" w:cs="宋体"/>
          <w:sz w:val="24"/>
        </w:rPr>
        <w:t>4</w:t>
      </w:r>
      <w:r>
        <w:rPr>
          <w:rFonts w:hint="eastAsia" w:ascii="宋体" w:hAnsi="宋体" w:cs="宋体"/>
          <w:sz w:val="24"/>
          <w:lang w:val="en-US" w:eastAsia="zh-CN"/>
        </w:rPr>
        <w:t>.</w:t>
      </w:r>
      <w:r>
        <w:rPr>
          <w:rFonts w:hint="eastAsia" w:ascii="宋体" w:hAnsi="宋体" w:cs="宋体"/>
          <w:sz w:val="24"/>
        </w:rPr>
        <w:t>各投标供应商如确需到场，请充分考虑因路程、卡口防疫检查等因素（注：不得违反国家、浙江省、湖州市、吴兴区等相关规定）。特殊时期，为避免各因素带来不便导致时间效率问题，各投标供应商如确需到场，请提前30分钟。</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ascii="宋体" w:hAnsi="宋体" w:cs="宋体"/>
          <w:sz w:val="24"/>
        </w:rPr>
      </w:pPr>
      <w:r>
        <w:rPr>
          <w:rFonts w:hint="eastAsia" w:ascii="宋体" w:hAnsi="宋体" w:cs="宋体"/>
          <w:sz w:val="24"/>
        </w:rPr>
        <w:t>5</w:t>
      </w:r>
      <w:r>
        <w:rPr>
          <w:rFonts w:hint="eastAsia" w:ascii="宋体" w:hAnsi="宋体" w:cs="宋体"/>
          <w:sz w:val="24"/>
          <w:lang w:val="en-US" w:eastAsia="zh-CN"/>
        </w:rPr>
        <w:t>.</w:t>
      </w:r>
      <w:r>
        <w:rPr>
          <w:rFonts w:hint="eastAsia" w:ascii="宋体" w:hAnsi="宋体" w:cs="宋体"/>
          <w:sz w:val="24"/>
        </w:rPr>
        <w:t>所有需进入湖州市</w:t>
      </w:r>
      <w:r>
        <w:rPr>
          <w:rFonts w:hint="eastAsia" w:ascii="宋体" w:hAnsi="宋体" w:cs="宋体"/>
          <w:sz w:val="24"/>
          <w:lang w:eastAsia="zh-CN"/>
        </w:rPr>
        <w:t>吴兴区</w:t>
      </w:r>
      <w:r>
        <w:rPr>
          <w:rFonts w:hint="eastAsia" w:ascii="宋体" w:hAnsi="宋体" w:cs="宋体"/>
          <w:sz w:val="24"/>
        </w:rPr>
        <w:t>公共资源交易中心的相关人员应自觉遵守国家以及省、市、区有关疫情防控的其他规定。</w:t>
      </w:r>
    </w:p>
    <w:p>
      <w:pPr>
        <w:pStyle w:val="29"/>
        <w:keepNext w:val="0"/>
        <w:keepLines w:val="0"/>
        <w:pageBreakBefore w:val="0"/>
        <w:kinsoku/>
        <w:overflowPunct/>
        <w:topLinePunct w:val="0"/>
        <w:autoSpaceDE/>
        <w:autoSpaceDN/>
        <w:bidi w:val="0"/>
        <w:adjustRightInd w:val="0"/>
        <w:snapToGrid w:val="0"/>
        <w:spacing w:line="500" w:lineRule="exact"/>
        <w:ind w:firstLine="482"/>
        <w:textAlignment w:val="auto"/>
        <w:rPr>
          <w:rFonts w:cs="宋体"/>
          <w:b/>
          <w:sz w:val="24"/>
          <w:szCs w:val="24"/>
        </w:rPr>
      </w:pPr>
      <w:r>
        <w:rPr>
          <w:rFonts w:hint="eastAsia" w:cs="宋体"/>
          <w:b/>
          <w:sz w:val="24"/>
          <w:szCs w:val="24"/>
        </w:rPr>
        <w:t>十</w:t>
      </w:r>
      <w:r>
        <w:rPr>
          <w:rFonts w:hint="eastAsia" w:cs="宋体"/>
          <w:b/>
          <w:sz w:val="24"/>
          <w:szCs w:val="24"/>
          <w:lang w:eastAsia="zh-CN"/>
        </w:rPr>
        <w:t>三</w:t>
      </w:r>
      <w:r>
        <w:rPr>
          <w:rFonts w:hint="eastAsia" w:cs="宋体"/>
          <w:b/>
          <w:sz w:val="24"/>
          <w:szCs w:val="24"/>
        </w:rPr>
        <w:t>、业务咨询：</w:t>
      </w:r>
      <w:bookmarkEnd w:id="15"/>
    </w:p>
    <w:p>
      <w:pPr>
        <w:keepNext w:val="0"/>
        <w:keepLines w:val="0"/>
        <w:pageBreakBefore w:val="0"/>
        <w:kinsoku/>
        <w:overflowPunct/>
        <w:topLinePunct w:val="0"/>
        <w:autoSpaceDE/>
        <w:autoSpaceDN/>
        <w:bidi w:val="0"/>
        <w:snapToGrid w:val="0"/>
        <w:spacing w:line="500" w:lineRule="exact"/>
        <w:ind w:firstLine="480" w:firstLineChars="200"/>
        <w:textAlignment w:val="auto"/>
        <w:rPr>
          <w:rFonts w:ascii="宋体" w:hAnsi="宋体" w:cs="宋体"/>
          <w:sz w:val="24"/>
        </w:rPr>
      </w:pPr>
      <w:r>
        <w:rPr>
          <w:rFonts w:hint="eastAsia" w:ascii="宋体" w:hAnsi="宋体" w:cs="宋体"/>
          <w:sz w:val="24"/>
        </w:rPr>
        <w:t>采购人：</w:t>
      </w:r>
      <w:r>
        <w:rPr>
          <w:rFonts w:hint="eastAsia" w:ascii="宋体" w:hAnsi="宋体" w:cs="宋体"/>
          <w:sz w:val="24"/>
          <w:lang w:eastAsia="zh-CN"/>
        </w:rPr>
        <w:t>湖州市吴兴区织里镇公共事业服务中心</w:t>
      </w:r>
      <w:r>
        <w:rPr>
          <w:rFonts w:hint="eastAsia" w:ascii="宋体" w:hAnsi="宋体" w:cs="宋体"/>
          <w:sz w:val="24"/>
        </w:rPr>
        <w:t xml:space="preserve"> </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ascii="宋体" w:hAnsi="宋体" w:cs="宋体"/>
          <w:sz w:val="24"/>
        </w:rPr>
      </w:pPr>
      <w:r>
        <w:rPr>
          <w:rFonts w:hint="eastAsia" w:ascii="宋体" w:hAnsi="宋体" w:cs="宋体"/>
          <w:sz w:val="24"/>
        </w:rPr>
        <w:t>联系人：</w:t>
      </w:r>
      <w:r>
        <w:rPr>
          <w:rFonts w:hint="eastAsia" w:ascii="宋体" w:hAnsi="宋体" w:cs="宋体"/>
          <w:sz w:val="24"/>
          <w:lang w:eastAsia="zh-CN"/>
        </w:rPr>
        <w:t>宋主任</w:t>
      </w:r>
      <w:r>
        <w:rPr>
          <w:rFonts w:hint="eastAsia" w:ascii="宋体" w:hAnsi="宋体" w:cs="宋体"/>
          <w:sz w:val="24"/>
        </w:rPr>
        <w:t xml:space="preserve">        联系电话：</w:t>
      </w:r>
      <w:r>
        <w:rPr>
          <w:rFonts w:hint="eastAsia" w:ascii="宋体" w:hAnsi="宋体" w:cs="宋体"/>
          <w:sz w:val="24"/>
          <w:lang w:val="en-US" w:eastAsia="zh-CN"/>
        </w:rPr>
        <w:t>13616725836</w:t>
      </w:r>
      <w:r>
        <w:rPr>
          <w:rFonts w:hint="eastAsia" w:ascii="宋体" w:hAnsi="宋体" w:cs="宋体"/>
          <w:sz w:val="24"/>
        </w:rPr>
        <w:t xml:space="preserve"> </w:t>
      </w:r>
    </w:p>
    <w:p>
      <w:pPr>
        <w:pStyle w:val="22"/>
        <w:keepNext w:val="0"/>
        <w:keepLines w:val="0"/>
        <w:pageBreakBefore w:val="0"/>
        <w:kinsoku/>
        <w:overflowPunct/>
        <w:topLinePunct w:val="0"/>
        <w:autoSpaceDE/>
        <w:autoSpaceDN/>
        <w:bidi w:val="0"/>
        <w:spacing w:line="500" w:lineRule="exact"/>
        <w:ind w:left="0" w:leftChars="0" w:firstLine="448" w:firstLineChars="0"/>
        <w:textAlignment w:val="auto"/>
      </w:pPr>
      <w:r>
        <w:rPr>
          <w:rFonts w:hint="eastAsia" w:ascii="宋体" w:hAnsi="宋体" w:cs="宋体"/>
          <w:sz w:val="24"/>
        </w:rPr>
        <w:t>地址：湖州市吴兴区吴兴大道</w:t>
      </w:r>
      <w:r>
        <w:rPr>
          <w:rFonts w:hint="eastAsia" w:ascii="宋体" w:hAnsi="宋体" w:cs="宋体"/>
          <w:sz w:val="24"/>
          <w:lang w:val="en-US" w:eastAsia="zh-CN"/>
        </w:rPr>
        <w:t>8</w:t>
      </w:r>
      <w:r>
        <w:rPr>
          <w:rFonts w:hint="eastAsia" w:ascii="宋体" w:hAnsi="宋体" w:cs="宋体"/>
          <w:sz w:val="24"/>
        </w:rPr>
        <w:t>号</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hint="eastAsia" w:ascii="宋体" w:hAnsi="宋体" w:eastAsia="宋体" w:cs="宋体"/>
          <w:sz w:val="24"/>
          <w:lang w:eastAsia="zh-CN"/>
        </w:rPr>
      </w:pPr>
      <w:r>
        <w:rPr>
          <w:rFonts w:hint="eastAsia" w:ascii="宋体" w:hAnsi="宋体" w:cs="宋体"/>
          <w:sz w:val="24"/>
        </w:rPr>
        <w:t>代理机构：</w:t>
      </w:r>
      <w:r>
        <w:rPr>
          <w:rFonts w:hint="eastAsia" w:ascii="宋体" w:hAnsi="宋体" w:cs="宋体"/>
          <w:sz w:val="24"/>
          <w:lang w:eastAsia="zh-CN"/>
        </w:rPr>
        <w:t>宁波建信工程造价咨询事务所有限公司</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hint="default" w:ascii="宋体" w:hAnsi="宋体" w:eastAsia="宋体" w:cs="宋体"/>
          <w:sz w:val="24"/>
          <w:lang w:val="en-US" w:eastAsia="zh-CN"/>
        </w:rPr>
      </w:pPr>
      <w:r>
        <w:rPr>
          <w:rFonts w:hint="eastAsia" w:ascii="宋体" w:hAnsi="宋体" w:cs="宋体"/>
          <w:sz w:val="24"/>
        </w:rPr>
        <w:t>联系人：</w:t>
      </w:r>
      <w:r>
        <w:rPr>
          <w:rFonts w:hint="eastAsia" w:ascii="宋体" w:hAnsi="宋体" w:cs="宋体"/>
          <w:sz w:val="24"/>
          <w:lang w:eastAsia="zh-CN"/>
        </w:rPr>
        <w:t>王美炎</w:t>
      </w:r>
      <w:r>
        <w:rPr>
          <w:rFonts w:hint="eastAsia" w:ascii="宋体" w:hAnsi="宋体" w:cs="宋体"/>
          <w:sz w:val="24"/>
        </w:rPr>
        <w:t xml:space="preserve">          联系电话：0572-</w:t>
      </w:r>
      <w:r>
        <w:rPr>
          <w:rFonts w:hint="eastAsia" w:ascii="宋体" w:hAnsi="宋体" w:cs="宋体"/>
          <w:sz w:val="24"/>
          <w:lang w:val="en-US" w:eastAsia="zh-CN"/>
        </w:rPr>
        <w:t>2125808</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hint="default" w:ascii="宋体" w:hAnsi="宋体" w:eastAsia="宋体" w:cs="宋体"/>
          <w:kern w:val="0"/>
          <w:sz w:val="24"/>
          <w:lang w:val="en-US" w:eastAsia="zh-CN"/>
        </w:rPr>
      </w:pPr>
      <w:r>
        <w:rPr>
          <w:rFonts w:hint="eastAsia" w:ascii="宋体" w:hAnsi="宋体" w:cs="宋体"/>
          <w:kern w:val="0"/>
          <w:sz w:val="24"/>
        </w:rPr>
        <w:t>质疑函接收人：</w:t>
      </w:r>
      <w:r>
        <w:rPr>
          <w:rFonts w:hint="eastAsia" w:ascii="宋体" w:hAnsi="宋体" w:cs="宋体"/>
          <w:kern w:val="0"/>
          <w:sz w:val="24"/>
          <w:lang w:eastAsia="zh-CN"/>
        </w:rPr>
        <w:t>朱先生</w:t>
      </w:r>
      <w:r>
        <w:rPr>
          <w:rFonts w:hint="eastAsia" w:ascii="宋体" w:hAnsi="宋体" w:cs="宋体"/>
          <w:kern w:val="0"/>
          <w:sz w:val="24"/>
        </w:rPr>
        <w:t xml:space="preserve">    </w:t>
      </w:r>
      <w:r>
        <w:rPr>
          <w:rFonts w:hint="eastAsia" w:ascii="宋体" w:hAnsi="宋体" w:cs="宋体"/>
          <w:kern w:val="0"/>
          <w:sz w:val="24"/>
          <w:lang w:eastAsia="zh-CN"/>
        </w:rPr>
        <w:t>传真</w:t>
      </w:r>
      <w:r>
        <w:rPr>
          <w:rFonts w:hint="eastAsia" w:ascii="宋体" w:hAnsi="宋体" w:cs="宋体"/>
          <w:kern w:val="0"/>
          <w:sz w:val="24"/>
        </w:rPr>
        <w:t>：0572-</w:t>
      </w:r>
      <w:r>
        <w:rPr>
          <w:rFonts w:hint="eastAsia" w:ascii="宋体" w:hAnsi="宋体" w:cs="宋体"/>
          <w:kern w:val="0"/>
          <w:sz w:val="24"/>
          <w:lang w:val="en-US" w:eastAsia="zh-CN"/>
        </w:rPr>
        <w:t>2122998</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hint="eastAsia" w:ascii="宋体" w:hAnsi="宋体" w:cs="宋体"/>
          <w:b/>
          <w:bCs/>
          <w:kern w:val="0"/>
          <w:sz w:val="24"/>
          <w:lang w:val="en-US" w:eastAsia="zh-CN"/>
        </w:rPr>
      </w:pPr>
      <w:r>
        <w:rPr>
          <w:rFonts w:hint="eastAsia" w:ascii="宋体" w:hAnsi="宋体" w:cs="宋体"/>
          <w:sz w:val="24"/>
        </w:rPr>
        <w:t>地址：</w:t>
      </w:r>
      <w:r>
        <w:rPr>
          <w:rFonts w:hint="eastAsia" w:ascii="宋体" w:hAnsi="宋体" w:cs="宋体"/>
          <w:b w:val="0"/>
          <w:bCs w:val="0"/>
          <w:kern w:val="0"/>
          <w:sz w:val="24"/>
          <w:lang w:eastAsia="zh-CN"/>
        </w:rPr>
        <w:t>湖州市亿丰国际建材城</w:t>
      </w:r>
      <w:r>
        <w:rPr>
          <w:rFonts w:hint="eastAsia" w:ascii="宋体" w:hAnsi="宋体" w:cs="宋体"/>
          <w:b w:val="0"/>
          <w:bCs w:val="0"/>
          <w:kern w:val="0"/>
          <w:sz w:val="24"/>
          <w:lang w:val="en-US" w:eastAsia="zh-CN"/>
        </w:rPr>
        <w:t>10号楼3楼308室</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ascii="宋体" w:hAnsi="宋体" w:cs="宋体"/>
          <w:sz w:val="24"/>
        </w:rPr>
      </w:pPr>
      <w:r>
        <w:rPr>
          <w:rFonts w:hint="eastAsia" w:ascii="宋体" w:hAnsi="宋体" w:cs="宋体"/>
          <w:sz w:val="24"/>
        </w:rPr>
        <w:t>政府采购行政监管及投诉受理部门：</w:t>
      </w:r>
    </w:p>
    <w:p>
      <w:pPr>
        <w:keepNext w:val="0"/>
        <w:keepLines w:val="0"/>
        <w:pageBreakBefore w:val="0"/>
        <w:kinsoku/>
        <w:overflowPunct/>
        <w:topLinePunct w:val="0"/>
        <w:autoSpaceDE/>
        <w:autoSpaceDN/>
        <w:bidi w:val="0"/>
        <w:snapToGrid w:val="0"/>
        <w:spacing w:line="500" w:lineRule="exact"/>
        <w:ind w:firstLine="480" w:firstLineChars="200"/>
        <w:textAlignment w:val="auto"/>
        <w:rPr>
          <w:rFonts w:ascii="宋体" w:hAnsi="宋体" w:cs="宋体"/>
          <w:sz w:val="24"/>
        </w:rPr>
      </w:pPr>
      <w:r>
        <w:rPr>
          <w:rFonts w:hint="eastAsia" w:ascii="宋体" w:hAnsi="宋体" w:cs="宋体"/>
          <w:sz w:val="24"/>
        </w:rPr>
        <w:t>湖州市吴兴区财政局政府采购监管科       联系电话：0572-2289702</w:t>
      </w:r>
    </w:p>
    <w:p>
      <w:pPr>
        <w:pStyle w:val="22"/>
        <w:keepNext w:val="0"/>
        <w:keepLines w:val="0"/>
        <w:pageBreakBefore w:val="0"/>
        <w:kinsoku/>
        <w:overflowPunct/>
        <w:topLinePunct w:val="0"/>
        <w:autoSpaceDE/>
        <w:autoSpaceDN/>
        <w:bidi w:val="0"/>
        <w:spacing w:line="500" w:lineRule="exact"/>
        <w:ind w:left="0" w:leftChars="0" w:firstLine="448" w:firstLineChars="0"/>
        <w:textAlignment w:val="auto"/>
        <w:rPr>
          <w:rFonts w:ascii="宋体" w:hAnsi="宋体" w:cs="宋体"/>
          <w:sz w:val="24"/>
        </w:rPr>
      </w:pPr>
      <w:r>
        <w:rPr>
          <w:rFonts w:hint="eastAsia" w:ascii="宋体" w:hAnsi="宋体" w:cs="宋体"/>
          <w:sz w:val="24"/>
        </w:rPr>
        <w:t>地址：湖州市吴兴区吴兴大道1号</w:t>
      </w:r>
    </w:p>
    <w:p>
      <w:pPr>
        <w:pStyle w:val="20"/>
        <w:keepNext w:val="0"/>
        <w:keepLines w:val="0"/>
        <w:pageBreakBefore w:val="0"/>
        <w:kinsoku/>
        <w:overflowPunct/>
        <w:topLinePunct w:val="0"/>
        <w:autoSpaceDE/>
        <w:autoSpaceDN/>
        <w:bidi w:val="0"/>
        <w:spacing w:line="500" w:lineRule="exact"/>
        <w:ind w:firstLine="280"/>
        <w:textAlignment w:val="auto"/>
        <w:rPr>
          <w:rFonts w:ascii="宋体" w:hAnsi="宋体" w:cs="宋体"/>
        </w:rPr>
      </w:pPr>
    </w:p>
    <w:p>
      <w:pPr>
        <w:keepNext w:val="0"/>
        <w:keepLines w:val="0"/>
        <w:pageBreakBefore w:val="0"/>
        <w:widowControl/>
        <w:kinsoku/>
        <w:overflowPunct/>
        <w:topLinePunct w:val="0"/>
        <w:autoSpaceDE/>
        <w:autoSpaceDN/>
        <w:bidi w:val="0"/>
        <w:spacing w:line="500" w:lineRule="exact"/>
        <w:ind w:right="240" w:firstLine="480" w:firstLineChars="200"/>
        <w:jc w:val="right"/>
        <w:textAlignment w:val="auto"/>
        <w:rPr>
          <w:rFonts w:ascii="宋体" w:hAnsi="宋体" w:cs="宋体"/>
          <w:sz w:val="24"/>
        </w:rPr>
      </w:pPr>
      <w:r>
        <w:rPr>
          <w:rFonts w:hint="eastAsia" w:ascii="宋体" w:hAnsi="宋体" w:cs="宋体"/>
          <w:sz w:val="24"/>
          <w:lang w:eastAsia="zh-CN"/>
        </w:rPr>
        <w:t>湖州市吴兴区织里镇公共事业服务中心</w:t>
      </w:r>
      <w:r>
        <w:rPr>
          <w:rFonts w:hint="eastAsia" w:ascii="宋体" w:hAnsi="宋体" w:cs="宋体"/>
          <w:sz w:val="24"/>
        </w:rPr>
        <w:t xml:space="preserve"> </w:t>
      </w:r>
    </w:p>
    <w:p>
      <w:pPr>
        <w:keepNext w:val="0"/>
        <w:keepLines w:val="0"/>
        <w:pageBreakBefore w:val="0"/>
        <w:kinsoku/>
        <w:wordWrap w:val="0"/>
        <w:overflowPunct/>
        <w:topLinePunct w:val="0"/>
        <w:autoSpaceDE/>
        <w:autoSpaceDN/>
        <w:bidi w:val="0"/>
        <w:spacing w:line="500" w:lineRule="exact"/>
        <w:ind w:right="240"/>
        <w:jc w:val="right"/>
        <w:textAlignment w:val="auto"/>
        <w:rPr>
          <w:rFonts w:hint="eastAsia" w:ascii="宋体" w:hAnsi="宋体" w:eastAsia="宋体" w:cs="宋体"/>
          <w:sz w:val="24"/>
          <w:lang w:eastAsia="zh-CN"/>
        </w:rPr>
      </w:pPr>
      <w:r>
        <w:rPr>
          <w:rFonts w:hint="eastAsia" w:ascii="宋体" w:hAnsi="宋体" w:cs="宋体"/>
          <w:sz w:val="24"/>
        </w:rPr>
        <w:t xml:space="preserve">    </w:t>
      </w:r>
      <w:r>
        <w:rPr>
          <w:rFonts w:hint="eastAsia" w:ascii="宋体" w:hAnsi="宋体" w:cs="宋体"/>
          <w:sz w:val="24"/>
          <w:lang w:eastAsia="zh-CN"/>
        </w:rPr>
        <w:t>宁波建信工程造价咨询事务所有限公司</w:t>
      </w:r>
    </w:p>
    <w:p>
      <w:pPr>
        <w:keepNext w:val="0"/>
        <w:keepLines w:val="0"/>
        <w:pageBreakBefore w:val="0"/>
        <w:kinsoku/>
        <w:overflowPunct/>
        <w:topLinePunct w:val="0"/>
        <w:autoSpaceDE/>
        <w:autoSpaceDN/>
        <w:bidi w:val="0"/>
        <w:spacing w:line="500" w:lineRule="exact"/>
        <w:ind w:right="240"/>
        <w:jc w:val="right"/>
        <w:textAlignment w:val="auto"/>
        <w:rPr>
          <w:rFonts w:ascii="宋体" w:hAnsi="宋体"/>
          <w:sz w:val="24"/>
          <w:highlight w:val="none"/>
        </w:rPr>
      </w:pPr>
      <w:r>
        <w:rPr>
          <w:rFonts w:hint="eastAsia" w:ascii="宋体" w:hAnsi="宋体" w:cs="宋体"/>
          <w:kern w:val="0"/>
          <w:sz w:val="24"/>
          <w:highlight w:val="none"/>
        </w:rPr>
        <w:t>202</w:t>
      </w:r>
      <w:r>
        <w:rPr>
          <w:rFonts w:hint="eastAsia" w:ascii="宋体" w:hAnsi="宋体" w:cs="宋体"/>
          <w:kern w:val="0"/>
          <w:sz w:val="24"/>
          <w:highlight w:val="none"/>
          <w:lang w:val="en-US" w:eastAsia="zh-CN"/>
        </w:rPr>
        <w:t>1</w:t>
      </w:r>
      <w:r>
        <w:rPr>
          <w:rFonts w:hint="eastAsia" w:ascii="宋体" w:hAnsi="宋体" w:cs="宋体"/>
          <w:kern w:val="0"/>
          <w:sz w:val="24"/>
          <w:highlight w:val="none"/>
        </w:rPr>
        <w:t>年</w:t>
      </w:r>
      <w:r>
        <w:rPr>
          <w:rFonts w:hint="eastAsia" w:ascii="宋体" w:hAnsi="宋体" w:cs="宋体"/>
          <w:kern w:val="0"/>
          <w:sz w:val="24"/>
          <w:highlight w:val="none"/>
          <w:lang w:val="en-US" w:eastAsia="zh-CN"/>
        </w:rPr>
        <w:t>1月</w:t>
      </w:r>
      <w:r>
        <w:rPr>
          <w:rFonts w:hint="eastAsia" w:ascii="宋体" w:hAnsi="宋体" w:cs="宋体"/>
          <w:kern w:val="0"/>
          <w:sz w:val="24"/>
          <w:highlight w:val="none"/>
          <w:u w:val="single"/>
          <w:lang w:val="en-US" w:eastAsia="zh-CN"/>
        </w:rPr>
        <w:t xml:space="preserve">   </w:t>
      </w:r>
      <w:r>
        <w:rPr>
          <w:rFonts w:hint="eastAsia" w:ascii="宋体" w:hAnsi="宋体" w:cs="宋体"/>
          <w:kern w:val="0"/>
          <w:sz w:val="24"/>
          <w:highlight w:val="none"/>
        </w:rPr>
        <w:t xml:space="preserve">日 </w:t>
      </w:r>
    </w:p>
    <w:p>
      <w:pPr>
        <w:pStyle w:val="21"/>
        <w:ind w:left="0" w:leftChars="0" w:firstLine="0" w:firstLineChars="0"/>
      </w:pPr>
      <w:bookmarkStart w:id="16" w:name="_Toc27574"/>
    </w:p>
    <w:bookmarkEnd w:id="16"/>
    <w:p>
      <w:pPr>
        <w:pStyle w:val="3"/>
        <w:bidi w:val="0"/>
        <w:rPr>
          <w:rFonts w:hint="eastAsia"/>
        </w:rPr>
      </w:pPr>
      <w:bookmarkStart w:id="17" w:name="_Toc23238"/>
      <w:r>
        <w:rPr>
          <w:rFonts w:hint="eastAsia" w:ascii="宋体" w:hAnsi="宋体" w:eastAsia="宋体" w:cs="宋体"/>
          <w:b/>
          <w:sz w:val="44"/>
          <w:szCs w:val="44"/>
          <w:lang w:val="en-US" w:eastAsia="zh-CN"/>
        </w:rPr>
        <w:t>第二章 招标需求</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一、采购总说明</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为进一步清除影响消防安全的各类隐患，克服麻痹思想和侥幸心理，为织里镇长治久安、经济社会发展和人民群众安居乐业创造良好的安全环境；提高织里镇人居生活环境质量，加强城市环境卫生管理，维护市容市貌整洁美观，树立城市美好形象。根据《中华人民共和国消防法》、《浙江省城市市容和环境卫生管理条例》等相关法律法规规定，结合织里镇实际，特此进行相关招标工作。</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二、</w:t>
      </w:r>
      <w:r>
        <w:rPr>
          <w:rFonts w:hint="eastAsia" w:asciiTheme="minorEastAsia" w:hAnsiTheme="minorEastAsia" w:eastAsiaTheme="minorEastAsia" w:cstheme="minorEastAsia"/>
          <w:b/>
          <w:bCs/>
          <w:sz w:val="24"/>
          <w:szCs w:val="24"/>
        </w:rPr>
        <w:t>整治内容范围</w:t>
      </w:r>
      <w:r>
        <w:rPr>
          <w:rFonts w:hint="eastAsia" w:asciiTheme="minorEastAsia" w:hAnsiTheme="minorEastAsia" w:eastAsiaTheme="minorEastAsia" w:cstheme="minorEastAsia"/>
          <w:b/>
          <w:bCs/>
          <w:sz w:val="24"/>
          <w:szCs w:val="24"/>
          <w:lang w:eastAsia="zh-CN"/>
        </w:rPr>
        <w:t>及要求</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default" w:asciiTheme="minorEastAsia" w:hAnsiTheme="minorEastAsia" w:eastAsiaTheme="minorEastAsia" w:cstheme="minorEastAsia"/>
          <w:b w:val="0"/>
          <w:bCs w:val="0"/>
          <w:color w:val="FF0000"/>
          <w:sz w:val="24"/>
          <w:szCs w:val="24"/>
          <w:lang w:val="en-US" w:eastAsia="zh-CN"/>
        </w:rPr>
      </w:pPr>
      <w:r>
        <w:rPr>
          <w:rFonts w:hint="eastAsia" w:asciiTheme="minorEastAsia" w:hAnsiTheme="minorEastAsia" w:eastAsiaTheme="minorEastAsia" w:cstheme="minorEastAsia"/>
          <w:b w:val="0"/>
          <w:bCs w:val="0"/>
          <w:color w:val="FF0000"/>
          <w:sz w:val="24"/>
          <w:szCs w:val="24"/>
          <w:lang w:val="en-US" w:eastAsia="zh-CN"/>
        </w:rPr>
        <w:t>1、</w:t>
      </w:r>
      <w:r>
        <w:rPr>
          <w:rFonts w:hint="eastAsia" w:asciiTheme="minorEastAsia" w:hAnsiTheme="minorEastAsia" w:eastAsiaTheme="minorEastAsia" w:cstheme="minorEastAsia"/>
          <w:b w:val="0"/>
          <w:bCs w:val="0"/>
          <w:color w:val="FF0000"/>
          <w:sz w:val="24"/>
          <w:szCs w:val="24"/>
          <w:lang w:eastAsia="zh-CN"/>
        </w:rPr>
        <w:t>整治内容主要为</w:t>
      </w:r>
      <w:r>
        <w:rPr>
          <w:rFonts w:hint="eastAsia" w:asciiTheme="minorEastAsia" w:hAnsiTheme="minorEastAsia" w:eastAsiaTheme="minorEastAsia" w:cstheme="minorEastAsia"/>
          <w:b w:val="0"/>
          <w:bCs w:val="0"/>
          <w:color w:val="FF0000"/>
          <w:sz w:val="24"/>
          <w:szCs w:val="24"/>
        </w:rPr>
        <w:t>房屋立面防盗窗拆除</w:t>
      </w:r>
      <w:r>
        <w:rPr>
          <w:rFonts w:hint="eastAsia" w:asciiTheme="minorEastAsia" w:hAnsiTheme="minorEastAsia" w:eastAsiaTheme="minorEastAsia" w:cstheme="minorEastAsia"/>
          <w:b w:val="0"/>
          <w:bCs w:val="0"/>
          <w:color w:val="FF0000"/>
          <w:sz w:val="24"/>
          <w:szCs w:val="24"/>
          <w:lang w:eastAsia="zh-CN"/>
        </w:rPr>
        <w:t>、</w:t>
      </w:r>
      <w:r>
        <w:rPr>
          <w:rFonts w:hint="eastAsia" w:asciiTheme="minorEastAsia" w:hAnsiTheme="minorEastAsia" w:eastAsiaTheme="minorEastAsia" w:cstheme="minorEastAsia"/>
          <w:b w:val="0"/>
          <w:bCs w:val="0"/>
          <w:color w:val="FF0000"/>
          <w:sz w:val="24"/>
          <w:szCs w:val="24"/>
        </w:rPr>
        <w:t>沿街房屋墙面上的</w:t>
      </w:r>
      <w:r>
        <w:rPr>
          <w:rFonts w:hint="eastAsia" w:asciiTheme="minorEastAsia" w:hAnsiTheme="minorEastAsia" w:eastAsiaTheme="minorEastAsia" w:cstheme="minorEastAsia"/>
          <w:b w:val="0"/>
          <w:bCs w:val="0"/>
          <w:color w:val="FF0000"/>
          <w:sz w:val="24"/>
          <w:szCs w:val="24"/>
          <w:lang w:eastAsia="zh-CN"/>
        </w:rPr>
        <w:t>需要移位的空调等</w:t>
      </w:r>
      <w:r>
        <w:rPr>
          <w:rFonts w:hint="eastAsia" w:asciiTheme="minorEastAsia" w:hAnsiTheme="minorEastAsia" w:eastAsiaTheme="minorEastAsia" w:cstheme="minorEastAsia"/>
          <w:b w:val="0"/>
          <w:bCs w:val="0"/>
          <w:color w:val="FF0000"/>
          <w:sz w:val="24"/>
          <w:szCs w:val="24"/>
        </w:rPr>
        <w:t>（具体工作的实施及方案需由甲方确认后方可实施整治及相关工作）</w:t>
      </w:r>
      <w:r>
        <w:rPr>
          <w:rFonts w:hint="eastAsia" w:asciiTheme="minorEastAsia" w:hAnsiTheme="minorEastAsia" w:eastAsiaTheme="minorEastAsia" w:cstheme="minorEastAsia"/>
          <w:b w:val="0"/>
          <w:bCs w:val="0"/>
          <w:color w:val="FF0000"/>
          <w:sz w:val="24"/>
          <w:szCs w:val="24"/>
          <w:lang w:eastAsia="zh-CN"/>
        </w:rPr>
        <w:t>。范围涵盖织里街道、振兴街道、利济街道、晟舍街道四个街道的各个社区及主要道路</w:t>
      </w:r>
      <w:r>
        <w:rPr>
          <w:rFonts w:hint="eastAsia" w:asciiTheme="minorEastAsia" w:hAnsiTheme="minorEastAsia" w:eastAsiaTheme="minorEastAsia" w:cstheme="minorEastAsia"/>
          <w:b w:val="0"/>
          <w:bCs w:val="0"/>
          <w:color w:val="FF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2、整治要求</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2.1</w:t>
      </w:r>
      <w:r>
        <w:rPr>
          <w:rFonts w:hint="eastAsia" w:asciiTheme="minorEastAsia" w:hAnsiTheme="minorEastAsia" w:eastAsiaTheme="minorEastAsia" w:cstheme="minorEastAsia"/>
          <w:b w:val="0"/>
          <w:bCs w:val="0"/>
          <w:sz w:val="24"/>
          <w:szCs w:val="24"/>
        </w:rPr>
        <w:t>按照分期分批、先易后难、先主要道路后次要道路的原则进行整治，先期对</w:t>
      </w:r>
      <w:r>
        <w:rPr>
          <w:rFonts w:hint="eastAsia" w:asciiTheme="minorEastAsia" w:hAnsiTheme="minorEastAsia" w:eastAsiaTheme="minorEastAsia" w:cstheme="minorEastAsia"/>
          <w:b w:val="0"/>
          <w:bCs w:val="0"/>
          <w:sz w:val="24"/>
          <w:szCs w:val="24"/>
          <w:lang w:eastAsia="zh-CN"/>
        </w:rPr>
        <w:t>主要道</w:t>
      </w:r>
      <w:r>
        <w:rPr>
          <w:rFonts w:hint="eastAsia" w:asciiTheme="minorEastAsia" w:hAnsiTheme="minorEastAsia" w:eastAsiaTheme="minorEastAsia" w:cstheme="minorEastAsia"/>
          <w:b w:val="0"/>
          <w:bCs w:val="0"/>
          <w:sz w:val="24"/>
          <w:szCs w:val="24"/>
        </w:rPr>
        <w:t>路进行整治，再逐步扩展到其他路段区域。</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2.2防盗窗拆除遵循以下原则：生产经营性用房必拆，居住出租房必拆；封闭式小区居民住房不拆，独立式仓库不拆。</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2.3</w:t>
      </w:r>
      <w:r>
        <w:rPr>
          <w:rFonts w:hint="eastAsia" w:asciiTheme="minorEastAsia" w:hAnsiTheme="minorEastAsia" w:eastAsiaTheme="minorEastAsia" w:cstheme="minorEastAsia"/>
          <w:b w:val="0"/>
          <w:bCs w:val="0"/>
          <w:sz w:val="24"/>
          <w:szCs w:val="24"/>
        </w:rPr>
        <w:t>在整治过程中涉及空调外机移位的，承包单位可经采购单位确认后，以合法合规的方式将此工作分包给有合法资质的相关单位，但承包单位需承诺对被移位的空调外机不少于1年的质保期。</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2.4</w:t>
      </w:r>
      <w:r>
        <w:rPr>
          <w:rFonts w:hint="eastAsia" w:asciiTheme="minorEastAsia" w:hAnsiTheme="minorEastAsia" w:eastAsiaTheme="minorEastAsia" w:cstheme="minorEastAsia"/>
          <w:b w:val="0"/>
          <w:bCs w:val="0"/>
          <w:sz w:val="24"/>
          <w:szCs w:val="24"/>
        </w:rPr>
        <w:t>在整治过程中承包人需对现场情况进行充分的考量，在实施工程中发生的一切问题及造成的任何损失均需由承包单位自行负责。</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w:t>
      </w: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在整治过程中产生的所有材料及建筑垃圾均</w:t>
      </w:r>
      <w:r>
        <w:rPr>
          <w:rFonts w:hint="eastAsia" w:asciiTheme="minorEastAsia" w:hAnsiTheme="minorEastAsia" w:eastAsiaTheme="minorEastAsia" w:cstheme="minorEastAsia"/>
          <w:b w:val="0"/>
          <w:bCs w:val="0"/>
          <w:sz w:val="24"/>
          <w:szCs w:val="24"/>
          <w:lang w:eastAsia="zh-CN"/>
        </w:rPr>
        <w:t>所有权归甲方</w:t>
      </w:r>
      <w:r>
        <w:rPr>
          <w:rFonts w:hint="eastAsia" w:asciiTheme="minorEastAsia" w:hAnsiTheme="minorEastAsia" w:eastAsiaTheme="minorEastAsia" w:cstheme="minorEastAsia"/>
          <w:b w:val="0"/>
          <w:bCs w:val="0"/>
          <w:sz w:val="24"/>
          <w:szCs w:val="24"/>
        </w:rPr>
        <w:t>，相关的保管费及运费请供应商考虑在报价中，实施工程中不再另行计取。</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eastAsia" w:asciiTheme="minorEastAsia" w:hAnsiTheme="minorEastAsia" w:eastAsiaTheme="minorEastAsia" w:cstheme="minorEastAsia"/>
          <w:b w:val="0"/>
          <w:bCs w:val="0"/>
          <w:sz w:val="24"/>
          <w:szCs w:val="24"/>
          <w:lang w:val="zh-CN"/>
        </w:rPr>
      </w:pPr>
      <w:r>
        <w:rPr>
          <w:rFonts w:hint="eastAsia" w:asciiTheme="minorEastAsia" w:hAnsiTheme="minorEastAsia" w:eastAsiaTheme="minorEastAsia" w:cstheme="minorEastAsia"/>
          <w:b w:val="0"/>
          <w:bCs w:val="0"/>
          <w:sz w:val="24"/>
          <w:szCs w:val="24"/>
        </w:rPr>
        <w:t>2.</w:t>
      </w:r>
      <w:r>
        <w:rPr>
          <w:rFonts w:hint="eastAsia" w:asciiTheme="minorEastAsia" w:hAnsiTheme="minorEastAsia" w:eastAsiaTheme="minorEastAsia" w:cstheme="minorEastAsia"/>
          <w:b w:val="0"/>
          <w:bCs w:val="0"/>
          <w:sz w:val="24"/>
          <w:szCs w:val="24"/>
          <w:lang w:val="en-US" w:eastAsia="zh-CN"/>
        </w:rPr>
        <w:t>6</w:t>
      </w:r>
      <w:r>
        <w:rPr>
          <w:rFonts w:hint="eastAsia" w:asciiTheme="minorEastAsia" w:hAnsiTheme="minorEastAsia" w:eastAsiaTheme="minorEastAsia" w:cstheme="minorEastAsia"/>
          <w:b w:val="0"/>
          <w:bCs w:val="0"/>
          <w:sz w:val="24"/>
          <w:szCs w:val="24"/>
          <w:lang w:val="zh-CN"/>
        </w:rPr>
        <w:t>现场作业人员安全由承包单位负责，实施过程中，不得野蛮作业，合理的保护施工现场，文明施工，对整改范围内的合法建筑需加强保护。</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eastAsia" w:asciiTheme="minorEastAsia" w:hAnsiTheme="minorEastAsia" w:eastAsiaTheme="minorEastAsia" w:cstheme="minorEastAsia"/>
          <w:b w:val="0"/>
          <w:bCs w:val="0"/>
          <w:sz w:val="24"/>
          <w:szCs w:val="24"/>
          <w:lang w:val="zh-CN"/>
        </w:rPr>
      </w:pPr>
      <w:r>
        <w:rPr>
          <w:rFonts w:hint="eastAsia" w:asciiTheme="minorEastAsia" w:hAnsiTheme="minorEastAsia" w:eastAsiaTheme="minorEastAsia" w:cstheme="minorEastAsia"/>
          <w:b w:val="0"/>
          <w:bCs w:val="0"/>
          <w:sz w:val="24"/>
          <w:szCs w:val="24"/>
          <w:lang w:val="zh-CN"/>
        </w:rPr>
        <w:t>2.</w:t>
      </w:r>
      <w:r>
        <w:rPr>
          <w:rFonts w:hint="eastAsia" w:asciiTheme="minorEastAsia" w:hAnsiTheme="minorEastAsia" w:eastAsiaTheme="minorEastAsia" w:cstheme="minorEastAsia"/>
          <w:b w:val="0"/>
          <w:bCs w:val="0"/>
          <w:sz w:val="24"/>
          <w:szCs w:val="24"/>
          <w:lang w:val="en-US" w:eastAsia="zh-CN"/>
        </w:rPr>
        <w:t>7</w:t>
      </w:r>
      <w:r>
        <w:rPr>
          <w:rFonts w:hint="eastAsia" w:asciiTheme="minorEastAsia" w:hAnsiTheme="minorEastAsia" w:eastAsiaTheme="minorEastAsia" w:cstheme="minorEastAsia"/>
          <w:b w:val="0"/>
          <w:bCs w:val="0"/>
          <w:sz w:val="24"/>
          <w:szCs w:val="24"/>
          <w:lang w:val="zh-CN"/>
        </w:rPr>
        <w:t>整改现场需设置警戒线，保证实施过程中的人员及合法财产的安全。整改完成后需对整改现场进行清理，做到随整改随清理，整改后的相关建筑垃圾等需运送至指定地点进行处理。</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eastAsia" w:asciiTheme="minorEastAsia" w:hAnsiTheme="minorEastAsia" w:eastAsiaTheme="minorEastAsia" w:cstheme="minorEastAsia"/>
          <w:b w:val="0"/>
          <w:bCs w:val="0"/>
          <w:sz w:val="24"/>
          <w:szCs w:val="24"/>
          <w:lang w:val="zh-CN"/>
        </w:rPr>
      </w:pPr>
      <w:r>
        <w:rPr>
          <w:rFonts w:hint="eastAsia" w:asciiTheme="minorEastAsia" w:hAnsiTheme="minorEastAsia" w:eastAsiaTheme="minorEastAsia" w:cstheme="minorEastAsia"/>
          <w:b w:val="0"/>
          <w:bCs w:val="0"/>
          <w:sz w:val="24"/>
          <w:szCs w:val="24"/>
          <w:lang w:val="zh-CN"/>
        </w:rPr>
        <w:t>2.</w:t>
      </w:r>
      <w:r>
        <w:rPr>
          <w:rFonts w:hint="eastAsia" w:asciiTheme="minorEastAsia" w:hAnsiTheme="minorEastAsia" w:eastAsiaTheme="minorEastAsia" w:cstheme="minorEastAsia"/>
          <w:b w:val="0"/>
          <w:bCs w:val="0"/>
          <w:sz w:val="24"/>
          <w:szCs w:val="24"/>
          <w:lang w:val="en-US" w:eastAsia="zh-CN"/>
        </w:rPr>
        <w:t>8</w:t>
      </w:r>
      <w:r>
        <w:rPr>
          <w:rFonts w:hint="eastAsia" w:asciiTheme="minorEastAsia" w:hAnsiTheme="minorEastAsia" w:eastAsiaTheme="minorEastAsia" w:cstheme="minorEastAsia"/>
          <w:b w:val="0"/>
          <w:bCs w:val="0"/>
          <w:sz w:val="24"/>
          <w:szCs w:val="24"/>
          <w:lang w:val="zh-CN"/>
        </w:rPr>
        <w:t>整改任务以采购单位派发的任务单为准，采购单位将提前通知承包人，承包人应在规定时间内响应，并配备专业人员进行整改工作。整改过程中采购单位相关人员将全程监督、取证，承包人单位需无条件配合其工作，服从其管理和安排。</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eastAsia" w:asciiTheme="minorEastAsia" w:hAnsiTheme="minorEastAsia" w:eastAsiaTheme="minorEastAsia" w:cstheme="minorEastAsia"/>
          <w:b w:val="0"/>
          <w:bCs w:val="0"/>
          <w:sz w:val="24"/>
          <w:szCs w:val="24"/>
          <w:lang w:val="zh-CN"/>
        </w:rPr>
      </w:pPr>
      <w:r>
        <w:rPr>
          <w:rFonts w:hint="eastAsia" w:asciiTheme="minorEastAsia" w:hAnsiTheme="minorEastAsia" w:eastAsiaTheme="minorEastAsia" w:cstheme="minorEastAsia"/>
          <w:b w:val="0"/>
          <w:bCs w:val="0"/>
          <w:sz w:val="24"/>
          <w:szCs w:val="24"/>
          <w:lang w:val="zh-CN"/>
        </w:rPr>
        <w:t>2.</w:t>
      </w:r>
      <w:r>
        <w:rPr>
          <w:rFonts w:hint="eastAsia" w:asciiTheme="minorEastAsia" w:hAnsiTheme="minorEastAsia" w:eastAsiaTheme="minorEastAsia" w:cstheme="minorEastAsia"/>
          <w:b w:val="0"/>
          <w:bCs w:val="0"/>
          <w:sz w:val="24"/>
          <w:szCs w:val="24"/>
          <w:lang w:val="en-US" w:eastAsia="zh-CN"/>
        </w:rPr>
        <w:t>9</w:t>
      </w:r>
      <w:r>
        <w:rPr>
          <w:rFonts w:hint="eastAsia" w:asciiTheme="minorEastAsia" w:hAnsiTheme="minorEastAsia" w:eastAsiaTheme="minorEastAsia" w:cstheme="minorEastAsia"/>
          <w:b w:val="0"/>
          <w:bCs w:val="0"/>
          <w:sz w:val="24"/>
          <w:szCs w:val="24"/>
          <w:lang w:val="zh-CN"/>
        </w:rPr>
        <w:t>整改过程中所需的水源、电源及其它辅助设施和材料，由承包人自行解决。</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eastAsia" w:asciiTheme="minorEastAsia" w:hAnsiTheme="minorEastAsia" w:eastAsiaTheme="minorEastAsia" w:cstheme="minorEastAsia"/>
          <w:b w:val="0"/>
          <w:bCs w:val="0"/>
          <w:sz w:val="24"/>
          <w:szCs w:val="24"/>
          <w:lang w:val="zh-CN"/>
        </w:rPr>
      </w:pPr>
      <w:r>
        <w:rPr>
          <w:rFonts w:hint="eastAsia" w:asciiTheme="minorEastAsia" w:hAnsiTheme="minorEastAsia" w:eastAsiaTheme="minorEastAsia" w:cstheme="minorEastAsia"/>
          <w:b w:val="0"/>
          <w:bCs w:val="0"/>
          <w:sz w:val="24"/>
          <w:szCs w:val="24"/>
          <w:lang w:val="en-US" w:eastAsia="zh-CN"/>
        </w:rPr>
        <w:t>2.10</w:t>
      </w:r>
      <w:r>
        <w:rPr>
          <w:rFonts w:hint="eastAsia" w:asciiTheme="minorEastAsia" w:hAnsiTheme="minorEastAsia" w:eastAsiaTheme="minorEastAsia" w:cstheme="minorEastAsia"/>
          <w:b w:val="0"/>
          <w:bCs w:val="0"/>
          <w:sz w:val="24"/>
          <w:szCs w:val="24"/>
          <w:lang w:val="zh-CN"/>
        </w:rPr>
        <w:t>整改过程中因承包人原因造成的一切不良后果，由承包人自行承担，承包人必须为现场工作人员缴纳意外人身保险和社会保险及确保作业人员生命财产安全,因承包人而产生的安全问题,由承包人自行负责，与采购单位无关。</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b/>
          <w:bCs/>
          <w:sz w:val="24"/>
          <w:szCs w:val="24"/>
          <w:lang w:val="zh-CN"/>
        </w:rPr>
        <w:t>三、商务及其他条款</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eastAsia" w:ascii="宋体" w:hAnsi="宋体" w:eastAsia="宋体" w:cs="宋体"/>
          <w:b/>
          <w:color w:val="FF0000"/>
          <w:kern w:val="0"/>
          <w:sz w:val="24"/>
          <w:szCs w:val="24"/>
          <w:lang w:val="zh-CN"/>
        </w:rPr>
      </w:pPr>
      <w:r>
        <w:rPr>
          <w:rFonts w:hint="eastAsia" w:ascii="宋体" w:hAnsi="宋体" w:cs="宋体"/>
          <w:b/>
          <w:bCs/>
          <w:color w:val="FF0000"/>
          <w:sz w:val="24"/>
          <w:szCs w:val="24"/>
          <w:lang w:val="en-US" w:eastAsia="zh-CN"/>
        </w:rPr>
        <w:t>1、</w:t>
      </w:r>
      <w:r>
        <w:rPr>
          <w:rFonts w:hint="eastAsia" w:ascii="宋体" w:hAnsi="宋体" w:eastAsia="宋体" w:cs="宋体"/>
          <w:b/>
          <w:color w:val="FF0000"/>
          <w:kern w:val="0"/>
          <w:sz w:val="24"/>
          <w:szCs w:val="24"/>
          <w:lang w:val="zh-CN"/>
        </w:rPr>
        <w:t>本项目服务期为1年，预算金额为</w:t>
      </w:r>
      <w:r>
        <w:rPr>
          <w:rFonts w:hint="eastAsia" w:ascii="宋体" w:hAnsi="宋体" w:cs="宋体"/>
          <w:b/>
          <w:color w:val="FF0000"/>
          <w:kern w:val="0"/>
          <w:sz w:val="24"/>
          <w:szCs w:val="24"/>
          <w:lang w:val="en-US" w:eastAsia="zh-CN"/>
        </w:rPr>
        <w:t>600万元</w:t>
      </w:r>
      <w:r>
        <w:rPr>
          <w:rFonts w:hint="eastAsia" w:ascii="宋体" w:hAnsi="宋体" w:eastAsia="宋体" w:cs="宋体"/>
          <w:b/>
          <w:color w:val="FF0000"/>
          <w:kern w:val="0"/>
          <w:sz w:val="24"/>
          <w:szCs w:val="24"/>
          <w:lang w:val="zh-CN"/>
        </w:rPr>
        <w:t>。如果服务期满1年（以签订合同时间起）或承包的总金额达到</w:t>
      </w:r>
      <w:r>
        <w:rPr>
          <w:rFonts w:hint="eastAsia" w:ascii="宋体" w:hAnsi="宋体" w:cs="宋体"/>
          <w:b/>
          <w:color w:val="FF0000"/>
          <w:kern w:val="0"/>
          <w:sz w:val="24"/>
          <w:szCs w:val="24"/>
          <w:lang w:val="en-US" w:eastAsia="zh-CN"/>
        </w:rPr>
        <w:t>600万元</w:t>
      </w:r>
      <w:r>
        <w:rPr>
          <w:rFonts w:hint="eastAsia" w:ascii="宋体" w:hAnsi="宋体" w:eastAsia="宋体" w:cs="宋体"/>
          <w:b/>
          <w:color w:val="FF0000"/>
          <w:kern w:val="0"/>
          <w:sz w:val="24"/>
          <w:szCs w:val="24"/>
          <w:lang w:val="zh-CN"/>
        </w:rPr>
        <w:t>时，合同协议随即终止，需另行招标。</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eastAsia" w:ascii="华文仿宋" w:hAnsi="华文仿宋" w:eastAsia="华文仿宋" w:cs="Arial"/>
          <w:b/>
          <w:kern w:val="0"/>
          <w:sz w:val="24"/>
          <w:szCs w:val="24"/>
          <w:lang w:val="zh-CN"/>
        </w:rPr>
      </w:pP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lang w:val="zh-CN"/>
        </w:rPr>
        <w:t>整改项目</w:t>
      </w:r>
      <w:r>
        <w:rPr>
          <w:rFonts w:hint="eastAsia" w:asciiTheme="minorEastAsia" w:hAnsiTheme="minorEastAsia" w:eastAsiaTheme="minorEastAsia" w:cstheme="minorEastAsia"/>
          <w:b/>
          <w:bCs/>
          <w:sz w:val="24"/>
          <w:szCs w:val="24"/>
          <w:lang w:val="en-US" w:eastAsia="zh-CN"/>
        </w:rPr>
        <w:t>内容</w:t>
      </w:r>
      <w:r>
        <w:rPr>
          <w:rFonts w:hint="eastAsia" w:asciiTheme="minorEastAsia" w:hAnsiTheme="minorEastAsia" w:eastAsiaTheme="minorEastAsia" w:cstheme="minorEastAsia"/>
          <w:b/>
          <w:bCs/>
          <w:sz w:val="24"/>
          <w:szCs w:val="24"/>
          <w:lang w:val="zh-CN"/>
        </w:rPr>
        <w:t>、预估数量及参考基准价</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1590"/>
        <w:gridCol w:w="1515"/>
        <w:gridCol w:w="1590"/>
        <w:gridCol w:w="3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sz w:val="24"/>
                <w:szCs w:val="24"/>
                <w:vertAlign w:val="baseline"/>
                <w:lang w:val="en-US" w:eastAsia="zh-CN"/>
              </w:rPr>
            </w:pPr>
            <w:r>
              <w:rPr>
                <w:rFonts w:hint="eastAsia" w:asciiTheme="minorEastAsia" w:hAnsiTheme="minorEastAsia" w:eastAsiaTheme="minorEastAsia" w:cstheme="minorEastAsia"/>
                <w:b/>
                <w:bCs w:val="0"/>
                <w:i w:val="0"/>
                <w:color w:val="000000"/>
                <w:kern w:val="0"/>
                <w:sz w:val="24"/>
                <w:szCs w:val="24"/>
                <w:u w:val="none"/>
                <w:lang w:val="en-US" w:eastAsia="zh-CN" w:bidi="ar"/>
              </w:rPr>
              <w:t>防盗窗数量（个）</w:t>
            </w:r>
          </w:p>
        </w:tc>
        <w:tc>
          <w:tcPr>
            <w:tcW w:w="15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sz w:val="24"/>
                <w:szCs w:val="24"/>
                <w:vertAlign w:val="baseline"/>
                <w:lang w:val="en-US" w:eastAsia="zh-CN"/>
              </w:rPr>
            </w:pPr>
            <w:r>
              <w:rPr>
                <w:rFonts w:hint="eastAsia" w:asciiTheme="minorEastAsia" w:hAnsiTheme="minorEastAsia" w:eastAsiaTheme="minorEastAsia" w:cstheme="minorEastAsia"/>
                <w:b/>
                <w:bCs w:val="0"/>
                <w:i w:val="0"/>
                <w:color w:val="000000"/>
                <w:kern w:val="0"/>
                <w:sz w:val="24"/>
                <w:szCs w:val="24"/>
                <w:u w:val="none"/>
                <w:lang w:val="en-US" w:eastAsia="zh-CN" w:bidi="ar"/>
              </w:rPr>
              <w:t>参考基准价</w:t>
            </w:r>
          </w:p>
        </w:tc>
        <w:tc>
          <w:tcPr>
            <w:tcW w:w="151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sz w:val="24"/>
                <w:szCs w:val="24"/>
                <w:vertAlign w:val="baseline"/>
                <w:lang w:val="en-US" w:eastAsia="zh-CN"/>
              </w:rPr>
            </w:pPr>
            <w:r>
              <w:rPr>
                <w:rFonts w:hint="eastAsia" w:asciiTheme="minorEastAsia" w:hAnsiTheme="minorEastAsia" w:eastAsiaTheme="minorEastAsia" w:cstheme="minorEastAsia"/>
                <w:b/>
                <w:bCs w:val="0"/>
                <w:i w:val="0"/>
                <w:color w:val="000000"/>
                <w:kern w:val="0"/>
                <w:sz w:val="24"/>
                <w:szCs w:val="24"/>
                <w:u w:val="none"/>
                <w:lang w:val="en-US" w:eastAsia="zh-CN" w:bidi="ar"/>
              </w:rPr>
              <w:t>空调（个）</w:t>
            </w:r>
          </w:p>
        </w:tc>
        <w:tc>
          <w:tcPr>
            <w:tcW w:w="15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sz w:val="24"/>
                <w:szCs w:val="24"/>
                <w:vertAlign w:val="baseline"/>
                <w:lang w:val="en-US" w:eastAsia="zh-CN"/>
              </w:rPr>
            </w:pPr>
            <w:r>
              <w:rPr>
                <w:rFonts w:hint="eastAsia" w:asciiTheme="minorEastAsia" w:hAnsiTheme="minorEastAsia" w:eastAsiaTheme="minorEastAsia" w:cstheme="minorEastAsia"/>
                <w:b/>
                <w:bCs w:val="0"/>
                <w:i w:val="0"/>
                <w:color w:val="000000"/>
                <w:kern w:val="0"/>
                <w:sz w:val="24"/>
                <w:szCs w:val="24"/>
                <w:u w:val="none"/>
                <w:lang w:val="en-US" w:eastAsia="zh-CN" w:bidi="ar"/>
              </w:rPr>
              <w:t>参考基准价</w:t>
            </w:r>
          </w:p>
        </w:tc>
        <w:tc>
          <w:tcPr>
            <w:tcW w:w="353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sz w:val="24"/>
                <w:szCs w:val="24"/>
                <w:vertAlign w:val="baseline"/>
                <w:lang w:val="en-US" w:eastAsia="zh-CN"/>
              </w:rPr>
            </w:pPr>
            <w:r>
              <w:rPr>
                <w:rFonts w:hint="eastAsia" w:asciiTheme="minorEastAsia" w:hAnsiTheme="minorEastAsia" w:eastAsiaTheme="minorEastAsia" w:cstheme="minorEastAsia"/>
                <w:b/>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Align w:val="center"/>
          </w:tcPr>
          <w:p>
            <w:pPr>
              <w:pStyle w:val="20"/>
              <w:ind w:left="0" w:leftChars="0" w:firstLine="0" w:firstLineChars="0"/>
              <w:jc w:val="center"/>
              <w:rPr>
                <w:rFonts w:hint="eastAsia" w:asciiTheme="minorEastAsia" w:hAnsiTheme="minorEastAsia" w:eastAsiaTheme="minorEastAsia" w:cstheme="minorEastAsia"/>
                <w:b/>
                <w:bCs w:val="0"/>
                <w:sz w:val="24"/>
                <w:szCs w:val="24"/>
                <w:vertAlign w:val="baseline"/>
                <w:lang w:val="en-US" w:eastAsia="zh-CN"/>
              </w:rPr>
            </w:pPr>
            <w:r>
              <w:rPr>
                <w:rFonts w:hint="eastAsia" w:asciiTheme="minorEastAsia" w:hAnsiTheme="minorEastAsia" w:eastAsiaTheme="minorEastAsia" w:cstheme="minorEastAsia"/>
                <w:b/>
                <w:bCs w:val="0"/>
                <w:sz w:val="24"/>
                <w:szCs w:val="24"/>
                <w:vertAlign w:val="baseline"/>
                <w:lang w:val="en-US" w:eastAsia="zh-CN"/>
              </w:rPr>
              <w:t>约100000</w:t>
            </w:r>
          </w:p>
        </w:tc>
        <w:tc>
          <w:tcPr>
            <w:tcW w:w="1590" w:type="dxa"/>
            <w:vAlign w:val="center"/>
          </w:tcPr>
          <w:p>
            <w:pPr>
              <w:pStyle w:val="20"/>
              <w:jc w:val="center"/>
              <w:rPr>
                <w:rFonts w:hint="eastAsia" w:asciiTheme="minorEastAsia" w:hAnsiTheme="minorEastAsia" w:eastAsiaTheme="minorEastAsia" w:cstheme="minorEastAsia"/>
                <w:b/>
                <w:bCs w:val="0"/>
                <w:sz w:val="24"/>
                <w:szCs w:val="24"/>
                <w:vertAlign w:val="baseline"/>
                <w:lang w:val="en-US" w:eastAsia="zh-CN"/>
              </w:rPr>
            </w:pPr>
            <w:r>
              <w:rPr>
                <w:rFonts w:hint="eastAsia" w:asciiTheme="minorEastAsia" w:hAnsiTheme="minorEastAsia" w:eastAsiaTheme="minorEastAsia" w:cstheme="minorEastAsia"/>
                <w:b/>
                <w:bCs w:val="0"/>
                <w:sz w:val="24"/>
                <w:szCs w:val="24"/>
                <w:vertAlign w:val="baseline"/>
                <w:lang w:val="en-US" w:eastAsia="zh-CN"/>
              </w:rPr>
              <w:t>50元/个</w:t>
            </w:r>
          </w:p>
        </w:tc>
        <w:tc>
          <w:tcPr>
            <w:tcW w:w="1515" w:type="dxa"/>
            <w:vAlign w:val="center"/>
          </w:tcPr>
          <w:p>
            <w:pPr>
              <w:pStyle w:val="20"/>
              <w:jc w:val="both"/>
              <w:rPr>
                <w:rFonts w:hint="eastAsia" w:asciiTheme="minorEastAsia" w:hAnsiTheme="minorEastAsia" w:eastAsiaTheme="minorEastAsia" w:cstheme="minorEastAsia"/>
                <w:b/>
                <w:bCs w:val="0"/>
                <w:sz w:val="24"/>
                <w:szCs w:val="24"/>
                <w:vertAlign w:val="baseline"/>
                <w:lang w:val="en-US" w:eastAsia="zh-CN"/>
              </w:rPr>
            </w:pPr>
            <w:r>
              <w:rPr>
                <w:rFonts w:hint="eastAsia" w:asciiTheme="minorEastAsia" w:hAnsiTheme="minorEastAsia" w:eastAsiaTheme="minorEastAsia" w:cstheme="minorEastAsia"/>
                <w:b/>
                <w:bCs w:val="0"/>
                <w:sz w:val="24"/>
                <w:szCs w:val="24"/>
                <w:vertAlign w:val="baseline"/>
                <w:lang w:val="en-US" w:eastAsia="zh-CN"/>
              </w:rPr>
              <w:t>约8000</w:t>
            </w:r>
          </w:p>
        </w:tc>
        <w:tc>
          <w:tcPr>
            <w:tcW w:w="1590" w:type="dxa"/>
            <w:vAlign w:val="center"/>
          </w:tcPr>
          <w:p>
            <w:pPr>
              <w:pStyle w:val="20"/>
              <w:jc w:val="center"/>
              <w:rPr>
                <w:rFonts w:hint="eastAsia" w:asciiTheme="minorEastAsia" w:hAnsiTheme="minorEastAsia" w:eastAsiaTheme="minorEastAsia" w:cstheme="minorEastAsia"/>
                <w:b/>
                <w:bCs w:val="0"/>
                <w:sz w:val="24"/>
                <w:szCs w:val="24"/>
                <w:vertAlign w:val="baseline"/>
                <w:lang w:val="en-US" w:eastAsia="zh-CN"/>
              </w:rPr>
            </w:pPr>
            <w:r>
              <w:rPr>
                <w:rFonts w:hint="eastAsia" w:asciiTheme="minorEastAsia" w:hAnsiTheme="minorEastAsia" w:eastAsiaTheme="minorEastAsia" w:cstheme="minorEastAsia"/>
                <w:b/>
                <w:bCs w:val="0"/>
                <w:sz w:val="24"/>
                <w:szCs w:val="24"/>
                <w:vertAlign w:val="baseline"/>
                <w:lang w:val="en-US" w:eastAsia="zh-CN"/>
              </w:rPr>
              <w:t>125元/个</w:t>
            </w:r>
          </w:p>
        </w:tc>
        <w:tc>
          <w:tcPr>
            <w:tcW w:w="3539" w:type="dxa"/>
            <w:vAlign w:val="center"/>
          </w:tcPr>
          <w:p>
            <w:pPr>
              <w:pStyle w:val="20"/>
              <w:ind w:left="0" w:leftChars="0" w:firstLine="0" w:firstLineChars="0"/>
              <w:jc w:val="center"/>
              <w:rPr>
                <w:rFonts w:hint="eastAsia" w:asciiTheme="minorEastAsia" w:hAnsiTheme="minorEastAsia" w:eastAsiaTheme="minorEastAsia" w:cstheme="minorEastAsia"/>
                <w:b/>
                <w:bCs w:val="0"/>
                <w:sz w:val="24"/>
                <w:szCs w:val="24"/>
                <w:vertAlign w:val="baseline"/>
                <w:lang w:val="en-US" w:eastAsia="zh-CN"/>
              </w:rPr>
            </w:pPr>
            <w:r>
              <w:rPr>
                <w:rFonts w:hint="eastAsia" w:asciiTheme="minorEastAsia" w:hAnsiTheme="minorEastAsia" w:eastAsiaTheme="minorEastAsia" w:cstheme="minorEastAsia"/>
                <w:b/>
                <w:bCs w:val="0"/>
                <w:kern w:val="0"/>
                <w:sz w:val="24"/>
                <w:szCs w:val="24"/>
                <w:lang w:val="en-US" w:eastAsia="zh-CN"/>
              </w:rPr>
              <w:t>整改数量为暂估数量，具体数量以实际为准且结算时按时调整</w:t>
            </w:r>
          </w:p>
        </w:tc>
      </w:tr>
    </w:tbl>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3、以上</w:t>
      </w:r>
      <w:r>
        <w:rPr>
          <w:rFonts w:hint="eastAsia" w:asciiTheme="minorEastAsia" w:hAnsiTheme="minorEastAsia" w:eastAsiaTheme="minorEastAsia" w:cstheme="minorEastAsia"/>
          <w:b/>
          <w:bCs/>
          <w:sz w:val="24"/>
          <w:szCs w:val="24"/>
          <w:lang w:val="zh-CN"/>
        </w:rPr>
        <w:t>参考基准价涵盖可能涉及到的材料费、人工费、运输费、保险费、采购人指定地点（货车可到达）的卸货费、机械费、拆除费、检验试验费、售后服务、税费、利润等一切全部费用。</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4、付款方式：</w:t>
      </w:r>
    </w:p>
    <w:p>
      <w:pPr>
        <w:spacing w:line="460" w:lineRule="exact"/>
        <w:ind w:firstLine="482" w:firstLineChars="200"/>
        <w:rPr>
          <w:rFonts w:ascii="宋体" w:hAnsi="宋体"/>
          <w:sz w:val="24"/>
        </w:rPr>
      </w:pPr>
      <w:r>
        <w:rPr>
          <w:rFonts w:hint="eastAsia" w:ascii="宋体" w:hAnsi="宋体"/>
          <w:b/>
          <w:sz w:val="24"/>
        </w:rPr>
        <w:t>在疫情期间，根据省财政厅《关于坚决打赢疫情防控阻击战进一步做好政府采购资金支持企业发展工作的通知》（浙财采监【2020】3号）要求，制定如以下付款方式，由供应商自主选择确定：</w:t>
      </w:r>
    </w:p>
    <w:p>
      <w:pPr>
        <w:spacing w:line="440" w:lineRule="exact"/>
        <w:ind w:firstLine="482" w:firstLineChars="200"/>
        <w:rPr>
          <w:rFonts w:hint="eastAsia" w:asciiTheme="minorEastAsia" w:hAnsiTheme="minorEastAsia" w:eastAsiaTheme="minorEastAsia" w:cstheme="minorEastAsia"/>
          <w:b/>
          <w:bCs/>
          <w:sz w:val="24"/>
          <w:szCs w:val="24"/>
          <w:highlight w:val="yellow"/>
          <w:lang w:val="zh-CN"/>
        </w:rPr>
      </w:pPr>
      <w:r>
        <w:rPr>
          <w:rFonts w:hint="eastAsia" w:asciiTheme="minorEastAsia" w:hAnsiTheme="minorEastAsia" w:eastAsiaTheme="minorEastAsia" w:cstheme="minorEastAsia"/>
          <w:b/>
          <w:bCs/>
          <w:sz w:val="24"/>
          <w:szCs w:val="24"/>
          <w:highlight w:val="yellow"/>
          <w:lang w:val="zh-CN" w:eastAsia="zh-CN"/>
        </w:rPr>
        <w:t>采购人自采购合同生效及具备实施条件后15日内支付合同价的</w:t>
      </w:r>
      <w:r>
        <w:rPr>
          <w:rFonts w:hint="eastAsia" w:asciiTheme="minorEastAsia" w:hAnsiTheme="minorEastAsia" w:eastAsiaTheme="minorEastAsia" w:cstheme="minorEastAsia"/>
          <w:b/>
          <w:bCs/>
          <w:sz w:val="24"/>
          <w:szCs w:val="24"/>
          <w:highlight w:val="yellow"/>
          <w:lang w:val="en-US" w:eastAsia="zh-CN"/>
        </w:rPr>
        <w:t>10%作为预付款，</w:t>
      </w:r>
      <w:r>
        <w:rPr>
          <w:rFonts w:hint="eastAsia" w:asciiTheme="minorEastAsia" w:hAnsiTheme="minorEastAsia" w:eastAsiaTheme="minorEastAsia" w:cstheme="minorEastAsia"/>
          <w:b/>
          <w:bCs/>
          <w:sz w:val="24"/>
          <w:szCs w:val="24"/>
          <w:highlight w:val="yellow"/>
          <w:lang w:val="zh-CN"/>
        </w:rPr>
        <w:t>每</w:t>
      </w:r>
      <w:r>
        <w:rPr>
          <w:rFonts w:hint="eastAsia" w:asciiTheme="minorEastAsia" w:hAnsiTheme="minorEastAsia" w:eastAsiaTheme="minorEastAsia" w:cstheme="minorEastAsia"/>
          <w:b/>
          <w:bCs/>
          <w:sz w:val="24"/>
          <w:szCs w:val="24"/>
          <w:highlight w:val="yellow"/>
          <w:lang w:val="zh-CN" w:eastAsia="zh-CN"/>
        </w:rPr>
        <w:t>次整改</w:t>
      </w:r>
      <w:r>
        <w:rPr>
          <w:rFonts w:hint="eastAsia" w:asciiTheme="minorEastAsia" w:hAnsiTheme="minorEastAsia" w:eastAsiaTheme="minorEastAsia" w:cstheme="minorEastAsia"/>
          <w:b/>
          <w:bCs/>
          <w:sz w:val="24"/>
          <w:szCs w:val="24"/>
          <w:highlight w:val="yellow"/>
          <w:lang w:val="zh-CN"/>
        </w:rPr>
        <w:t>完成后，由承包人将实际整改的数量书面报至采购人签认，</w:t>
      </w:r>
      <w:r>
        <w:rPr>
          <w:rFonts w:hint="eastAsia" w:asciiTheme="minorEastAsia" w:hAnsiTheme="minorEastAsia" w:eastAsiaTheme="minorEastAsia" w:cstheme="minorEastAsia"/>
          <w:b/>
          <w:bCs/>
          <w:sz w:val="24"/>
          <w:szCs w:val="24"/>
          <w:highlight w:val="yellow"/>
          <w:lang w:val="zh-CN" w:eastAsia="zh-CN"/>
        </w:rPr>
        <w:t>合同履约完成后付至</w:t>
      </w:r>
      <w:r>
        <w:rPr>
          <w:rFonts w:hint="eastAsia" w:asciiTheme="minorEastAsia" w:hAnsiTheme="minorEastAsia" w:eastAsiaTheme="minorEastAsia" w:cstheme="minorEastAsia"/>
          <w:b/>
          <w:bCs/>
          <w:sz w:val="24"/>
          <w:szCs w:val="24"/>
          <w:highlight w:val="yellow"/>
          <w:lang w:val="en-US" w:eastAsia="zh-CN"/>
        </w:rPr>
        <w:t>70%</w:t>
      </w:r>
      <w:r>
        <w:rPr>
          <w:rFonts w:hint="eastAsia" w:asciiTheme="minorEastAsia" w:hAnsiTheme="minorEastAsia" w:eastAsiaTheme="minorEastAsia" w:cstheme="minorEastAsia"/>
          <w:b/>
          <w:bCs/>
          <w:sz w:val="24"/>
          <w:szCs w:val="24"/>
          <w:highlight w:val="yellow"/>
          <w:lang w:val="zh-CN"/>
        </w:rPr>
        <w:t>，结算价经审计后付至审定价的</w:t>
      </w:r>
      <w:r>
        <w:rPr>
          <w:rFonts w:hint="eastAsia" w:asciiTheme="minorEastAsia" w:hAnsiTheme="minorEastAsia" w:eastAsiaTheme="minorEastAsia" w:cstheme="minorEastAsia"/>
          <w:b/>
          <w:bCs/>
          <w:sz w:val="24"/>
          <w:szCs w:val="24"/>
          <w:highlight w:val="yellow"/>
          <w:lang w:val="en-US" w:eastAsia="zh-CN"/>
        </w:rPr>
        <w:t>95</w:t>
      </w:r>
      <w:r>
        <w:rPr>
          <w:rFonts w:hint="eastAsia" w:asciiTheme="minorEastAsia" w:hAnsiTheme="minorEastAsia" w:eastAsiaTheme="minorEastAsia" w:cstheme="minorEastAsia"/>
          <w:b/>
          <w:bCs/>
          <w:sz w:val="24"/>
          <w:szCs w:val="24"/>
          <w:highlight w:val="yellow"/>
          <w:lang w:val="zh-CN"/>
        </w:rPr>
        <w:t>%，余款待质保期后付清。</w:t>
      </w:r>
    </w:p>
    <w:p>
      <w:pPr>
        <w:spacing w:line="440" w:lineRule="exact"/>
        <w:ind w:firstLine="482" w:firstLineChars="200"/>
        <w:rPr>
          <w:rFonts w:ascii="宋体" w:hAnsi="宋体"/>
          <w:b/>
          <w:sz w:val="24"/>
        </w:rPr>
      </w:pPr>
      <w:r>
        <w:rPr>
          <w:rFonts w:hint="eastAsia" w:ascii="宋体" w:hAnsi="宋体"/>
          <w:b/>
          <w:sz w:val="24"/>
        </w:rPr>
        <w:t>在签订合同时，供应商明确表示无需预付款或者主动要求降低预付款比例的，采购合同可不适用前述规定。</w:t>
      </w:r>
    </w:p>
    <w:p>
      <w:pPr>
        <w:spacing w:line="460" w:lineRule="exact"/>
        <w:ind w:firstLine="482" w:firstLineChars="200"/>
        <w:rPr>
          <w:rFonts w:ascii="宋体" w:hAnsi="宋体"/>
          <w:sz w:val="24"/>
        </w:rPr>
      </w:pPr>
      <w:r>
        <w:rPr>
          <w:rFonts w:hint="eastAsia" w:ascii="宋体" w:hAnsi="宋体"/>
          <w:b/>
          <w:sz w:val="24"/>
        </w:rPr>
        <w:t>采购人在向供应商支付预付款之前，有权要求供应商向采购人提供与预付款金额相对应的担保措施，担保措施可以是银行、保险公司等金融机构出具的预付款保函或其他担保措施。</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textAlignment w:val="auto"/>
        <w:rPr>
          <w:rFonts w:hint="eastAsia" w:ascii="宋体" w:hAnsi="宋体" w:eastAsia="宋体"/>
          <w:sz w:val="24"/>
          <w:szCs w:val="24"/>
          <w:highlight w:val="none"/>
        </w:rPr>
      </w:pPr>
    </w:p>
    <w:p>
      <w:pPr>
        <w:rPr>
          <w:rFonts w:hint="eastAsia"/>
        </w:rPr>
      </w:pPr>
    </w:p>
    <w:p>
      <w:pPr>
        <w:numPr>
          <w:ilvl w:val="0"/>
          <w:numId w:val="0"/>
        </w:numPr>
        <w:spacing w:line="360" w:lineRule="auto"/>
        <w:ind w:leftChars="0"/>
        <w:jc w:val="center"/>
        <w:outlineLvl w:val="0"/>
        <w:rPr>
          <w:rFonts w:ascii="宋体" w:hAnsi="宋体" w:cs="仿宋"/>
          <w:b/>
          <w:sz w:val="44"/>
          <w:szCs w:val="44"/>
        </w:rPr>
      </w:pPr>
      <w:r>
        <w:rPr>
          <w:rFonts w:hint="eastAsia" w:ascii="宋体" w:hAnsi="宋体" w:eastAsia="宋体" w:cs="宋体"/>
          <w:b/>
          <w:kern w:val="0"/>
          <w:sz w:val="44"/>
          <w:szCs w:val="44"/>
          <w:lang w:val="en-US" w:eastAsia="zh-CN" w:bidi="ar-SA"/>
        </w:rPr>
        <w:t>第三章  投标供应商须知</w:t>
      </w:r>
      <w:bookmarkEnd w:id="17"/>
    </w:p>
    <w:p>
      <w:pPr>
        <w:jc w:val="center"/>
        <w:rPr>
          <w:rFonts w:ascii="宋体" w:hAnsi="宋体" w:cs="仿宋"/>
          <w:b/>
          <w:szCs w:val="28"/>
        </w:rPr>
      </w:pPr>
      <w:r>
        <w:rPr>
          <w:rFonts w:hint="eastAsia" w:ascii="宋体" w:hAnsi="宋体" w:cs="仿宋"/>
          <w:b/>
          <w:szCs w:val="28"/>
        </w:rPr>
        <w:t>前附表</w:t>
      </w:r>
    </w:p>
    <w:tbl>
      <w:tblPr>
        <w:tblStyle w:val="40"/>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77"/>
        <w:gridCol w:w="88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仿宋"/>
                <w:sz w:val="24"/>
                <w:szCs w:val="20"/>
              </w:rPr>
            </w:pPr>
            <w:r>
              <w:rPr>
                <w:rFonts w:hint="eastAsia" w:ascii="宋体" w:hAnsi="宋体" w:cs="仿宋"/>
                <w:sz w:val="24"/>
              </w:rPr>
              <w:t>序号</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仿宋"/>
                <w:sz w:val="24"/>
                <w:szCs w:val="20"/>
              </w:rPr>
            </w:pPr>
            <w:r>
              <w:rPr>
                <w:rFonts w:hint="eastAsia" w:ascii="宋体" w:hAnsi="宋体" w:cs="仿宋"/>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1</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s="仿宋"/>
                <w:sz w:val="24"/>
                <w:lang w:eastAsia="zh-CN"/>
              </w:rPr>
            </w:pPr>
            <w:r>
              <w:rPr>
                <w:rFonts w:hint="eastAsia" w:ascii="宋体" w:hAnsi="宋体" w:cs="仿宋"/>
                <w:sz w:val="24"/>
              </w:rPr>
              <w:t>项目名称：</w:t>
            </w:r>
            <w:r>
              <w:rPr>
                <w:rFonts w:hint="eastAsia" w:ascii="宋体" w:hAnsi="宋体" w:cs="仿宋"/>
                <w:sz w:val="24"/>
                <w:lang w:eastAsia="zh-CN"/>
              </w:rPr>
              <w:t>湖州市吴兴区织里镇街区立面整治服务采购项目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2</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s="仿宋"/>
                <w:sz w:val="24"/>
                <w:lang w:val="en-US" w:eastAsia="zh-CN"/>
              </w:rPr>
            </w:pPr>
            <w:r>
              <w:rPr>
                <w:rFonts w:hint="eastAsia" w:ascii="宋体" w:hAnsi="宋体" w:cs="仿宋"/>
                <w:sz w:val="24"/>
              </w:rPr>
              <w:t>采购内容：具体详见第二章</w:t>
            </w:r>
            <w:r>
              <w:rPr>
                <w:rFonts w:hint="eastAsia" w:ascii="宋体" w:hAnsi="宋体" w:cs="仿宋"/>
                <w:sz w:val="24"/>
                <w:lang w:val="en-US" w:eastAsia="zh-CN"/>
              </w:rPr>
              <w:t>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3</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sz w:val="24"/>
              </w:rPr>
              <w:t>投标报价及费用：</w:t>
            </w:r>
            <w:r>
              <w:rPr>
                <w:rFonts w:ascii="宋体" w:hAnsi="宋体"/>
                <w:sz w:val="24"/>
              </w:rPr>
              <w:t>1</w:t>
            </w:r>
            <w:r>
              <w:rPr>
                <w:rFonts w:hint="eastAsia" w:ascii="宋体" w:hAnsi="宋体"/>
                <w:sz w:val="24"/>
              </w:rPr>
              <w:t>、本项目投标应以人民币报价；</w:t>
            </w:r>
            <w:r>
              <w:rPr>
                <w:rFonts w:ascii="宋体" w:hAnsi="宋体"/>
                <w:sz w:val="24"/>
              </w:rPr>
              <w:t>2</w:t>
            </w:r>
            <w:r>
              <w:rPr>
                <w:rFonts w:hint="eastAsia" w:ascii="宋体" w:hAnsi="宋体"/>
                <w:sz w:val="24"/>
              </w:rPr>
              <w:t>、不论投标结果如何，投标供应商均应自行承担所有与投标有关的全部费用；</w:t>
            </w:r>
            <w:r>
              <w:rPr>
                <w:rFonts w:ascii="宋体" w:hAnsi="宋体"/>
                <w:sz w:val="24"/>
              </w:rPr>
              <w:t>3</w:t>
            </w:r>
            <w:r>
              <w:rPr>
                <w:rFonts w:hint="eastAsia" w:ascii="宋体" w:hAnsi="宋体"/>
                <w:sz w:val="24"/>
              </w:rPr>
              <w:t>、本项目</w:t>
            </w:r>
            <w:r>
              <w:rPr>
                <w:rFonts w:hint="eastAsia" w:ascii="宋体" w:hAnsi="宋体"/>
                <w:color w:val="000000"/>
                <w:sz w:val="24"/>
              </w:rPr>
              <w:t>招标代理服</w:t>
            </w:r>
            <w:r>
              <w:rPr>
                <w:rFonts w:hint="eastAsia" w:ascii="宋体" w:hAnsi="宋体"/>
                <w:color w:val="auto"/>
                <w:sz w:val="24"/>
              </w:rPr>
              <w:t>务费：</w:t>
            </w:r>
            <w:r>
              <w:rPr>
                <w:rFonts w:hint="eastAsia" w:ascii="宋体" w:hAnsi="宋体" w:cs="宋体"/>
                <w:color w:val="auto"/>
                <w:sz w:val="24"/>
                <w:lang w:val="en-US" w:eastAsia="zh-CN"/>
              </w:rPr>
              <w:t>10000</w:t>
            </w:r>
            <w:r>
              <w:rPr>
                <w:rFonts w:hint="eastAsia" w:ascii="宋体" w:hAnsi="宋体" w:cs="宋体"/>
                <w:color w:val="auto"/>
                <w:sz w:val="24"/>
              </w:rPr>
              <w:t>元，由中标单位支付</w:t>
            </w:r>
            <w:r>
              <w:rPr>
                <w:rFonts w:hint="eastAsia" w:ascii="宋体" w:hAnsi="宋体" w:cs="宋体"/>
                <w:color w:val="auto"/>
                <w:sz w:val="24"/>
                <w:lang w:eastAsia="zh-CN"/>
              </w:rPr>
              <w:t>，</w:t>
            </w:r>
            <w:r>
              <w:rPr>
                <w:rFonts w:hint="eastAsia" w:ascii="宋体" w:hAnsi="宋体" w:cs="宋体"/>
                <w:color w:val="auto"/>
                <w:sz w:val="24"/>
              </w:rPr>
              <w:t>于领取中标通知书时一次性付清</w:t>
            </w:r>
            <w:r>
              <w:rPr>
                <w:rFonts w:hint="eastAsia" w:ascii="宋体" w:hAnsi="宋体" w:cs="宋体"/>
                <w:color w:val="auto"/>
                <w:sz w:val="24"/>
                <w:lang w:eastAsia="zh-CN"/>
              </w:rPr>
              <w:t>。</w:t>
            </w:r>
            <w:r>
              <w:rPr>
                <w:rFonts w:hint="eastAsia" w:ascii="宋体" w:hAnsi="宋体" w:cs="宋体"/>
                <w:color w:val="auto"/>
                <w:sz w:val="24"/>
              </w:rPr>
              <w:t>投标人应自行考虑列入投标报价</w:t>
            </w:r>
            <w:r>
              <w:rPr>
                <w:rFonts w:hint="eastAsia" w:ascii="宋体" w:hAnsi="宋体" w:cs="Times New Roman"/>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4</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olor w:val="000000"/>
                <w:sz w:val="24"/>
              </w:rPr>
              <w:t>答疑与澄清：</w:t>
            </w:r>
            <w:r>
              <w:rPr>
                <w:rFonts w:hint="eastAsia" w:ascii="宋体" w:hAnsi="宋体"/>
                <w:bCs/>
                <w:color w:val="000000"/>
                <w:sz w:val="24"/>
              </w:rPr>
              <w:t>供应商对招标文件有异议的，</w:t>
            </w:r>
            <w:r>
              <w:rPr>
                <w:rFonts w:hint="eastAsia" w:ascii="宋体" w:hAnsi="宋体"/>
                <w:bCs/>
                <w:sz w:val="24"/>
              </w:rPr>
              <w:t>应当在202</w:t>
            </w:r>
            <w:r>
              <w:rPr>
                <w:rFonts w:hint="eastAsia" w:ascii="宋体" w:hAnsi="宋体"/>
                <w:bCs/>
                <w:sz w:val="24"/>
                <w:lang w:val="en-US" w:eastAsia="zh-CN"/>
              </w:rPr>
              <w:t>1</w:t>
            </w:r>
            <w:r>
              <w:rPr>
                <w:rFonts w:hint="eastAsia" w:ascii="宋体" w:hAnsi="宋体"/>
                <w:bCs/>
                <w:sz w:val="24"/>
              </w:rPr>
              <w:t>年</w:t>
            </w:r>
            <w:r>
              <w:rPr>
                <w:rFonts w:hint="eastAsia" w:ascii="宋体" w:hAnsi="宋体"/>
                <w:bCs/>
                <w:color w:val="FF0000"/>
                <w:sz w:val="24"/>
                <w:u w:val="single"/>
                <w:lang w:val="en-US" w:eastAsia="zh-CN"/>
              </w:rPr>
              <w:t xml:space="preserve">  </w:t>
            </w:r>
            <w:r>
              <w:rPr>
                <w:rFonts w:hint="eastAsia" w:ascii="宋体" w:hAnsi="宋体"/>
                <w:bCs/>
                <w:color w:val="FF0000"/>
                <w:sz w:val="24"/>
              </w:rPr>
              <w:t>月</w:t>
            </w:r>
            <w:r>
              <w:rPr>
                <w:rFonts w:hint="eastAsia" w:ascii="宋体" w:hAnsi="宋体"/>
                <w:bCs/>
                <w:color w:val="FF0000"/>
                <w:sz w:val="24"/>
                <w:u w:val="single"/>
                <w:lang w:val="en-US" w:eastAsia="zh-CN"/>
              </w:rPr>
              <w:t xml:space="preserve">  </w:t>
            </w:r>
            <w:r>
              <w:rPr>
                <w:rFonts w:hint="eastAsia" w:ascii="宋体" w:hAnsi="宋体"/>
                <w:bCs/>
                <w:color w:val="FF0000"/>
                <w:sz w:val="24"/>
              </w:rPr>
              <w:t>日</w:t>
            </w:r>
            <w:r>
              <w:rPr>
                <w:rFonts w:hint="eastAsia" w:ascii="宋体" w:hAnsi="宋体"/>
                <w:bCs/>
                <w:color w:val="000000"/>
                <w:sz w:val="24"/>
              </w:rPr>
              <w:t>下午</w:t>
            </w:r>
            <w:r>
              <w:rPr>
                <w:rFonts w:hint="eastAsia" w:ascii="宋体" w:hAnsi="宋体"/>
                <w:bCs/>
                <w:color w:val="000000"/>
                <w:sz w:val="24"/>
                <w:lang w:val="en-US" w:eastAsia="zh-CN"/>
              </w:rPr>
              <w:t>16</w:t>
            </w:r>
            <w:r>
              <w:rPr>
                <w:rFonts w:hint="eastAsia" w:ascii="宋体" w:hAnsi="宋体"/>
                <w:bCs/>
                <w:color w:val="000000"/>
                <w:sz w:val="24"/>
              </w:rPr>
              <w:t>：00前以书面（含传真）形式向采购代理机构一次性提出，招标采购单位将在规定的时间内统一进行澄清和修改，并书面（含传真）通知所有依法获取招标文件的供应商。供应商未按规定要求提出的，则视同认可招标文件，但法律法规及规范性文件有明确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5</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1、投标文件组成：《资格文件》、《商务技术资信及其他文件》、《报价文件》三部分组成。</w:t>
            </w:r>
          </w:p>
          <w:p>
            <w:pPr>
              <w:snapToGrid w:val="0"/>
              <w:spacing w:line="400" w:lineRule="exact"/>
              <w:rPr>
                <w:rFonts w:ascii="宋体" w:hAnsi="宋体" w:cs="仿宋"/>
                <w:sz w:val="24"/>
              </w:rPr>
            </w:pPr>
            <w:r>
              <w:rPr>
                <w:rFonts w:hint="eastAsia" w:ascii="宋体" w:hAnsi="宋体" w:cs="仿宋"/>
                <w:sz w:val="24"/>
              </w:rPr>
              <w:t>2、投标文件编制：投标供应商应先安装“政采云电子交易客户端”，并按照本采购文件和“政府采购云平台”的要求，通过“政采云电子交易客户端”编制并加密投标文件。</w:t>
            </w:r>
          </w:p>
          <w:p>
            <w:pPr>
              <w:snapToGrid w:val="0"/>
              <w:spacing w:line="400" w:lineRule="exact"/>
              <w:rPr>
                <w:rFonts w:ascii="宋体" w:hAnsi="宋体" w:cs="仿宋"/>
                <w:sz w:val="24"/>
              </w:rPr>
            </w:pPr>
            <w:r>
              <w:rPr>
                <w:rFonts w:hint="eastAsia" w:ascii="宋体" w:hAnsi="宋体" w:cs="仿宋"/>
                <w:sz w:val="24"/>
              </w:rPr>
              <w:t>3、投标文件的形式：电子投标文件（包括“电子加密投标文件”和“备份投标文件”，在投标文件编制完成后同时生成）；</w:t>
            </w:r>
          </w:p>
          <w:p>
            <w:pPr>
              <w:snapToGrid w:val="0"/>
              <w:spacing w:line="400" w:lineRule="exact"/>
              <w:ind w:firstLine="480" w:firstLineChars="200"/>
              <w:rPr>
                <w:rFonts w:ascii="宋体" w:hAnsi="宋体" w:cs="仿宋"/>
                <w:sz w:val="24"/>
              </w:rPr>
            </w:pPr>
            <w:r>
              <w:rPr>
                <w:rFonts w:hint="eastAsia" w:ascii="宋体" w:hAnsi="宋体" w:cs="仿宋"/>
                <w:sz w:val="24"/>
              </w:rPr>
              <w:t>（1）“电子加密投标文件”是指通过“政采云电子交易客户端”完成投标文件编制后生成并加密的数据电文形式的投标文件。</w:t>
            </w:r>
          </w:p>
          <w:p>
            <w:pPr>
              <w:snapToGrid w:val="0"/>
              <w:spacing w:line="400" w:lineRule="exact"/>
              <w:ind w:firstLine="480" w:firstLineChars="200"/>
              <w:rPr>
                <w:rFonts w:ascii="宋体" w:hAnsi="宋体" w:cs="仿宋"/>
                <w:sz w:val="24"/>
              </w:rPr>
            </w:pPr>
            <w:r>
              <w:rPr>
                <w:rFonts w:hint="eastAsia" w:ascii="宋体" w:hAnsi="宋体" w:cs="仿宋"/>
                <w:sz w:val="24"/>
              </w:rPr>
              <w:t>（2）“备份投标文件”是指与“电子加密投标文件”同时生成的数据电文形式的电子文件（备份标书），其他方式编制的备份投标文件视为无效备份投标文件。</w:t>
            </w:r>
          </w:p>
          <w:p>
            <w:pPr>
              <w:snapToGrid w:val="0"/>
              <w:spacing w:line="400" w:lineRule="exact"/>
              <w:rPr>
                <w:rFonts w:ascii="宋体" w:hAnsi="宋体" w:cs="仿宋"/>
                <w:sz w:val="24"/>
              </w:rPr>
            </w:pPr>
            <w:r>
              <w:rPr>
                <w:rFonts w:hint="eastAsia" w:ascii="宋体" w:hAnsi="宋体" w:cs="仿宋"/>
                <w:sz w:val="24"/>
              </w:rPr>
              <w:t>4、投标文件份数：</w:t>
            </w:r>
          </w:p>
          <w:p>
            <w:pPr>
              <w:snapToGrid w:val="0"/>
              <w:spacing w:line="400" w:lineRule="exact"/>
              <w:ind w:firstLine="480" w:firstLineChars="200"/>
              <w:rPr>
                <w:rFonts w:ascii="宋体" w:hAnsi="宋体" w:cs="仿宋"/>
                <w:sz w:val="24"/>
              </w:rPr>
            </w:pPr>
            <w:r>
              <w:rPr>
                <w:rFonts w:hint="eastAsia" w:ascii="宋体" w:hAnsi="宋体" w:cs="仿宋"/>
                <w:sz w:val="24"/>
              </w:rPr>
              <w:t>（1）“电子加密投标文件”：在线上传递交一份。</w:t>
            </w:r>
          </w:p>
          <w:p>
            <w:pPr>
              <w:snapToGrid w:val="0"/>
              <w:spacing w:line="400" w:lineRule="exact"/>
              <w:ind w:firstLine="480" w:firstLineChars="200"/>
              <w:rPr>
                <w:rFonts w:ascii="宋体" w:hAnsi="宋体" w:cs="仿宋"/>
                <w:sz w:val="24"/>
              </w:rPr>
            </w:pPr>
            <w:r>
              <w:rPr>
                <w:rFonts w:hint="eastAsia" w:ascii="宋体" w:hAnsi="宋体" w:cs="仿宋"/>
                <w:sz w:val="24"/>
              </w:rPr>
              <w:t>（2）“备份投标文件”：密封包装后应在</w:t>
            </w:r>
            <w:r>
              <w:rPr>
                <w:rFonts w:hint="eastAsia" w:ascii="宋体" w:hAnsi="宋体" w:cs="仿宋"/>
                <w:sz w:val="24"/>
                <w:lang w:val="en-US"/>
              </w:rPr>
              <w:t>202</w:t>
            </w:r>
            <w:r>
              <w:rPr>
                <w:rFonts w:hint="eastAsia" w:ascii="宋体" w:hAnsi="宋体" w:cs="仿宋"/>
                <w:sz w:val="24"/>
                <w:lang w:val="en-US" w:eastAsia="zh-CN"/>
              </w:rPr>
              <w:t>1</w:t>
            </w:r>
            <w:r>
              <w:rPr>
                <w:rFonts w:hint="eastAsia" w:ascii="宋体" w:hAnsi="宋体" w:cs="仿宋"/>
                <w:sz w:val="24"/>
                <w:lang w:val="en-US"/>
              </w:rPr>
              <w:t>年</w:t>
            </w:r>
            <w:r>
              <w:rPr>
                <w:rFonts w:hint="eastAsia" w:ascii="宋体" w:hAnsi="宋体" w:cs="仿宋"/>
                <w:color w:val="FF0000"/>
                <w:sz w:val="24"/>
                <w:u w:val="single"/>
                <w:lang w:val="en-US" w:eastAsia="zh-CN"/>
              </w:rPr>
              <w:t xml:space="preserve">  </w:t>
            </w:r>
            <w:r>
              <w:rPr>
                <w:rFonts w:hint="eastAsia" w:ascii="宋体" w:hAnsi="宋体" w:cs="仿宋"/>
                <w:color w:val="FF0000"/>
                <w:sz w:val="24"/>
                <w:lang w:val="en-US"/>
              </w:rPr>
              <w:t>月</w:t>
            </w:r>
            <w:r>
              <w:rPr>
                <w:rFonts w:hint="eastAsia" w:ascii="宋体" w:hAnsi="宋体" w:cs="仿宋"/>
                <w:color w:val="FF0000"/>
                <w:sz w:val="24"/>
                <w:u w:val="single"/>
                <w:lang w:val="en-US" w:eastAsia="zh-CN"/>
              </w:rPr>
              <w:t xml:space="preserve">   </w:t>
            </w:r>
            <w:r>
              <w:rPr>
                <w:rFonts w:hint="eastAsia" w:ascii="宋体" w:hAnsi="宋体" w:cs="仿宋"/>
                <w:color w:val="FF0000"/>
                <w:sz w:val="24"/>
                <w:lang w:val="en-US"/>
              </w:rPr>
              <w:t>日</w:t>
            </w:r>
            <w:r>
              <w:rPr>
                <w:rFonts w:hint="eastAsia" w:ascii="宋体" w:hAnsi="宋体" w:cs="仿宋"/>
                <w:sz w:val="24"/>
                <w:lang w:val="en-US" w:eastAsia="zh-CN"/>
              </w:rPr>
              <w:t>下午16</w:t>
            </w:r>
            <w:r>
              <w:rPr>
                <w:rFonts w:hint="eastAsia" w:ascii="宋体" w:hAnsi="宋体" w:cs="仿宋"/>
                <w:sz w:val="24"/>
                <w:lang w:val="en-US"/>
              </w:rPr>
              <w:t>:00</w:t>
            </w:r>
            <w:r>
              <w:rPr>
                <w:rFonts w:hint="eastAsia" w:ascii="宋体" w:hAnsi="宋体" w:cs="仿宋"/>
                <w:sz w:val="24"/>
              </w:rPr>
              <w:t>前邮寄至浙江省湖州市</w:t>
            </w:r>
            <w:r>
              <w:rPr>
                <w:rFonts w:hint="eastAsia" w:ascii="宋体" w:hAnsi="宋体" w:cs="仿宋"/>
                <w:sz w:val="24"/>
                <w:lang w:eastAsia="zh-CN"/>
              </w:rPr>
              <w:t>亿丰国际建材城</w:t>
            </w:r>
            <w:r>
              <w:rPr>
                <w:rFonts w:hint="eastAsia" w:ascii="宋体" w:hAnsi="宋体" w:cs="仿宋"/>
                <w:sz w:val="24"/>
                <w:lang w:val="en-US" w:eastAsia="zh-CN"/>
              </w:rPr>
              <w:t>10号楼3楼308室</w:t>
            </w:r>
            <w:r>
              <w:rPr>
                <w:rFonts w:hint="eastAsia" w:ascii="宋体" w:hAnsi="宋体" w:cs="仿宋"/>
                <w:sz w:val="24"/>
              </w:rPr>
              <w:t>（</w:t>
            </w:r>
            <w:r>
              <w:rPr>
                <w:rFonts w:hint="eastAsia" w:ascii="宋体" w:hAnsi="宋体" w:cs="仿宋"/>
                <w:sz w:val="24"/>
                <w:lang w:eastAsia="zh-CN"/>
              </w:rPr>
              <w:t>宁波建信工程造价咨询事务所有限公司</w:t>
            </w:r>
            <w:r>
              <w:rPr>
                <w:rFonts w:hint="eastAsia" w:ascii="宋体" w:hAnsi="宋体" w:cs="仿宋"/>
                <w:sz w:val="24"/>
              </w:rPr>
              <w:t>）；收件人：</w:t>
            </w:r>
            <w:r>
              <w:rPr>
                <w:rFonts w:hint="eastAsia" w:ascii="宋体" w:hAnsi="宋体" w:cs="仿宋"/>
                <w:sz w:val="24"/>
                <w:lang w:eastAsia="zh-CN"/>
              </w:rPr>
              <w:t>王</w:t>
            </w:r>
            <w:r>
              <w:rPr>
                <w:rFonts w:hint="eastAsia" w:ascii="宋体" w:hAnsi="宋体" w:cs="仿宋"/>
                <w:sz w:val="24"/>
              </w:rPr>
              <w:t>女士；联系电话：0572-</w:t>
            </w:r>
            <w:r>
              <w:rPr>
                <w:rFonts w:hint="eastAsia" w:ascii="宋体" w:hAnsi="宋体" w:cs="仿宋"/>
                <w:sz w:val="24"/>
                <w:lang w:val="en-US" w:eastAsia="zh-CN"/>
              </w:rPr>
              <w:t>2125808</w:t>
            </w:r>
            <w:r>
              <w:rPr>
                <w:rFonts w:hint="eastAsia" w:ascii="宋体" w:hAnsi="宋体" w:cs="仿宋"/>
                <w:sz w:val="24"/>
              </w:rPr>
              <w:t>，数量为</w:t>
            </w:r>
            <w:r>
              <w:rPr>
                <w:rFonts w:hint="eastAsia" w:ascii="宋体" w:hAnsi="宋体" w:cs="仿宋"/>
                <w:sz w:val="24"/>
                <w:lang w:val="en-US"/>
              </w:rPr>
              <w:t>U盘</w:t>
            </w:r>
            <w:r>
              <w:rPr>
                <w:rFonts w:hint="eastAsia" w:ascii="宋体" w:hAnsi="宋体" w:cs="仿宋"/>
                <w:sz w:val="24"/>
              </w:rPr>
              <w:t>一份。</w:t>
            </w:r>
          </w:p>
          <w:p>
            <w:pPr>
              <w:snapToGrid w:val="0"/>
              <w:spacing w:line="400" w:lineRule="exact"/>
              <w:rPr>
                <w:rFonts w:ascii="宋体" w:hAnsi="宋体" w:cs="仿宋"/>
                <w:sz w:val="24"/>
              </w:rPr>
            </w:pPr>
            <w:r>
              <w:rPr>
                <w:rFonts w:hint="eastAsia" w:ascii="宋体" w:hAnsi="宋体" w:cs="仿宋"/>
                <w:sz w:val="24"/>
              </w:rPr>
              <w:t>5、投标文件的上传和递交：</w:t>
            </w:r>
          </w:p>
          <w:p>
            <w:pPr>
              <w:snapToGrid w:val="0"/>
              <w:spacing w:line="400" w:lineRule="exact"/>
              <w:ind w:firstLine="480" w:firstLineChars="200"/>
              <w:rPr>
                <w:rFonts w:ascii="宋体" w:hAnsi="宋体" w:cs="仿宋"/>
                <w:sz w:val="24"/>
              </w:rPr>
            </w:pPr>
            <w:r>
              <w:rPr>
                <w:rFonts w:hint="eastAsia" w:ascii="宋体" w:hAnsi="宋体" w:cs="仿宋"/>
                <w:sz w:val="24"/>
              </w:rPr>
              <w:t>（1）“电子加密投标文件”的上传、递交：</w:t>
            </w:r>
          </w:p>
          <w:p>
            <w:pPr>
              <w:snapToGrid w:val="0"/>
              <w:spacing w:line="400" w:lineRule="exact"/>
              <w:ind w:firstLine="480" w:firstLineChars="200"/>
              <w:rPr>
                <w:rFonts w:ascii="宋体" w:hAnsi="宋体" w:cs="仿宋"/>
                <w:sz w:val="24"/>
              </w:rPr>
            </w:pPr>
            <w:r>
              <w:rPr>
                <w:rFonts w:hint="eastAsia" w:ascii="宋体" w:hAnsi="宋体" w:cs="仿宋"/>
                <w:sz w:val="24"/>
              </w:rPr>
              <w:t>a.投标供应商应在投标截止时间前将“电子加密投标文件”成功上传递交至“政府采购云平台”，否则投标无效。</w:t>
            </w:r>
          </w:p>
          <w:p>
            <w:pPr>
              <w:snapToGrid w:val="0"/>
              <w:spacing w:line="400" w:lineRule="exact"/>
              <w:ind w:firstLine="480" w:firstLineChars="200"/>
              <w:rPr>
                <w:rFonts w:ascii="宋体" w:hAnsi="宋体" w:cs="仿宋"/>
                <w:sz w:val="24"/>
              </w:rPr>
            </w:pPr>
            <w:r>
              <w:rPr>
                <w:rFonts w:hint="eastAsia" w:ascii="宋体" w:hAnsi="宋体" w:cs="仿宋"/>
                <w:sz w:val="24"/>
              </w:rPr>
              <w:t>b.“电子加密投标文件”成功上传递交后，投标供应商可自行打印投标文件接收回执。</w:t>
            </w:r>
          </w:p>
          <w:p>
            <w:pPr>
              <w:snapToGrid w:val="0"/>
              <w:spacing w:line="400" w:lineRule="exact"/>
              <w:ind w:firstLine="480" w:firstLineChars="200"/>
              <w:rPr>
                <w:rFonts w:ascii="宋体" w:hAnsi="宋体" w:cs="仿宋"/>
                <w:sz w:val="24"/>
              </w:rPr>
            </w:pPr>
            <w:r>
              <w:rPr>
                <w:rFonts w:hint="eastAsia" w:ascii="宋体" w:hAnsi="宋体" w:cs="仿宋"/>
                <w:sz w:val="24"/>
              </w:rPr>
              <w:t>（2）“备份投标文件”的上传、递交：</w:t>
            </w:r>
          </w:p>
          <w:p>
            <w:pPr>
              <w:snapToGrid w:val="0"/>
              <w:spacing w:line="400" w:lineRule="exact"/>
              <w:ind w:firstLine="480" w:firstLineChars="200"/>
              <w:rPr>
                <w:rFonts w:hint="eastAsia" w:ascii="宋体" w:hAnsi="宋体" w:cs="仿宋"/>
                <w:sz w:val="24"/>
              </w:rPr>
            </w:pPr>
            <w:r>
              <w:rPr>
                <w:rFonts w:hint="eastAsia" w:ascii="宋体" w:hAnsi="宋体" w:cs="仿宋"/>
                <w:sz w:val="24"/>
              </w:rPr>
              <w:t>a.供应商在“政采云平台”</w:t>
            </w:r>
            <w:r>
              <w:rPr>
                <w:rFonts w:hint="eastAsia" w:ascii="宋体" w:hAnsi="宋体" w:cs="仿宋"/>
                <w:sz w:val="24"/>
                <w:lang w:val="en-US"/>
              </w:rPr>
              <w:t>编制</w:t>
            </w:r>
            <w:r>
              <w:rPr>
                <w:rFonts w:hint="eastAsia" w:ascii="宋体" w:hAnsi="宋体" w:cs="仿宋"/>
                <w:sz w:val="24"/>
              </w:rPr>
              <w:t>“电子加密</w:t>
            </w:r>
            <w:r>
              <w:rPr>
                <w:rFonts w:hint="eastAsia" w:ascii="宋体" w:hAnsi="宋体" w:cs="仿宋"/>
                <w:sz w:val="24"/>
                <w:lang w:eastAsia="zh-CN"/>
              </w:rPr>
              <w:t>投标文件</w:t>
            </w:r>
            <w:r>
              <w:rPr>
                <w:rFonts w:hint="eastAsia" w:ascii="宋体" w:hAnsi="宋体" w:cs="仿宋"/>
                <w:sz w:val="24"/>
              </w:rPr>
              <w:t>”，还可以</w:t>
            </w:r>
            <w:r>
              <w:rPr>
                <w:rFonts w:hint="eastAsia" w:ascii="宋体" w:hAnsi="宋体" w:cs="仿宋"/>
                <w:sz w:val="24"/>
                <w:lang w:val="en-US"/>
              </w:rPr>
              <w:t>在</w:t>
            </w:r>
            <w:r>
              <w:rPr>
                <w:rFonts w:hint="eastAsia" w:ascii="宋体" w:hAnsi="宋体" w:cs="仿宋"/>
                <w:color w:val="FF0000"/>
                <w:sz w:val="24"/>
                <w:lang w:val="en-US"/>
              </w:rPr>
              <w:t>202</w:t>
            </w:r>
            <w:r>
              <w:rPr>
                <w:rFonts w:hint="eastAsia" w:ascii="宋体" w:hAnsi="宋体" w:cs="仿宋"/>
                <w:color w:val="FF0000"/>
                <w:sz w:val="24"/>
                <w:lang w:val="en-US" w:eastAsia="zh-CN"/>
              </w:rPr>
              <w:t>1</w:t>
            </w:r>
            <w:r>
              <w:rPr>
                <w:rFonts w:hint="eastAsia" w:ascii="宋体" w:hAnsi="宋体" w:cs="仿宋"/>
                <w:color w:val="FF0000"/>
                <w:sz w:val="24"/>
                <w:lang w:val="en-US"/>
              </w:rPr>
              <w:t>年</w:t>
            </w:r>
            <w:r>
              <w:rPr>
                <w:rFonts w:hint="eastAsia" w:ascii="宋体" w:hAnsi="宋体" w:cs="仿宋"/>
                <w:color w:val="FF0000"/>
                <w:sz w:val="24"/>
                <w:u w:val="single"/>
                <w:lang w:val="en-US" w:eastAsia="zh-CN"/>
              </w:rPr>
              <w:t xml:space="preserve"> </w:t>
            </w:r>
            <w:r>
              <w:rPr>
                <w:rFonts w:hint="eastAsia" w:ascii="宋体" w:hAnsi="宋体" w:cs="仿宋"/>
                <w:color w:val="FF0000"/>
                <w:sz w:val="24"/>
                <w:lang w:val="en-US"/>
              </w:rPr>
              <w:t>月</w:t>
            </w:r>
            <w:r>
              <w:rPr>
                <w:rFonts w:hint="eastAsia" w:ascii="宋体" w:hAnsi="宋体" w:cs="仿宋"/>
                <w:color w:val="FF0000"/>
                <w:sz w:val="24"/>
                <w:u w:val="single"/>
                <w:lang w:val="en-US" w:eastAsia="zh-CN"/>
              </w:rPr>
              <w:t xml:space="preserve">   </w:t>
            </w:r>
            <w:r>
              <w:rPr>
                <w:rFonts w:hint="eastAsia" w:ascii="宋体" w:hAnsi="宋体" w:cs="仿宋"/>
                <w:color w:val="FF0000"/>
                <w:sz w:val="24"/>
                <w:lang w:val="en-US"/>
              </w:rPr>
              <w:t>日</w:t>
            </w:r>
            <w:r>
              <w:rPr>
                <w:rFonts w:hint="eastAsia" w:ascii="宋体" w:hAnsi="宋体" w:cs="仿宋"/>
                <w:sz w:val="24"/>
                <w:lang w:val="en-US" w:eastAsia="zh-CN"/>
              </w:rPr>
              <w:t>下午16</w:t>
            </w:r>
            <w:r>
              <w:rPr>
                <w:rFonts w:hint="eastAsia" w:ascii="宋体" w:hAnsi="宋体" w:cs="仿宋"/>
                <w:sz w:val="24"/>
                <w:lang w:val="en-US"/>
              </w:rPr>
              <w:t>:00</w:t>
            </w:r>
            <w:r>
              <w:rPr>
                <w:rFonts w:hint="eastAsia" w:ascii="宋体" w:hAnsi="宋体" w:cs="仿宋"/>
                <w:sz w:val="24"/>
              </w:rPr>
              <w:t>前递交以介质（U盘）存储的 “备份</w:t>
            </w:r>
            <w:r>
              <w:rPr>
                <w:rFonts w:hint="eastAsia" w:ascii="宋体" w:hAnsi="宋体" w:cs="仿宋"/>
                <w:sz w:val="24"/>
                <w:lang w:eastAsia="zh-CN"/>
              </w:rPr>
              <w:t>投标文件</w:t>
            </w:r>
            <w:r>
              <w:rPr>
                <w:rFonts w:hint="eastAsia" w:ascii="宋体" w:hAnsi="宋体" w:cs="仿宋"/>
                <w:sz w:val="24"/>
              </w:rPr>
              <w:t>”（一份）。“备份</w:t>
            </w:r>
            <w:r>
              <w:rPr>
                <w:rFonts w:hint="eastAsia" w:ascii="宋体" w:hAnsi="宋体" w:cs="仿宋"/>
                <w:sz w:val="24"/>
                <w:lang w:eastAsia="zh-CN"/>
              </w:rPr>
              <w:t>投标文件</w:t>
            </w:r>
            <w:r>
              <w:rPr>
                <w:rFonts w:hint="eastAsia" w:ascii="宋体" w:hAnsi="宋体" w:cs="仿宋"/>
                <w:sz w:val="24"/>
              </w:rPr>
              <w:t>”应当密封包装，并在包装上标注项目名称、单位名称并加盖公章。没有密封包装或者逾期送达的“备份</w:t>
            </w:r>
            <w:r>
              <w:rPr>
                <w:rFonts w:hint="eastAsia" w:ascii="宋体" w:hAnsi="宋体" w:cs="仿宋"/>
                <w:sz w:val="24"/>
                <w:lang w:eastAsia="zh-CN"/>
              </w:rPr>
              <w:t>投标文件</w:t>
            </w:r>
            <w:r>
              <w:rPr>
                <w:rFonts w:hint="eastAsia" w:ascii="宋体" w:hAnsi="宋体" w:cs="仿宋"/>
                <w:sz w:val="24"/>
              </w:rPr>
              <w:t>”无效；</w:t>
            </w:r>
          </w:p>
          <w:p>
            <w:pPr>
              <w:snapToGrid w:val="0"/>
              <w:spacing w:line="400" w:lineRule="exact"/>
              <w:ind w:firstLine="480" w:firstLineChars="200"/>
              <w:rPr>
                <w:rFonts w:hint="eastAsia" w:ascii="宋体" w:hAnsi="宋体" w:cs="仿宋"/>
                <w:sz w:val="24"/>
              </w:rPr>
            </w:pPr>
            <w:r>
              <w:rPr>
                <w:rFonts w:hint="eastAsia" w:ascii="宋体" w:hAnsi="宋体" w:cs="仿宋"/>
                <w:sz w:val="24"/>
                <w:lang w:val="en-US" w:eastAsia="zh-CN"/>
              </w:rPr>
              <w:t>b.</w:t>
            </w:r>
            <w:r>
              <w:rPr>
                <w:rFonts w:hint="eastAsia" w:ascii="宋体" w:hAnsi="宋体" w:cs="仿宋"/>
                <w:sz w:val="24"/>
              </w:rPr>
              <w:t>通过“政府采购云平台”成功上传“电子加密</w:t>
            </w:r>
            <w:r>
              <w:rPr>
                <w:rFonts w:hint="eastAsia" w:ascii="宋体" w:hAnsi="宋体" w:cs="仿宋"/>
                <w:sz w:val="24"/>
                <w:lang w:eastAsia="zh-CN"/>
              </w:rPr>
              <w:t>投标文件</w:t>
            </w:r>
            <w:r>
              <w:rPr>
                <w:rFonts w:hint="eastAsia" w:ascii="宋体" w:hAnsi="宋体" w:cs="仿宋"/>
                <w:sz w:val="24"/>
              </w:rPr>
              <w:t>”的供应商，</w:t>
            </w:r>
            <w:r>
              <w:rPr>
                <w:rFonts w:hint="eastAsia" w:ascii="宋体" w:hAnsi="宋体" w:cs="仿宋"/>
                <w:sz w:val="24"/>
                <w:lang w:val="en-US"/>
              </w:rPr>
              <w:t>因遗失CA或其他原因，导致无法解密</w:t>
            </w:r>
            <w:r>
              <w:rPr>
                <w:rFonts w:hint="eastAsia" w:ascii="宋体" w:hAnsi="宋体" w:cs="仿宋"/>
                <w:sz w:val="24"/>
              </w:rPr>
              <w:t>“电子加密</w:t>
            </w:r>
            <w:r>
              <w:rPr>
                <w:rFonts w:hint="eastAsia" w:ascii="宋体" w:hAnsi="宋体" w:cs="仿宋"/>
                <w:sz w:val="24"/>
                <w:lang w:eastAsia="zh-CN"/>
              </w:rPr>
              <w:t>投标文件</w:t>
            </w:r>
            <w:r>
              <w:rPr>
                <w:rFonts w:hint="eastAsia" w:ascii="宋体" w:hAnsi="宋体" w:cs="仿宋"/>
                <w:sz w:val="24"/>
              </w:rPr>
              <w:t>”时</w:t>
            </w:r>
            <w:r>
              <w:rPr>
                <w:rFonts w:hint="eastAsia" w:ascii="宋体" w:hAnsi="宋体" w:cs="仿宋"/>
                <w:sz w:val="24"/>
                <w:lang w:val="en-US"/>
              </w:rPr>
              <w:t>，供应商</w:t>
            </w:r>
            <w:r>
              <w:rPr>
                <w:rFonts w:hint="eastAsia" w:ascii="宋体" w:hAnsi="宋体" w:cs="仿宋"/>
                <w:sz w:val="24"/>
              </w:rPr>
              <w:t>如按规定递交了</w:t>
            </w:r>
            <w:r>
              <w:rPr>
                <w:rFonts w:hint="eastAsia" w:ascii="宋体" w:hAnsi="宋体" w:cs="仿宋"/>
                <w:sz w:val="24"/>
                <w:lang w:val="en-US"/>
              </w:rPr>
              <w:t>“备份</w:t>
            </w:r>
            <w:r>
              <w:rPr>
                <w:rFonts w:hint="eastAsia" w:ascii="宋体" w:hAnsi="宋体" w:cs="仿宋"/>
                <w:sz w:val="24"/>
                <w:lang w:val="en-US" w:eastAsia="zh-CN"/>
              </w:rPr>
              <w:t>投标文件</w:t>
            </w:r>
            <w:r>
              <w:rPr>
                <w:rFonts w:hint="eastAsia" w:ascii="宋体" w:hAnsi="宋体" w:cs="仿宋"/>
                <w:sz w:val="24"/>
                <w:lang w:val="en-US"/>
              </w:rPr>
              <w:t>”的，由代理机构通过政采云电子交易平台【异常处理】端口上传、解密</w:t>
            </w:r>
            <w:r>
              <w:rPr>
                <w:rFonts w:hint="eastAsia" w:ascii="宋体" w:hAnsi="宋体" w:cs="仿宋"/>
                <w:sz w:val="24"/>
              </w:rPr>
              <w:t>。</w:t>
            </w:r>
          </w:p>
          <w:p>
            <w:pPr>
              <w:snapToGrid w:val="0"/>
              <w:spacing w:line="400" w:lineRule="exact"/>
              <w:ind w:firstLine="480" w:firstLineChars="200"/>
              <w:rPr>
                <w:rFonts w:ascii="宋体" w:hAnsi="宋体" w:cs="仿宋"/>
                <w:sz w:val="24"/>
              </w:rPr>
            </w:pPr>
            <w:r>
              <w:rPr>
                <w:rFonts w:hint="eastAsia" w:ascii="宋体" w:hAnsi="宋体" w:cs="仿宋"/>
                <w:sz w:val="24"/>
                <w:lang w:val="en-US" w:eastAsia="zh-CN"/>
              </w:rPr>
              <w:t>c</w:t>
            </w:r>
            <w:r>
              <w:rPr>
                <w:rFonts w:hint="eastAsia" w:ascii="宋体" w:hAnsi="宋体" w:cs="仿宋"/>
                <w:sz w:val="24"/>
              </w:rPr>
              <w:t>.通过“政府采购云平台”成功上传递交的“电子加密</w:t>
            </w:r>
            <w:r>
              <w:rPr>
                <w:rFonts w:hint="eastAsia" w:ascii="宋体" w:hAnsi="宋体" w:cs="仿宋"/>
                <w:sz w:val="24"/>
                <w:lang w:eastAsia="zh-CN"/>
              </w:rPr>
              <w:t>投标文件</w:t>
            </w:r>
            <w:r>
              <w:rPr>
                <w:rFonts w:hint="eastAsia" w:ascii="宋体" w:hAnsi="宋体" w:cs="仿宋"/>
                <w:sz w:val="24"/>
              </w:rPr>
              <w:t>”已按时解密的，“备份</w:t>
            </w:r>
            <w:r>
              <w:rPr>
                <w:rFonts w:hint="eastAsia" w:ascii="宋体" w:hAnsi="宋体" w:cs="仿宋"/>
                <w:sz w:val="24"/>
                <w:lang w:eastAsia="zh-CN"/>
              </w:rPr>
              <w:t>投标文件</w:t>
            </w:r>
            <w:r>
              <w:rPr>
                <w:rFonts w:hint="eastAsia" w:ascii="宋体" w:hAnsi="宋体" w:cs="仿宋"/>
                <w:sz w:val="24"/>
              </w:rPr>
              <w:t>”自动失效。</w:t>
            </w:r>
            <w:r>
              <w:rPr>
                <w:rFonts w:hint="eastAsia" w:ascii="宋体" w:hAnsi="宋体" w:cs="仿宋"/>
                <w:sz w:val="24"/>
                <w:lang w:eastAsia="zh-CN"/>
              </w:rPr>
              <w:t>投标文件</w:t>
            </w:r>
            <w:r>
              <w:rPr>
                <w:rFonts w:hint="eastAsia" w:ascii="宋体" w:hAnsi="宋体" w:cs="仿宋"/>
                <w:sz w:val="24"/>
              </w:rPr>
              <w:t>启用顺序和效力。</w:t>
            </w:r>
            <w:r>
              <w:rPr>
                <w:rFonts w:hint="eastAsia" w:ascii="宋体" w:hAnsi="宋体" w:cs="仿宋"/>
                <w:sz w:val="24"/>
                <w:lang w:eastAsia="zh-CN"/>
              </w:rPr>
              <w:t>投标文件</w:t>
            </w:r>
            <w:r>
              <w:rPr>
                <w:rFonts w:hint="eastAsia" w:ascii="宋体" w:hAnsi="宋体" w:cs="仿宋"/>
                <w:sz w:val="24"/>
              </w:rPr>
              <w:t>的启用，按先后顺位分别为电子</w:t>
            </w:r>
            <w:r>
              <w:rPr>
                <w:rFonts w:hint="eastAsia" w:ascii="宋体" w:hAnsi="宋体" w:cs="仿宋"/>
                <w:sz w:val="24"/>
                <w:lang w:eastAsia="zh-CN"/>
              </w:rPr>
              <w:t>投标文件</w:t>
            </w:r>
            <w:r>
              <w:rPr>
                <w:rFonts w:hint="eastAsia" w:ascii="宋体" w:hAnsi="宋体" w:cs="仿宋"/>
                <w:sz w:val="24"/>
              </w:rPr>
              <w:t>、数据电文形式的备份</w:t>
            </w:r>
            <w:r>
              <w:rPr>
                <w:rFonts w:hint="eastAsia" w:ascii="宋体" w:hAnsi="宋体" w:cs="仿宋"/>
                <w:sz w:val="24"/>
                <w:lang w:eastAsia="zh-CN"/>
              </w:rPr>
              <w:t>投标文件</w:t>
            </w:r>
            <w:r>
              <w:rPr>
                <w:rFonts w:hint="eastAsia" w:ascii="宋体" w:hAnsi="宋体" w:cs="仿宋"/>
                <w:sz w:val="24"/>
              </w:rPr>
              <w:t>。</w:t>
            </w:r>
          </w:p>
          <w:p>
            <w:pPr>
              <w:snapToGrid w:val="0"/>
              <w:spacing w:line="400" w:lineRule="exact"/>
              <w:ind w:firstLine="482" w:firstLineChars="200"/>
              <w:rPr>
                <w:rFonts w:ascii="宋体" w:hAnsi="宋体" w:cs="仿宋"/>
                <w:b/>
                <w:bCs/>
                <w:sz w:val="24"/>
              </w:rPr>
            </w:pPr>
            <w:r>
              <w:rPr>
                <w:rFonts w:hint="eastAsia" w:ascii="宋体" w:hAnsi="宋体" w:cs="仿宋"/>
                <w:b/>
                <w:bCs/>
                <w:sz w:val="24"/>
              </w:rPr>
              <w:t>（3）所有投标文件逾期解密的视作无效标。</w:t>
            </w:r>
          </w:p>
          <w:p>
            <w:pPr>
              <w:snapToGrid w:val="0"/>
              <w:spacing w:line="400" w:lineRule="exact"/>
              <w:rPr>
                <w:rFonts w:ascii="宋体" w:hAnsi="宋体" w:cs="仿宋"/>
                <w:sz w:val="24"/>
              </w:rPr>
            </w:pPr>
            <w:r>
              <w:rPr>
                <w:rFonts w:hint="eastAsia" w:ascii="宋体" w:hAnsi="宋体" w:cs="仿宋"/>
                <w:sz w:val="24"/>
              </w:rPr>
              <w:t>6、电子加密投标文件的解密和异常情况处理：</w:t>
            </w:r>
          </w:p>
          <w:p>
            <w:pPr>
              <w:snapToGrid w:val="0"/>
              <w:spacing w:line="400" w:lineRule="exact"/>
              <w:ind w:firstLine="480" w:firstLineChars="200"/>
              <w:rPr>
                <w:rFonts w:hint="eastAsia" w:ascii="宋体" w:hAnsi="宋体" w:eastAsia="宋体" w:cs="仿宋"/>
                <w:sz w:val="24"/>
                <w:lang w:eastAsia="zh-CN"/>
              </w:rPr>
            </w:pPr>
            <w:r>
              <w:rPr>
                <w:rFonts w:hint="eastAsia" w:ascii="宋体" w:hAnsi="宋体" w:cs="仿宋"/>
                <w:sz w:val="24"/>
              </w:rPr>
              <w:t>（1）开标后，采购代理机构将向各投标供应商发出“电子加密投标文件”的解密通知，各投标供应商代表应当在接到解密通知后30分钟内自行完成“电子加密投标文件”的在线解密</w:t>
            </w:r>
            <w:r>
              <w:rPr>
                <w:rFonts w:hint="eastAsia" w:ascii="宋体" w:hAnsi="宋体" w:cs="仿宋"/>
                <w:sz w:val="24"/>
                <w:lang w:eastAsia="zh-CN"/>
              </w:rPr>
              <w:t>，未在规定的时间内无法完成投标文件解密的，视为自动放弃本项目的投标。</w:t>
            </w:r>
          </w:p>
          <w:p>
            <w:pPr>
              <w:snapToGrid w:val="0"/>
              <w:spacing w:line="400" w:lineRule="exact"/>
              <w:ind w:firstLine="480" w:firstLineChars="200"/>
              <w:rPr>
                <w:rFonts w:ascii="宋体" w:hAnsi="宋体" w:cs="仿宋"/>
                <w:sz w:val="24"/>
              </w:rPr>
            </w:pPr>
            <w:r>
              <w:rPr>
                <w:rFonts w:hint="eastAsia" w:ascii="宋体" w:hAnsi="宋体" w:cs="仿宋"/>
                <w:sz w:val="24"/>
              </w:rPr>
              <w:t>（2）通过“政府采购云平台”成功上传“电子加密投标文件”的投标供应商，因遗失CA或其他原因，导致无法解密“电子加密投标文件”的，供应商如按规定递交了“备份</w:t>
            </w:r>
            <w:r>
              <w:rPr>
                <w:rFonts w:hint="eastAsia" w:ascii="宋体" w:hAnsi="宋体" w:cs="仿宋"/>
                <w:sz w:val="24"/>
                <w:lang w:eastAsia="zh-CN"/>
              </w:rPr>
              <w:t>投标</w:t>
            </w:r>
            <w:r>
              <w:rPr>
                <w:rFonts w:hint="eastAsia" w:ascii="宋体" w:hAnsi="宋体" w:cs="仿宋"/>
                <w:sz w:val="24"/>
              </w:rPr>
              <w:t>文件”的，启用数据电子备份投标文件（U 盘）（由采购组织机构按“政府采购云平台”操作规范将“备份</w:t>
            </w:r>
            <w:r>
              <w:rPr>
                <w:rFonts w:hint="eastAsia" w:ascii="宋体" w:hAnsi="宋体" w:cs="仿宋"/>
                <w:sz w:val="24"/>
                <w:lang w:eastAsia="zh-CN"/>
              </w:rPr>
              <w:t>投标文件</w:t>
            </w:r>
            <w:r>
              <w:rPr>
                <w:rFonts w:hint="eastAsia" w:ascii="宋体" w:hAnsi="宋体" w:cs="仿宋"/>
                <w:sz w:val="24"/>
              </w:rPr>
              <w:t>”上传至“政府采购云平台”</w:t>
            </w:r>
            <w:r>
              <w:rPr>
                <w:rFonts w:hint="eastAsia" w:ascii="宋体" w:hAnsi="宋体" w:cs="仿宋"/>
                <w:sz w:val="24"/>
                <w:lang w:val="en-US" w:eastAsia="zh-CN"/>
              </w:rPr>
              <w:t>,</w:t>
            </w:r>
            <w:r>
              <w:rPr>
                <w:rFonts w:hint="eastAsia" w:ascii="宋体" w:hAnsi="宋体" w:cs="仿宋"/>
                <w:sz w:val="24"/>
              </w:rPr>
              <w:t>上传成功后，“电子加密</w:t>
            </w:r>
            <w:r>
              <w:rPr>
                <w:rFonts w:hint="eastAsia" w:ascii="宋体" w:hAnsi="宋体" w:cs="仿宋"/>
                <w:sz w:val="24"/>
                <w:lang w:eastAsia="zh-CN"/>
              </w:rPr>
              <w:t>投标文件</w:t>
            </w:r>
            <w:r>
              <w:rPr>
                <w:rFonts w:hint="eastAsia" w:ascii="宋体" w:hAnsi="宋体" w:cs="仿宋"/>
                <w:sz w:val="24"/>
              </w:rPr>
              <w:t>”自动失效</w:t>
            </w:r>
            <w:r>
              <w:rPr>
                <w:rFonts w:hint="eastAsia" w:ascii="宋体" w:hAnsi="宋体" w:cs="仿宋"/>
                <w:sz w:val="24"/>
                <w:lang w:val="en-US" w:eastAsia="zh-CN"/>
              </w:rPr>
              <w:t>)。</w:t>
            </w:r>
            <w:r>
              <w:rPr>
                <w:rFonts w:hint="eastAsia" w:ascii="宋体" w:hAnsi="宋体" w:cs="仿宋"/>
                <w:sz w:val="24"/>
              </w:rPr>
              <w:t>因供应商电子备份投标文件（U 盘）或自身原因造成数据电子备份投标文件（U盘）无法打开的，作无效标处理。</w:t>
            </w:r>
          </w:p>
          <w:p>
            <w:pPr>
              <w:pStyle w:val="21"/>
              <w:spacing w:line="400" w:lineRule="exact"/>
              <w:rPr>
                <w:rFonts w:hAnsi="宋体" w:cs="宋体"/>
                <w:szCs w:val="21"/>
              </w:rPr>
            </w:pPr>
            <w:r>
              <w:rPr>
                <w:rFonts w:hint="eastAsia" w:hAnsi="宋体" w:cs="Arial"/>
                <w:sz w:val="24"/>
                <w:szCs w:val="22"/>
              </w:rPr>
              <w:t>（3）</w:t>
            </w:r>
            <w:r>
              <w:rPr>
                <w:rFonts w:hint="eastAsia" w:hAnsi="宋体" w:cs="Arial"/>
                <w:sz w:val="24"/>
                <w:szCs w:val="22"/>
                <w:lang w:eastAsia="zh-CN"/>
              </w:rPr>
              <w:t>投标截止</w:t>
            </w:r>
            <w:r>
              <w:rPr>
                <w:rFonts w:hint="eastAsia" w:hAnsi="宋体" w:cs="Arial"/>
                <w:sz w:val="24"/>
                <w:szCs w:val="22"/>
              </w:rPr>
              <w:t>时间前，供应商仅递交了“备份</w:t>
            </w:r>
            <w:r>
              <w:rPr>
                <w:rFonts w:hint="eastAsia" w:hAnsi="宋体" w:cs="Arial"/>
                <w:sz w:val="24"/>
                <w:szCs w:val="22"/>
                <w:lang w:eastAsia="zh-CN"/>
              </w:rPr>
              <w:t>投标</w:t>
            </w:r>
            <w:r>
              <w:rPr>
                <w:rFonts w:hint="eastAsia" w:hAnsi="宋体" w:cs="Arial"/>
                <w:sz w:val="24"/>
                <w:szCs w:val="22"/>
              </w:rPr>
              <w:t>文件”而未将电子加密</w:t>
            </w:r>
            <w:r>
              <w:rPr>
                <w:rFonts w:hint="eastAsia" w:hAnsi="宋体" w:cs="Arial"/>
                <w:sz w:val="24"/>
                <w:szCs w:val="22"/>
                <w:lang w:eastAsia="zh-CN"/>
              </w:rPr>
              <w:t>投标</w:t>
            </w:r>
            <w:r>
              <w:rPr>
                <w:rFonts w:hint="eastAsia" w:hAnsi="宋体" w:cs="Arial"/>
                <w:sz w:val="24"/>
                <w:szCs w:val="22"/>
              </w:rPr>
              <w:t>文件上传至“政府采购云平台”的，</w:t>
            </w:r>
            <w:r>
              <w:rPr>
                <w:rFonts w:hint="eastAsia" w:hAnsi="宋体" w:cs="Arial"/>
                <w:sz w:val="24"/>
                <w:szCs w:val="22"/>
                <w:lang w:eastAsia="zh-CN"/>
              </w:rPr>
              <w:t>投标</w:t>
            </w:r>
            <w:r>
              <w:rPr>
                <w:rFonts w:hint="eastAsia" w:hAnsi="宋体" w:cs="Arial"/>
                <w:sz w:val="24"/>
                <w:szCs w:val="22"/>
              </w:rPr>
              <w:t xml:space="preserve">无效。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6</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投标截止时间：</w:t>
            </w:r>
            <w:r>
              <w:rPr>
                <w:rFonts w:hint="eastAsia" w:ascii="宋体" w:hAnsi="宋体" w:cs="仿宋"/>
                <w:b/>
                <w:bCs/>
                <w:sz w:val="24"/>
                <w:u w:val="none"/>
                <w:lang w:val="en-US" w:eastAsia="zh-CN"/>
              </w:rPr>
              <w:t>2021年</w:t>
            </w:r>
            <w:r>
              <w:rPr>
                <w:rFonts w:hint="eastAsia" w:ascii="宋体" w:hAnsi="宋体" w:cs="仿宋"/>
                <w:b/>
                <w:bCs/>
                <w:color w:val="FF0000"/>
                <w:sz w:val="24"/>
                <w:u w:val="single"/>
                <w:lang w:val="en-US" w:eastAsia="zh-CN"/>
              </w:rPr>
              <w:t xml:space="preserve">  </w:t>
            </w:r>
            <w:r>
              <w:rPr>
                <w:rFonts w:hint="eastAsia" w:ascii="宋体" w:hAnsi="宋体" w:cs="仿宋"/>
                <w:b/>
                <w:bCs/>
                <w:color w:val="FF0000"/>
                <w:sz w:val="24"/>
                <w:u w:val="none"/>
                <w:lang w:val="en-US" w:eastAsia="zh-CN"/>
              </w:rPr>
              <w:t>月</w:t>
            </w:r>
            <w:r>
              <w:rPr>
                <w:rFonts w:hint="eastAsia" w:ascii="宋体" w:hAnsi="宋体" w:cs="仿宋"/>
                <w:b/>
                <w:bCs/>
                <w:color w:val="FF0000"/>
                <w:sz w:val="24"/>
                <w:u w:val="single"/>
                <w:lang w:val="en-US" w:eastAsia="zh-CN"/>
              </w:rPr>
              <w:t xml:space="preserve">  </w:t>
            </w:r>
            <w:r>
              <w:rPr>
                <w:rFonts w:hint="eastAsia" w:ascii="宋体" w:hAnsi="宋体" w:cs="仿宋"/>
                <w:b/>
                <w:bCs/>
                <w:color w:val="FF0000"/>
                <w:sz w:val="24"/>
                <w:u w:val="none"/>
                <w:lang w:val="en-US" w:eastAsia="zh-CN"/>
              </w:rPr>
              <w:t>日</w:t>
            </w:r>
            <w:r>
              <w:rPr>
                <w:rFonts w:hint="eastAsia" w:ascii="宋体" w:hAnsi="宋体" w:cs="仿宋"/>
                <w:b/>
                <w:bCs/>
                <w:color w:val="FF0000"/>
                <w:sz w:val="24"/>
                <w:u w:val="single"/>
                <w:lang w:val="en-US" w:eastAsia="zh-CN"/>
              </w:rPr>
              <w:t xml:space="preserve">  </w:t>
            </w:r>
            <w:r>
              <w:rPr>
                <w:rFonts w:hint="eastAsia" w:ascii="宋体" w:hAnsi="宋体" w:cs="仿宋"/>
                <w:b/>
                <w:bCs/>
                <w:color w:val="FF0000"/>
                <w:sz w:val="24"/>
                <w:u w:val="none"/>
                <w:lang w:val="en-US" w:eastAsia="zh-CN"/>
              </w:rPr>
              <w:t>时</w:t>
            </w:r>
            <w:r>
              <w:rPr>
                <w:rFonts w:hint="eastAsia" w:ascii="宋体" w:hAnsi="宋体" w:cs="仿宋"/>
                <w:b/>
                <w:bCs/>
                <w:color w:val="FF0000"/>
                <w:sz w:val="24"/>
                <w:u w:val="single"/>
                <w:lang w:val="en-US" w:eastAsia="zh-CN"/>
              </w:rPr>
              <w:t xml:space="preserve">  </w:t>
            </w:r>
            <w:r>
              <w:rPr>
                <w:rFonts w:hint="eastAsia" w:ascii="宋体" w:hAnsi="宋体" w:cs="仿宋"/>
                <w:b/>
                <w:bCs/>
                <w:color w:val="FF0000"/>
                <w:sz w:val="24"/>
                <w:u w:val="none"/>
                <w:lang w:val="en-US" w:eastAsia="zh-CN"/>
              </w:rPr>
              <w:t>分</w:t>
            </w:r>
            <w:r>
              <w:rPr>
                <w:rFonts w:hint="eastAsia" w:ascii="宋体" w:hAnsi="宋体" w:cs="仿宋"/>
                <w:sz w:val="24"/>
              </w:rPr>
              <w:t>；</w:t>
            </w:r>
          </w:p>
          <w:p>
            <w:pPr>
              <w:snapToGrid w:val="0"/>
              <w:spacing w:line="400" w:lineRule="exact"/>
              <w:rPr>
                <w:rFonts w:ascii="宋体" w:hAnsi="宋体" w:cs="仿宋"/>
                <w:sz w:val="24"/>
              </w:rPr>
            </w:pPr>
            <w:r>
              <w:rPr>
                <w:rFonts w:hint="eastAsia" w:ascii="宋体" w:hAnsi="宋体" w:cs="仿宋"/>
                <w:sz w:val="24"/>
              </w:rPr>
              <w:t>投标文件递交地点：</w:t>
            </w:r>
            <w:r>
              <w:rPr>
                <w:rFonts w:hint="eastAsia" w:ascii="宋体" w:hAnsi="宋体" w:cs="仿宋"/>
                <w:b/>
                <w:bCs/>
                <w:sz w:val="24"/>
                <w:u w:val="single"/>
              </w:rPr>
              <w:t>本项目通过“政府采购云平台（www.zcygov.cn）”实行在线投标响应（电子投标）</w:t>
            </w:r>
            <w:r>
              <w:rPr>
                <w:rFonts w:hint="eastAsia" w:ascii="宋体" w:hAnsi="宋体" w:cs="仿宋"/>
                <w:b/>
                <w:bCs/>
                <w:sz w:val="24"/>
                <w:u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7</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开标时间：</w:t>
            </w:r>
            <w:r>
              <w:rPr>
                <w:rFonts w:hint="eastAsia" w:ascii="宋体" w:hAnsi="宋体" w:cs="仿宋"/>
                <w:b/>
                <w:bCs/>
                <w:sz w:val="24"/>
                <w:u w:val="none"/>
                <w:lang w:val="en-US" w:eastAsia="zh-CN"/>
              </w:rPr>
              <w:t>2021年</w:t>
            </w:r>
            <w:r>
              <w:rPr>
                <w:rFonts w:hint="eastAsia" w:ascii="宋体" w:hAnsi="宋体" w:cs="仿宋"/>
                <w:b/>
                <w:bCs/>
                <w:color w:val="FF0000"/>
                <w:sz w:val="24"/>
                <w:u w:val="single"/>
                <w:lang w:val="en-US" w:eastAsia="zh-CN"/>
              </w:rPr>
              <w:t xml:space="preserve">  </w:t>
            </w:r>
            <w:r>
              <w:rPr>
                <w:rFonts w:hint="eastAsia" w:ascii="宋体" w:hAnsi="宋体" w:cs="仿宋"/>
                <w:b/>
                <w:bCs/>
                <w:color w:val="FF0000"/>
                <w:sz w:val="24"/>
                <w:u w:val="none"/>
                <w:lang w:val="en-US" w:eastAsia="zh-CN"/>
              </w:rPr>
              <w:t>月</w:t>
            </w:r>
            <w:r>
              <w:rPr>
                <w:rFonts w:hint="eastAsia" w:ascii="宋体" w:hAnsi="宋体" w:cs="仿宋"/>
                <w:b/>
                <w:bCs/>
                <w:color w:val="FF0000"/>
                <w:sz w:val="24"/>
                <w:u w:val="single"/>
                <w:lang w:val="en-US" w:eastAsia="zh-CN"/>
              </w:rPr>
              <w:t xml:space="preserve">  </w:t>
            </w:r>
            <w:r>
              <w:rPr>
                <w:rFonts w:hint="eastAsia" w:ascii="宋体" w:hAnsi="宋体" w:cs="仿宋"/>
                <w:b/>
                <w:bCs/>
                <w:color w:val="FF0000"/>
                <w:sz w:val="24"/>
                <w:u w:val="none"/>
                <w:lang w:val="en-US" w:eastAsia="zh-CN"/>
              </w:rPr>
              <w:t>日</w:t>
            </w:r>
            <w:r>
              <w:rPr>
                <w:rFonts w:hint="eastAsia" w:ascii="宋体" w:hAnsi="宋体" w:cs="仿宋"/>
                <w:b/>
                <w:bCs/>
                <w:color w:val="FF0000"/>
                <w:sz w:val="24"/>
                <w:u w:val="single"/>
                <w:lang w:val="en-US" w:eastAsia="zh-CN"/>
              </w:rPr>
              <w:t xml:space="preserve">  </w:t>
            </w:r>
            <w:r>
              <w:rPr>
                <w:rFonts w:hint="eastAsia" w:ascii="宋体" w:hAnsi="宋体" w:cs="仿宋"/>
                <w:b/>
                <w:bCs/>
                <w:color w:val="FF0000"/>
                <w:sz w:val="24"/>
                <w:u w:val="none"/>
                <w:lang w:val="en-US" w:eastAsia="zh-CN"/>
              </w:rPr>
              <w:t>时</w:t>
            </w:r>
            <w:r>
              <w:rPr>
                <w:rFonts w:hint="eastAsia" w:ascii="宋体" w:hAnsi="宋体" w:cs="仿宋"/>
                <w:b/>
                <w:bCs/>
                <w:color w:val="FF0000"/>
                <w:sz w:val="24"/>
                <w:u w:val="single"/>
                <w:lang w:val="en-US" w:eastAsia="zh-CN"/>
              </w:rPr>
              <w:t xml:space="preserve">  </w:t>
            </w:r>
            <w:r>
              <w:rPr>
                <w:rFonts w:hint="eastAsia" w:ascii="宋体" w:hAnsi="宋体" w:cs="仿宋"/>
                <w:b/>
                <w:bCs/>
                <w:color w:val="FF0000"/>
                <w:sz w:val="24"/>
                <w:u w:val="none"/>
                <w:lang w:val="en-US" w:eastAsia="zh-CN"/>
              </w:rPr>
              <w:t>分</w:t>
            </w:r>
            <w:r>
              <w:rPr>
                <w:rFonts w:hint="eastAsia" w:ascii="宋体" w:hAnsi="宋体" w:cs="仿宋"/>
                <w:sz w:val="24"/>
              </w:rPr>
              <w:t>；</w:t>
            </w:r>
          </w:p>
          <w:p>
            <w:pPr>
              <w:snapToGrid w:val="0"/>
              <w:spacing w:line="400" w:lineRule="exact"/>
              <w:rPr>
                <w:rFonts w:ascii="宋体" w:hAnsi="宋体" w:cs="仿宋"/>
                <w:sz w:val="24"/>
              </w:rPr>
            </w:pPr>
            <w:r>
              <w:rPr>
                <w:rFonts w:hint="eastAsia" w:ascii="宋体" w:hAnsi="宋体" w:cs="仿宋"/>
                <w:sz w:val="24"/>
              </w:rPr>
              <w:t>地点：</w:t>
            </w:r>
            <w:r>
              <w:rPr>
                <w:rFonts w:hint="eastAsia" w:ascii="宋体" w:hAnsi="宋体" w:cs="仿宋"/>
                <w:b/>
                <w:bCs/>
                <w:sz w:val="24"/>
                <w:u w:val="single"/>
              </w:rPr>
              <w:t>湖州市吴兴区公共资源交易中心开标室（</w:t>
            </w:r>
            <w:r>
              <w:rPr>
                <w:rFonts w:hint="eastAsia" w:ascii="宋体" w:hAnsi="宋体" w:cs="仿宋"/>
                <w:b/>
                <w:bCs/>
                <w:color w:val="FF0000"/>
                <w:sz w:val="24"/>
                <w:u w:val="single"/>
                <w:lang w:val="en-US" w:eastAsia="zh-CN"/>
              </w:rPr>
              <w:t>40*</w:t>
            </w:r>
            <w:r>
              <w:rPr>
                <w:rFonts w:hint="eastAsia" w:ascii="宋体" w:hAnsi="宋体" w:cs="仿宋"/>
                <w:b/>
                <w:bCs/>
                <w:sz w:val="24"/>
                <w:u w:val="single"/>
              </w:rPr>
              <w:t>号）【湖州市吴兴区区府路1188 号总部自由港E 幢4楼】</w:t>
            </w:r>
            <w:r>
              <w:rPr>
                <w:rFonts w:hint="eastAsia" w:ascii="宋体" w:hAnsi="宋体" w:cs="仿宋"/>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8</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评标办法及评分标准：附后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rPr>
            </w:pPr>
            <w:r>
              <w:rPr>
                <w:rFonts w:hint="eastAsia" w:ascii="宋体" w:hAnsi="宋体" w:cs="仿宋"/>
                <w:sz w:val="24"/>
              </w:rPr>
              <w:t>9</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开始评标前采购代理机构将依法对投标供应商的信用记录查询：依据财库[2016]125号文件执行</w:t>
            </w:r>
            <w:r>
              <w:rPr>
                <w:rFonts w:hint="eastAsia" w:ascii="宋体" w:hAnsi="宋体" w:cs="仿宋"/>
                <w:sz w:val="24"/>
                <w:lang w:eastAsia="zh-CN"/>
              </w:rPr>
              <w:t>，</w:t>
            </w:r>
            <w:r>
              <w:rPr>
                <w:rFonts w:hint="eastAsia" w:ascii="宋体" w:hAnsi="宋体" w:cs="仿宋"/>
                <w:sz w:val="24"/>
              </w:rPr>
              <w:t>查询渠道：信用中国（www.creditchina.gov.cn）、中国政府采购网（www.ccgp.gov.cn）；截止时点：截止提交投标文件截止时间前3年内；查询记录和证据的留存：网站查询，打印留存。</w:t>
            </w:r>
          </w:p>
          <w:p>
            <w:pPr>
              <w:snapToGrid w:val="0"/>
              <w:spacing w:line="400" w:lineRule="exact"/>
              <w:rPr>
                <w:rFonts w:ascii="宋体" w:hAnsi="宋体" w:cs="仿宋"/>
                <w:sz w:val="24"/>
              </w:rPr>
            </w:pPr>
            <w:r>
              <w:rPr>
                <w:rFonts w:hint="eastAsia" w:ascii="宋体" w:hAnsi="宋体" w:cs="仿宋"/>
                <w:sz w:val="24"/>
              </w:rPr>
              <w:t>使用规则：被列入失信被执行人、重大税收违法案件当事人名单、政府采购严重违法失信行为记录名单及其它不符合《中华人民共和国政府采购法》第二十二条规定条件的，其投标将被拒绝。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10</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评标结果公示：评标结束后2个工作日内，评标结果公示于：</w:t>
            </w:r>
          </w:p>
          <w:p>
            <w:pPr>
              <w:snapToGrid w:val="0"/>
              <w:spacing w:line="400" w:lineRule="exact"/>
              <w:rPr>
                <w:rFonts w:ascii="宋体" w:hAnsi="宋体" w:cs="仿宋"/>
                <w:sz w:val="24"/>
              </w:rPr>
            </w:pPr>
            <w:r>
              <w:rPr>
                <w:rFonts w:hint="eastAsia" w:ascii="宋体" w:hAnsi="宋体" w:cs="仿宋"/>
                <w:sz w:val="24"/>
              </w:rPr>
              <w:t>浙江政府采购网(</w:t>
            </w:r>
            <w:r>
              <w:rPr>
                <w:rFonts w:ascii="宋体" w:hAnsi="宋体" w:eastAsia="宋体" w:cs="宋体"/>
                <w:sz w:val="24"/>
                <w:szCs w:val="24"/>
              </w:rPr>
              <w:t>http://zfcg.czt.zj.gov.cn/</w:t>
            </w:r>
            <w:r>
              <w:rPr>
                <w:rFonts w:hint="eastAsia" w:ascii="宋体" w:hAnsi="宋体" w:cs="仿宋"/>
                <w:sz w:val="24"/>
              </w:rPr>
              <w:t>)</w:t>
            </w:r>
          </w:p>
          <w:p>
            <w:pPr>
              <w:snapToGrid w:val="0"/>
              <w:spacing w:line="400" w:lineRule="exact"/>
              <w:jc w:val="left"/>
              <w:rPr>
                <w:rFonts w:hint="eastAsia" w:ascii="宋体" w:hAnsi="宋体" w:eastAsia="宋体" w:cs="仿宋"/>
                <w:sz w:val="24"/>
                <w:lang w:eastAsia="zh-CN"/>
              </w:rPr>
            </w:pPr>
            <w:r>
              <w:rPr>
                <w:rFonts w:hint="eastAsia" w:ascii="宋体" w:hAnsi="宋体" w:cs="宋体"/>
                <w:sz w:val="24"/>
              </w:rPr>
              <w:t>湖州市吴兴区公共资源交易中心</w:t>
            </w:r>
            <w:r>
              <w:rPr>
                <w:rFonts w:hint="eastAsia" w:ascii="宋体" w:hAnsi="宋体" w:cs="宋体"/>
                <w:kern w:val="0"/>
                <w:sz w:val="24"/>
                <w:lang w:eastAsia="zh-CN"/>
              </w:rPr>
              <w:t>（</w:t>
            </w:r>
            <w:r>
              <w:rPr>
                <w:rFonts w:hint="eastAsia" w:ascii="宋体" w:hAnsi="宋体" w:cs="宋体"/>
                <w:kern w:val="0"/>
                <w:sz w:val="24"/>
              </w:rPr>
              <w:t>http://www.wuxing.gov.cn/hzgov/front/s127/sy/index.html</w:t>
            </w:r>
            <w:r>
              <w:rPr>
                <w:rFonts w:hint="eastAsia" w:ascii="宋体" w:hAnsi="宋体"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rPr>
            </w:pPr>
            <w:r>
              <w:rPr>
                <w:rFonts w:hint="eastAsia" w:ascii="宋体" w:hAnsi="宋体" w:cs="仿宋"/>
                <w:sz w:val="24"/>
              </w:rPr>
              <w:t>11</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仿宋"/>
                <w:sz w:val="24"/>
              </w:rPr>
            </w:pPr>
            <w:r>
              <w:rPr>
                <w:rFonts w:hint="eastAsia" w:ascii="宋体" w:hAnsi="宋体"/>
                <w:sz w:val="24"/>
              </w:rPr>
              <w:t xml:space="preserve">在确定中标供应商后，领取中标通知书前，中标供应商须提供一份完整的纸质投标文件给采购人，纸质投标文件须与电子投标文件格式及内容一致。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12</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签订合同时间：中标通知书发出后30日内。</w:t>
            </w:r>
          </w:p>
          <w:p>
            <w:pPr>
              <w:snapToGrid w:val="0"/>
              <w:spacing w:line="400" w:lineRule="exact"/>
              <w:rPr>
                <w:rFonts w:ascii="宋体" w:hAnsi="宋体" w:cs="仿宋"/>
                <w:sz w:val="24"/>
              </w:rPr>
            </w:pPr>
            <w:r>
              <w:rPr>
                <w:rFonts w:hint="eastAsia" w:ascii="宋体" w:hAnsi="宋体" w:cs="仿宋"/>
                <w:sz w:val="24"/>
              </w:rPr>
              <w:t>合同签订后由中标投标供应商向招标代理机构提供已签订的合同书面文件2份，电子扫描件一份用于合同备案。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rPr>
            </w:pPr>
            <w:r>
              <w:rPr>
                <w:rFonts w:hint="eastAsia" w:ascii="宋体" w:hAnsi="宋体" w:cs="仿宋"/>
                <w:sz w:val="24"/>
              </w:rPr>
              <w:t>13</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履约保证金的收取及退还:按人民币</w:t>
            </w:r>
            <w:r>
              <w:rPr>
                <w:rFonts w:hint="eastAsia" w:ascii="宋体" w:hAnsi="宋体" w:cs="仿宋"/>
                <w:color w:val="FF0000"/>
                <w:sz w:val="24"/>
                <w:lang w:eastAsia="zh-CN"/>
              </w:rPr>
              <w:t>壹拾万元</w:t>
            </w:r>
            <w:r>
              <w:rPr>
                <w:rFonts w:hint="eastAsia" w:ascii="宋体" w:hAnsi="宋体" w:cs="仿宋"/>
                <w:sz w:val="24"/>
              </w:rPr>
              <w:t>整计收，在合同履约过程中对中标人进行绩效考核，在合同履约完毕后视履约情况及绩效考核情况返还，如未达到招标人要求，扣除相应的履约保证金额，具体以正式合同约定为准。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14</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s="仿宋"/>
                <w:sz w:val="24"/>
                <w:lang w:eastAsia="zh-CN"/>
              </w:rPr>
            </w:pPr>
            <w:r>
              <w:rPr>
                <w:rFonts w:hint="eastAsia" w:ascii="宋体" w:hAnsi="宋体" w:cs="仿宋"/>
                <w:sz w:val="24"/>
              </w:rPr>
              <w:t>采购资金来源：</w:t>
            </w:r>
            <w:r>
              <w:rPr>
                <w:rFonts w:hint="eastAsia" w:ascii="宋体" w:hAnsi="宋体" w:cs="仿宋"/>
                <w:sz w:val="24"/>
                <w:lang w:eastAsia="zh-CN"/>
              </w:rPr>
              <w:t>预算内资金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15</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付款方式：详见合同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16</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投标有效期：自投标文件递交截止之日起</w:t>
            </w:r>
            <w:r>
              <w:rPr>
                <w:rFonts w:hint="eastAsia" w:ascii="宋体" w:hAnsi="宋体" w:cs="仿宋"/>
                <w:sz w:val="24"/>
                <w:u w:val="single"/>
              </w:rPr>
              <w:t xml:space="preserve">  60 </w:t>
            </w:r>
            <w:r>
              <w:rPr>
                <w:rFonts w:hint="eastAsia" w:ascii="宋体" w:hAnsi="宋体" w:cs="仿宋"/>
                <w:sz w:val="24"/>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17</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解释：本招标文件的解释权属于招标采购单位。</w:t>
            </w:r>
          </w:p>
        </w:tc>
      </w:tr>
    </w:tbl>
    <w:p>
      <w:pPr>
        <w:spacing w:line="500" w:lineRule="exact"/>
        <w:jc w:val="center"/>
        <w:outlineLvl w:val="1"/>
        <w:rPr>
          <w:rFonts w:ascii="宋体" w:hAnsi="宋体" w:cs="仿宋"/>
          <w:b/>
          <w:sz w:val="32"/>
          <w:szCs w:val="32"/>
        </w:rPr>
      </w:pPr>
      <w:bookmarkStart w:id="18" w:name="_Toc9577"/>
      <w:r>
        <w:rPr>
          <w:rFonts w:hint="eastAsia" w:ascii="宋体" w:hAnsi="宋体" w:cs="仿宋"/>
          <w:b/>
          <w:sz w:val="32"/>
          <w:szCs w:val="32"/>
        </w:rPr>
        <w:t>一、总  则</w:t>
      </w:r>
      <w:bookmarkEnd w:id="18"/>
    </w:p>
    <w:p>
      <w:pPr>
        <w:snapToGrid w:val="0"/>
        <w:spacing w:line="360" w:lineRule="auto"/>
        <w:ind w:firstLine="482" w:firstLineChars="200"/>
        <w:outlineLvl w:val="2"/>
        <w:rPr>
          <w:rFonts w:ascii="宋体" w:hAnsi="宋体" w:cs="仿宋"/>
          <w:b/>
          <w:sz w:val="24"/>
        </w:rPr>
      </w:pPr>
      <w:r>
        <w:rPr>
          <w:rFonts w:hint="eastAsia" w:ascii="宋体" w:hAnsi="宋体" w:cs="仿宋"/>
          <w:b/>
          <w:sz w:val="24"/>
        </w:rPr>
        <w:t>（一） 适用范围</w:t>
      </w:r>
    </w:p>
    <w:p>
      <w:pPr>
        <w:snapToGrid w:val="0"/>
        <w:spacing w:line="360" w:lineRule="auto"/>
        <w:ind w:firstLine="480" w:firstLineChars="200"/>
        <w:rPr>
          <w:rFonts w:ascii="宋体" w:hAnsi="宋体" w:cs="仿宋"/>
          <w:bCs/>
          <w:snapToGrid w:val="0"/>
          <w:sz w:val="24"/>
          <w:u w:val="single"/>
        </w:rPr>
      </w:pPr>
      <w:r>
        <w:rPr>
          <w:rFonts w:hint="eastAsia" w:ascii="宋体" w:hAnsi="宋体" w:cs="仿宋"/>
          <w:sz w:val="24"/>
        </w:rPr>
        <w:t>本招标文件（采购文件）适用于</w:t>
      </w:r>
      <w:r>
        <w:rPr>
          <w:rFonts w:hint="eastAsia" w:ascii="宋体" w:hAnsi="宋体" w:cs="仿宋"/>
          <w:sz w:val="24"/>
          <w:lang w:eastAsia="zh-CN"/>
        </w:rPr>
        <w:t>湖州市吴兴区织里镇街区立面整治服务采购项目</w:t>
      </w:r>
      <w:r>
        <w:rPr>
          <w:rFonts w:hint="eastAsia" w:ascii="宋体" w:hAnsi="宋体" w:cs="仿宋"/>
          <w:sz w:val="24"/>
        </w:rPr>
        <w:t>的招标、投标、评标、定标、验收、合同履约、付款等行为（法律、法规另有规定的，从其规定）。</w:t>
      </w:r>
    </w:p>
    <w:p>
      <w:pPr>
        <w:snapToGrid w:val="0"/>
        <w:spacing w:line="360" w:lineRule="auto"/>
        <w:ind w:firstLine="482" w:firstLineChars="200"/>
        <w:outlineLvl w:val="2"/>
        <w:rPr>
          <w:rFonts w:ascii="宋体" w:hAnsi="宋体" w:cs="仿宋"/>
          <w:b/>
          <w:sz w:val="24"/>
        </w:rPr>
      </w:pPr>
      <w:r>
        <w:rPr>
          <w:rFonts w:hint="eastAsia" w:ascii="宋体" w:hAnsi="宋体" w:cs="仿宋"/>
          <w:b/>
          <w:sz w:val="24"/>
        </w:rPr>
        <w:t>（二）定义</w:t>
      </w:r>
    </w:p>
    <w:p>
      <w:pPr>
        <w:pStyle w:val="27"/>
        <w:spacing w:line="360" w:lineRule="auto"/>
        <w:ind w:firstLine="480" w:firstLineChars="200"/>
        <w:rPr>
          <w:rFonts w:hAnsi="宋体"/>
          <w:sz w:val="24"/>
          <w:szCs w:val="24"/>
        </w:rPr>
      </w:pPr>
      <w:r>
        <w:rPr>
          <w:rFonts w:hAnsi="宋体"/>
          <w:sz w:val="24"/>
          <w:szCs w:val="24"/>
        </w:rPr>
        <w:t>1</w:t>
      </w:r>
      <w:r>
        <w:rPr>
          <w:rFonts w:hint="eastAsia" w:hAnsi="宋体"/>
          <w:sz w:val="24"/>
          <w:szCs w:val="24"/>
        </w:rPr>
        <w:t>、</w:t>
      </w:r>
      <w:r>
        <w:rPr>
          <w:rFonts w:hAnsi="宋体"/>
          <w:sz w:val="24"/>
          <w:szCs w:val="24"/>
        </w:rPr>
        <w:t>“采购人”系指</w:t>
      </w:r>
      <w:r>
        <w:rPr>
          <w:rFonts w:hint="eastAsia" w:hAnsi="宋体"/>
          <w:sz w:val="24"/>
          <w:szCs w:val="24"/>
          <w:lang w:eastAsia="zh-CN"/>
        </w:rPr>
        <w:t>湖州市吴兴区织里镇公共事业服务中心</w:t>
      </w:r>
      <w:r>
        <w:rPr>
          <w:rFonts w:hint="eastAsia" w:hAnsi="宋体"/>
          <w:sz w:val="24"/>
          <w:szCs w:val="24"/>
        </w:rPr>
        <w:t xml:space="preserve"> </w:t>
      </w:r>
      <w:r>
        <w:rPr>
          <w:rFonts w:hAnsi="宋体"/>
          <w:sz w:val="24"/>
          <w:szCs w:val="24"/>
        </w:rPr>
        <w:t>。</w:t>
      </w:r>
    </w:p>
    <w:p>
      <w:pPr>
        <w:snapToGrid w:val="0"/>
        <w:spacing w:line="360" w:lineRule="auto"/>
        <w:ind w:firstLine="480" w:firstLineChars="200"/>
        <w:jc w:val="left"/>
        <w:rPr>
          <w:rFonts w:ascii="宋体" w:hAnsi="宋体"/>
          <w:sz w:val="24"/>
        </w:rPr>
      </w:pPr>
      <w:r>
        <w:rPr>
          <w:rFonts w:ascii="宋体" w:hAnsi="宋体"/>
          <w:sz w:val="24"/>
        </w:rPr>
        <w:t>2</w:t>
      </w:r>
      <w:r>
        <w:rPr>
          <w:rFonts w:hint="eastAsia" w:ascii="宋体" w:hAnsi="宋体"/>
          <w:sz w:val="24"/>
        </w:rPr>
        <w:t>、“</w:t>
      </w:r>
      <w:r>
        <w:rPr>
          <w:rFonts w:ascii="宋体" w:hAnsi="宋体"/>
          <w:sz w:val="24"/>
        </w:rPr>
        <w:t>供应商”系指提交投标文件的单位或个人。</w:t>
      </w:r>
    </w:p>
    <w:p>
      <w:pPr>
        <w:snapToGrid w:val="0"/>
        <w:spacing w:line="360" w:lineRule="auto"/>
        <w:ind w:firstLine="480" w:firstLineChars="200"/>
        <w:jc w:val="left"/>
        <w:rPr>
          <w:rFonts w:ascii="宋体" w:hAnsi="宋体"/>
          <w:sz w:val="24"/>
        </w:rPr>
      </w:pPr>
      <w:r>
        <w:rPr>
          <w:rFonts w:hint="eastAsia" w:ascii="宋体" w:hAnsi="宋体"/>
          <w:sz w:val="24"/>
        </w:rPr>
        <w:t>3、“采购代理机构”系指</w:t>
      </w:r>
      <w:r>
        <w:rPr>
          <w:rFonts w:hint="eastAsia" w:ascii="宋体" w:hAnsi="宋体"/>
          <w:sz w:val="24"/>
          <w:lang w:eastAsia="zh-CN"/>
        </w:rPr>
        <w:t>宁波建信工程造价咨询事务所有限公司</w:t>
      </w:r>
      <w:r>
        <w:rPr>
          <w:rFonts w:hint="eastAsia" w:ascii="宋体" w:hAnsi="宋体"/>
          <w:sz w:val="24"/>
        </w:rPr>
        <w:t>。</w:t>
      </w:r>
    </w:p>
    <w:p>
      <w:pPr>
        <w:snapToGrid w:val="0"/>
        <w:spacing w:line="360" w:lineRule="auto"/>
        <w:ind w:firstLine="480" w:firstLineChars="200"/>
        <w:jc w:val="left"/>
        <w:rPr>
          <w:rFonts w:ascii="宋体" w:hAnsi="宋体" w:cs="仿宋"/>
          <w:sz w:val="24"/>
        </w:rPr>
      </w:pPr>
      <w:r>
        <w:rPr>
          <w:rFonts w:hint="eastAsia" w:ascii="宋体" w:hAnsi="宋体" w:cs="仿宋"/>
          <w:sz w:val="24"/>
        </w:rPr>
        <w:t>4、“产品”系指供方按招标文件规定，须向采购单位提供的一切设备、保险、税金、备品备件、工具、手册及其它有关技术资料和材料。</w:t>
      </w:r>
    </w:p>
    <w:p>
      <w:pPr>
        <w:snapToGrid w:val="0"/>
        <w:spacing w:line="360" w:lineRule="auto"/>
        <w:ind w:firstLine="480" w:firstLineChars="200"/>
        <w:jc w:val="left"/>
        <w:rPr>
          <w:rFonts w:ascii="宋体" w:hAnsi="宋体" w:cs="仿宋"/>
          <w:sz w:val="24"/>
        </w:rPr>
      </w:pPr>
      <w:r>
        <w:rPr>
          <w:rFonts w:hint="eastAsia" w:ascii="宋体" w:hAnsi="宋体" w:cs="仿宋"/>
          <w:sz w:val="24"/>
        </w:rPr>
        <w:t>5、“服务”系指招标文件规定投标供应商中标后须承担的与本项目有关的义务。</w:t>
      </w:r>
    </w:p>
    <w:p>
      <w:pPr>
        <w:snapToGrid w:val="0"/>
        <w:spacing w:line="360" w:lineRule="auto"/>
        <w:ind w:firstLine="480" w:firstLineChars="200"/>
        <w:jc w:val="left"/>
        <w:rPr>
          <w:rFonts w:ascii="宋体" w:hAnsi="宋体" w:cs="仿宋"/>
          <w:sz w:val="24"/>
        </w:rPr>
      </w:pPr>
      <w:r>
        <w:rPr>
          <w:rFonts w:hint="eastAsia" w:ascii="宋体" w:hAnsi="宋体" w:cs="仿宋"/>
          <w:sz w:val="24"/>
        </w:rPr>
        <w:t>6、“项目”系指投标供应商按招标文件规定向采购单位提供的产品和服务。</w:t>
      </w:r>
    </w:p>
    <w:p>
      <w:pPr>
        <w:snapToGrid w:val="0"/>
        <w:spacing w:line="360" w:lineRule="auto"/>
        <w:ind w:firstLine="480" w:firstLineChars="200"/>
        <w:jc w:val="left"/>
        <w:rPr>
          <w:rFonts w:ascii="宋体" w:hAnsi="宋体" w:cs="仿宋"/>
          <w:sz w:val="24"/>
        </w:rPr>
      </w:pPr>
      <w:r>
        <w:rPr>
          <w:rFonts w:hint="eastAsia" w:ascii="宋体" w:hAnsi="宋体" w:cs="仿宋"/>
          <w:sz w:val="24"/>
        </w:rPr>
        <w:t>7、“书面形式”包括</w:t>
      </w:r>
      <w:r>
        <w:rPr>
          <w:rFonts w:ascii="宋体" w:hAnsi="宋体" w:cs="Arial"/>
          <w:kern w:val="0"/>
          <w:sz w:val="24"/>
        </w:rPr>
        <w:t>信函、传真、电子扫描件</w:t>
      </w:r>
      <w:r>
        <w:rPr>
          <w:rFonts w:hint="eastAsia" w:ascii="宋体" w:hAnsi="宋体" w:cs="仿宋"/>
          <w:sz w:val="24"/>
        </w:rPr>
        <w:t>等。</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（三）招标方式</w:t>
      </w:r>
    </w:p>
    <w:p>
      <w:pPr>
        <w:snapToGrid w:val="0"/>
        <w:spacing w:line="500" w:lineRule="exact"/>
        <w:ind w:firstLine="480" w:firstLineChars="200"/>
        <w:rPr>
          <w:rFonts w:ascii="宋体" w:hAnsi="宋体" w:cs="仿宋"/>
          <w:sz w:val="24"/>
          <w:szCs w:val="20"/>
        </w:rPr>
      </w:pPr>
      <w:r>
        <w:rPr>
          <w:rFonts w:hint="eastAsia" w:ascii="宋体" w:hAnsi="宋体" w:cs="仿宋"/>
          <w:sz w:val="24"/>
        </w:rPr>
        <w:t>本次招标采用公开招标方式进行。</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（四）投标委托</w:t>
      </w:r>
    </w:p>
    <w:p>
      <w:pPr>
        <w:snapToGrid w:val="0"/>
        <w:spacing w:line="500" w:lineRule="exact"/>
        <w:ind w:firstLine="480" w:firstLineChars="200"/>
        <w:rPr>
          <w:rFonts w:ascii="宋体" w:hAnsi="宋体" w:cs="仿宋"/>
          <w:sz w:val="24"/>
        </w:rPr>
      </w:pPr>
      <w:r>
        <w:rPr>
          <w:rFonts w:hint="eastAsia" w:ascii="宋体" w:hAnsi="宋体" w:cs="仿宋"/>
          <w:sz w:val="24"/>
        </w:rPr>
        <w:t>各投标供应商应指派专人（法定代表人或其他本单位正式员工）负责本项目的投标、开标、评标等具体事务和签署相关文件。</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（五）投标费用</w:t>
      </w:r>
    </w:p>
    <w:p>
      <w:pPr>
        <w:spacing w:line="360" w:lineRule="auto"/>
        <w:ind w:firstLine="480" w:firstLineChars="200"/>
        <w:rPr>
          <w:rFonts w:ascii="宋体" w:hAnsi="宋体" w:cs="仿宋"/>
          <w:sz w:val="24"/>
        </w:rPr>
      </w:pPr>
      <w:r>
        <w:rPr>
          <w:rFonts w:hint="eastAsia" w:ascii="宋体" w:hAnsi="宋体" w:cs="仿宋"/>
          <w:sz w:val="24"/>
          <w:lang w:val="en-US" w:eastAsia="zh-CN"/>
        </w:rPr>
        <w:t>1、</w:t>
      </w:r>
      <w:r>
        <w:rPr>
          <w:rFonts w:hint="eastAsia" w:ascii="宋体" w:hAnsi="宋体" w:cs="仿宋"/>
          <w:sz w:val="24"/>
        </w:rPr>
        <w:t>不论投标结果如何，投标供应商均应自行承担所有与投标有关的全部费用（招标文件有相关规定除外）。</w:t>
      </w:r>
    </w:p>
    <w:p>
      <w:pPr>
        <w:snapToGrid w:val="0"/>
        <w:spacing w:line="360" w:lineRule="auto"/>
        <w:ind w:firstLine="480" w:firstLineChars="200"/>
        <w:jc w:val="left"/>
        <w:rPr>
          <w:rFonts w:ascii="宋体" w:hAnsi="宋体"/>
          <w:color w:val="000000"/>
          <w:sz w:val="24"/>
        </w:rPr>
      </w:pPr>
      <w:r>
        <w:rPr>
          <w:rFonts w:hint="eastAsia" w:ascii="宋体" w:hAnsi="宋体"/>
          <w:sz w:val="24"/>
          <w:lang w:val="en-US" w:eastAsia="zh-CN"/>
        </w:rPr>
        <w:t>2、</w:t>
      </w:r>
      <w:r>
        <w:rPr>
          <w:rFonts w:hint="eastAsia" w:ascii="宋体" w:hAnsi="宋体"/>
          <w:sz w:val="24"/>
        </w:rPr>
        <w:t>本项目</w:t>
      </w:r>
      <w:r>
        <w:rPr>
          <w:rFonts w:hint="eastAsia" w:ascii="宋体" w:hAnsi="宋体"/>
          <w:color w:val="000000"/>
          <w:sz w:val="24"/>
        </w:rPr>
        <w:t>招标代理服务费：按人民币</w:t>
      </w:r>
      <w:r>
        <w:rPr>
          <w:rFonts w:hint="eastAsia" w:ascii="宋体" w:hAnsi="宋体" w:cs="宋体"/>
          <w:color w:val="auto"/>
          <w:sz w:val="24"/>
          <w:lang w:val="en-US" w:eastAsia="zh-CN"/>
        </w:rPr>
        <w:t>10000</w:t>
      </w:r>
      <w:r>
        <w:rPr>
          <w:rFonts w:hint="eastAsia" w:ascii="宋体" w:hAnsi="宋体" w:cs="宋体"/>
          <w:color w:val="auto"/>
          <w:sz w:val="24"/>
        </w:rPr>
        <w:t>元，由中标单位支付</w:t>
      </w:r>
      <w:r>
        <w:rPr>
          <w:rFonts w:hint="eastAsia" w:ascii="宋体" w:hAnsi="宋体" w:cs="宋体"/>
          <w:color w:val="auto"/>
          <w:sz w:val="24"/>
          <w:lang w:eastAsia="zh-CN"/>
        </w:rPr>
        <w:t>，</w:t>
      </w:r>
      <w:r>
        <w:rPr>
          <w:rFonts w:hint="eastAsia" w:ascii="宋体" w:hAnsi="宋体" w:cs="宋体"/>
          <w:color w:val="auto"/>
          <w:sz w:val="24"/>
        </w:rPr>
        <w:t>于领取中标通知书时一次性付清</w:t>
      </w:r>
      <w:r>
        <w:rPr>
          <w:rFonts w:hint="eastAsia" w:ascii="宋体" w:hAnsi="宋体" w:cs="宋体"/>
          <w:color w:val="auto"/>
          <w:sz w:val="24"/>
          <w:lang w:eastAsia="zh-CN"/>
        </w:rPr>
        <w:t>。</w:t>
      </w:r>
      <w:r>
        <w:rPr>
          <w:rFonts w:hint="eastAsia" w:ascii="宋体" w:hAnsi="宋体" w:cs="宋体"/>
          <w:color w:val="auto"/>
          <w:sz w:val="24"/>
        </w:rPr>
        <w:t>投标人应自行考虑列入投标报价</w:t>
      </w:r>
      <w:r>
        <w:rPr>
          <w:rFonts w:hint="eastAsia" w:ascii="宋体" w:hAnsi="宋体"/>
          <w:color w:val="000000"/>
          <w:sz w:val="24"/>
        </w:rPr>
        <w:t>。</w:t>
      </w:r>
    </w:p>
    <w:p>
      <w:pPr>
        <w:snapToGrid w:val="0"/>
        <w:spacing w:line="360" w:lineRule="auto"/>
        <w:ind w:firstLine="472" w:firstLineChars="196"/>
        <w:jc w:val="left"/>
        <w:rPr>
          <w:rFonts w:ascii="宋体" w:hAnsi="宋体"/>
          <w:b/>
          <w:sz w:val="24"/>
        </w:rPr>
      </w:pPr>
      <w:r>
        <w:rPr>
          <w:rFonts w:hint="eastAsia" w:ascii="宋体" w:hAnsi="宋体"/>
          <w:b/>
          <w:sz w:val="24"/>
        </w:rPr>
        <w:t>（六）联合体投标</w:t>
      </w:r>
    </w:p>
    <w:p>
      <w:pPr>
        <w:snapToGrid w:val="0"/>
        <w:spacing w:line="360" w:lineRule="auto"/>
        <w:ind w:firstLine="480" w:firstLineChars="200"/>
        <w:jc w:val="left"/>
        <w:rPr>
          <w:rFonts w:ascii="宋体" w:hAnsi="宋体" w:cs="Arial"/>
          <w:sz w:val="24"/>
        </w:rPr>
      </w:pPr>
      <w:r>
        <w:rPr>
          <w:rFonts w:hint="eastAsia" w:ascii="宋体" w:hAnsi="宋体" w:cs="Arial"/>
          <w:sz w:val="24"/>
        </w:rPr>
        <w:t>本项目不接受联合体投标。</w:t>
      </w:r>
    </w:p>
    <w:p>
      <w:pPr>
        <w:snapToGrid w:val="0"/>
        <w:spacing w:line="360" w:lineRule="auto"/>
        <w:ind w:firstLine="472" w:firstLineChars="196"/>
        <w:rPr>
          <w:rFonts w:ascii="宋体" w:hAnsi="宋体" w:cs="宋体"/>
          <w:b/>
          <w:kern w:val="0"/>
          <w:sz w:val="24"/>
        </w:rPr>
      </w:pPr>
      <w:r>
        <w:rPr>
          <w:rFonts w:hint="eastAsia" w:ascii="宋体" w:hAnsi="宋体"/>
          <w:b/>
          <w:sz w:val="24"/>
        </w:rPr>
        <w:t>（七）</w:t>
      </w:r>
      <w:r>
        <w:rPr>
          <w:rFonts w:hint="eastAsia" w:ascii="宋体" w:hAnsi="宋体" w:cs="宋体"/>
          <w:b/>
          <w:kern w:val="0"/>
          <w:sz w:val="24"/>
        </w:rPr>
        <w:t>转包与分包</w:t>
      </w:r>
    </w:p>
    <w:p>
      <w:pPr>
        <w:snapToGrid w:val="0"/>
        <w:spacing w:line="360" w:lineRule="auto"/>
        <w:ind w:firstLine="480" w:firstLineChars="200"/>
        <w:rPr>
          <w:rFonts w:ascii="宋体" w:hAnsi="宋体"/>
          <w:sz w:val="24"/>
        </w:rPr>
      </w:pPr>
      <w:r>
        <w:rPr>
          <w:rFonts w:ascii="宋体" w:hAnsi="宋体" w:cs="宋体"/>
          <w:kern w:val="0"/>
          <w:sz w:val="24"/>
        </w:rPr>
        <w:t>本项目不允许</w:t>
      </w:r>
      <w:r>
        <w:rPr>
          <w:rFonts w:hint="eastAsia" w:ascii="宋体" w:hAnsi="宋体" w:cs="宋体"/>
          <w:kern w:val="0"/>
          <w:sz w:val="24"/>
        </w:rPr>
        <w:t>任何形式的</w:t>
      </w:r>
      <w:r>
        <w:rPr>
          <w:rFonts w:ascii="宋体" w:hAnsi="宋体" w:cs="宋体"/>
          <w:kern w:val="0"/>
          <w:sz w:val="24"/>
        </w:rPr>
        <w:t>转包</w:t>
      </w:r>
      <w:r>
        <w:rPr>
          <w:rFonts w:hint="eastAsia" w:ascii="宋体" w:hAnsi="宋体" w:cs="宋体"/>
          <w:kern w:val="0"/>
          <w:sz w:val="24"/>
        </w:rPr>
        <w:t>和</w:t>
      </w:r>
      <w:r>
        <w:rPr>
          <w:rFonts w:ascii="宋体" w:hAnsi="宋体" w:cs="宋体"/>
          <w:kern w:val="0"/>
          <w:sz w:val="24"/>
        </w:rPr>
        <w:t>分包</w:t>
      </w:r>
      <w:r>
        <w:rPr>
          <w:rFonts w:hint="eastAsia" w:ascii="宋体" w:hAnsi="宋体" w:cs="宋体"/>
          <w:kern w:val="0"/>
          <w:sz w:val="24"/>
        </w:rPr>
        <w:t>。</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（八）特别说明：</w:t>
      </w:r>
    </w:p>
    <w:p>
      <w:pPr>
        <w:spacing w:line="500" w:lineRule="exact"/>
        <w:ind w:firstLine="480" w:firstLineChars="200"/>
        <w:rPr>
          <w:rFonts w:ascii="宋体" w:hAnsi="宋体" w:cs="仿宋"/>
          <w:sz w:val="24"/>
        </w:rPr>
      </w:pPr>
      <w:r>
        <w:rPr>
          <w:rFonts w:hint="eastAsia" w:ascii="宋体" w:hAnsi="宋体" w:cs="仿宋"/>
          <w:sz w:val="24"/>
        </w:rPr>
        <w:t>▲1、单位负责人为同一人或者存在直接控股、管理关系的不同投标供应商，不得参加同一合同项下的政府采购活动。</w:t>
      </w:r>
    </w:p>
    <w:p>
      <w:pPr>
        <w:spacing w:line="500" w:lineRule="exact"/>
        <w:ind w:firstLine="480" w:firstLineChars="200"/>
        <w:rPr>
          <w:rFonts w:ascii="宋体" w:hAnsi="宋体" w:cs="仿宋"/>
          <w:sz w:val="24"/>
        </w:rPr>
      </w:pPr>
      <w:r>
        <w:rPr>
          <w:rFonts w:hint="eastAsia" w:ascii="宋体" w:hAnsi="宋体" w:cs="仿宋"/>
          <w:sz w:val="24"/>
        </w:rPr>
        <w:t>▲2、投标供应商投标所使用的资格、信誉、业绩与企业认证必须为本法人所拥有。投标供应商投标所使用的采购项目实施人员必须为本法人员工（或必须为本法人或控股公司正式员工）。</w:t>
      </w:r>
    </w:p>
    <w:p>
      <w:pPr>
        <w:spacing w:line="500" w:lineRule="exact"/>
        <w:ind w:firstLine="480" w:firstLineChars="200"/>
        <w:rPr>
          <w:rFonts w:ascii="宋体" w:hAnsi="宋体" w:cs="仿宋"/>
          <w:sz w:val="24"/>
        </w:rPr>
      </w:pPr>
      <w:r>
        <w:rPr>
          <w:rFonts w:hint="eastAsia" w:ascii="宋体" w:hAnsi="宋体" w:cs="仿宋"/>
          <w:sz w:val="24"/>
        </w:rPr>
        <w:t>▲3、投标供应商应仔细阅读招标文件的所有内容，按照招标文件的要求提交投标文件，并对所提供的全部资料的真实性承担法律责任。</w:t>
      </w:r>
    </w:p>
    <w:p>
      <w:pPr>
        <w:spacing w:line="500" w:lineRule="exact"/>
        <w:ind w:firstLine="480" w:firstLineChars="200"/>
        <w:rPr>
          <w:rFonts w:ascii="宋体" w:hAnsi="宋体" w:cs="仿宋"/>
          <w:sz w:val="24"/>
        </w:rPr>
      </w:pPr>
      <w:r>
        <w:rPr>
          <w:rFonts w:hint="eastAsia" w:ascii="宋体" w:hAnsi="宋体" w:cs="仿宋"/>
          <w:sz w:val="24"/>
        </w:rPr>
        <w:t>▲4、投标供应商在投标活动中提供任何虚假材料,其投标无效，并报监管部门查处中标后发现的,中标人须依照《中华人民共和国消费者权益保护法》第49条之规定双倍赔偿采购单位，且民事赔偿并不免除违法投标供应商的行政与刑事责任。</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（九）质疑和投诉</w:t>
      </w:r>
    </w:p>
    <w:p>
      <w:pPr>
        <w:spacing w:line="500" w:lineRule="exact"/>
        <w:ind w:firstLine="480" w:firstLineChars="200"/>
        <w:rPr>
          <w:rFonts w:ascii="宋体" w:hAnsi="宋体" w:cs="仿宋"/>
          <w:sz w:val="24"/>
        </w:rPr>
      </w:pPr>
      <w:r>
        <w:rPr>
          <w:rFonts w:hint="eastAsia" w:ascii="宋体" w:hAnsi="宋体" w:cs="仿宋"/>
          <w:sz w:val="24"/>
        </w:rPr>
        <w:t>1、投标供应商认为招标文件、招标过程或中标结果使自己的合法权益受到损害的，应当在知道或者应知其权益受到损害之日起七个工作日内，以书面形式向采购单位、招标方提出质疑。投标供应商对招标采购单位的质疑答复不满意或者招标采购单位未在规定时间内作出答复的，可以在答复期满后十五个工作日内向同级采购监管部门投诉。</w:t>
      </w:r>
    </w:p>
    <w:p>
      <w:pPr>
        <w:spacing w:line="500" w:lineRule="exact"/>
        <w:ind w:firstLine="480" w:firstLineChars="200"/>
        <w:rPr>
          <w:rFonts w:ascii="宋体" w:hAnsi="宋体" w:cs="仿宋"/>
          <w:sz w:val="24"/>
        </w:rPr>
      </w:pPr>
      <w:r>
        <w:rPr>
          <w:rFonts w:hint="eastAsia" w:ascii="宋体" w:hAnsi="宋体" w:cs="仿宋"/>
          <w:sz w:val="24"/>
        </w:rPr>
        <w:t>2、提出质疑的投标供应商（以下简称质疑投标供应商）应当是参与所质疑项目采购活动的投标供应商。</w:t>
      </w:r>
    </w:p>
    <w:p>
      <w:pPr>
        <w:spacing w:line="500" w:lineRule="exact"/>
        <w:ind w:firstLine="480" w:firstLineChars="200"/>
        <w:rPr>
          <w:rFonts w:ascii="宋体" w:hAnsi="宋体" w:cs="仿宋"/>
          <w:sz w:val="24"/>
        </w:rPr>
      </w:pPr>
      <w:r>
        <w:rPr>
          <w:rFonts w:hint="eastAsia" w:ascii="宋体" w:hAnsi="宋体" w:cs="仿宋"/>
          <w:sz w:val="24"/>
        </w:rPr>
        <w:t>潜在投标供应商已依法获取其可质疑的招标文件的，可以对该文件提出质疑。对招标文件提出质疑的，应当在获取招标文件或者招标文件公告期限届满之日起7个工作日内提出。</w:t>
      </w:r>
    </w:p>
    <w:p>
      <w:pPr>
        <w:spacing w:line="500" w:lineRule="exact"/>
        <w:ind w:firstLine="480" w:firstLineChars="200"/>
        <w:rPr>
          <w:rFonts w:ascii="宋体" w:hAnsi="宋体" w:cs="仿宋"/>
          <w:sz w:val="24"/>
        </w:rPr>
      </w:pPr>
      <w:r>
        <w:rPr>
          <w:rFonts w:hint="eastAsia" w:ascii="宋体" w:hAnsi="宋体" w:cs="仿宋"/>
          <w:sz w:val="24"/>
        </w:rPr>
        <w:t>3、投标供应商提出质疑应当提交质疑函和必要的证明材料。质疑函应当包括下列内容：</w:t>
      </w:r>
    </w:p>
    <w:p>
      <w:pPr>
        <w:spacing w:line="500" w:lineRule="exact"/>
        <w:ind w:firstLine="480" w:firstLineChars="200"/>
        <w:rPr>
          <w:rFonts w:ascii="宋体" w:hAnsi="宋体" w:cs="仿宋"/>
          <w:sz w:val="24"/>
        </w:rPr>
      </w:pPr>
      <w:r>
        <w:rPr>
          <w:rFonts w:hint="eastAsia" w:ascii="宋体" w:hAnsi="宋体" w:cs="仿宋"/>
          <w:sz w:val="24"/>
        </w:rPr>
        <w:t>（1）投标供应商的姓名或者名称、地址、邮编、联系人及联系电话；</w:t>
      </w:r>
    </w:p>
    <w:p>
      <w:pPr>
        <w:spacing w:line="500" w:lineRule="exact"/>
        <w:ind w:firstLine="480" w:firstLineChars="200"/>
        <w:rPr>
          <w:rFonts w:ascii="宋体" w:hAnsi="宋体" w:cs="仿宋"/>
          <w:sz w:val="24"/>
        </w:rPr>
      </w:pPr>
      <w:r>
        <w:rPr>
          <w:rFonts w:hint="eastAsia" w:ascii="宋体" w:hAnsi="宋体" w:cs="仿宋"/>
          <w:sz w:val="24"/>
        </w:rPr>
        <w:t>（2）质疑项目的名称、编号；</w:t>
      </w:r>
    </w:p>
    <w:p>
      <w:pPr>
        <w:spacing w:line="500" w:lineRule="exact"/>
        <w:ind w:firstLine="480" w:firstLineChars="200"/>
        <w:rPr>
          <w:rFonts w:ascii="宋体" w:hAnsi="宋体" w:cs="仿宋"/>
          <w:sz w:val="24"/>
        </w:rPr>
      </w:pPr>
      <w:r>
        <w:rPr>
          <w:rFonts w:hint="eastAsia" w:ascii="宋体" w:hAnsi="宋体" w:cs="仿宋"/>
          <w:sz w:val="24"/>
        </w:rPr>
        <w:t>（3）具体、明确的质疑事项和与质疑事项相关的请求；</w:t>
      </w:r>
    </w:p>
    <w:p>
      <w:pPr>
        <w:spacing w:line="500" w:lineRule="exact"/>
        <w:ind w:firstLine="480" w:firstLineChars="200"/>
        <w:rPr>
          <w:rFonts w:ascii="宋体" w:hAnsi="宋体" w:cs="仿宋"/>
          <w:sz w:val="24"/>
        </w:rPr>
      </w:pPr>
      <w:r>
        <w:rPr>
          <w:rFonts w:hint="eastAsia" w:ascii="宋体" w:hAnsi="宋体" w:cs="仿宋"/>
          <w:sz w:val="24"/>
        </w:rPr>
        <w:t>（4）事实依据；</w:t>
      </w:r>
    </w:p>
    <w:p>
      <w:pPr>
        <w:spacing w:line="500" w:lineRule="exact"/>
        <w:ind w:firstLine="480" w:firstLineChars="200"/>
        <w:rPr>
          <w:rFonts w:ascii="宋体" w:hAnsi="宋体" w:cs="仿宋"/>
          <w:sz w:val="24"/>
        </w:rPr>
      </w:pPr>
      <w:r>
        <w:rPr>
          <w:rFonts w:hint="eastAsia" w:ascii="宋体" w:hAnsi="宋体" w:cs="仿宋"/>
          <w:sz w:val="24"/>
        </w:rPr>
        <w:t>（5）必要的法律依据；</w:t>
      </w:r>
    </w:p>
    <w:p>
      <w:pPr>
        <w:spacing w:line="500" w:lineRule="exact"/>
        <w:ind w:firstLine="480" w:firstLineChars="200"/>
        <w:rPr>
          <w:rFonts w:ascii="宋体" w:hAnsi="宋体" w:cs="仿宋"/>
          <w:sz w:val="24"/>
        </w:rPr>
      </w:pPr>
      <w:r>
        <w:rPr>
          <w:rFonts w:hint="eastAsia" w:ascii="宋体" w:hAnsi="宋体" w:cs="仿宋"/>
          <w:sz w:val="24"/>
        </w:rPr>
        <w:t>（6）提出质疑的日期。</w:t>
      </w:r>
    </w:p>
    <w:p>
      <w:pPr>
        <w:spacing w:line="500" w:lineRule="exact"/>
        <w:ind w:firstLine="480" w:firstLineChars="200"/>
        <w:rPr>
          <w:rFonts w:ascii="宋体" w:hAnsi="宋体" w:cs="仿宋"/>
          <w:sz w:val="24"/>
        </w:rPr>
      </w:pPr>
      <w:r>
        <w:rPr>
          <w:rFonts w:hint="eastAsia" w:ascii="宋体" w:hAnsi="宋体" w:cs="仿宋"/>
          <w:sz w:val="24"/>
        </w:rPr>
        <w:t>投标供应商为自然人的，应当由本人签字；投标供应商为法人或者其他组织的，应当由法定代表人、主要负责人，或者其授权代表签字或者盖章，并加盖公章。</w:t>
      </w:r>
    </w:p>
    <w:p>
      <w:pPr>
        <w:spacing w:line="500" w:lineRule="exact"/>
        <w:ind w:firstLine="480" w:firstLineChars="200"/>
        <w:rPr>
          <w:rFonts w:ascii="宋体" w:hAnsi="宋体" w:cs="仿宋"/>
          <w:sz w:val="24"/>
        </w:rPr>
      </w:pPr>
      <w:r>
        <w:rPr>
          <w:rFonts w:hint="eastAsia" w:ascii="宋体" w:hAnsi="宋体" w:cs="仿宋"/>
          <w:sz w:val="24"/>
        </w:rPr>
        <w:t>4、采购人、采购代理机构不得拒收质疑投标供应商在法定质疑期内发出的质疑函，应当在收到质疑函后7个工作日内作出答复，并以书面形式通知质疑投标供应商和其他有关投标供应商。</w:t>
      </w:r>
    </w:p>
    <w:p>
      <w:pPr>
        <w:spacing w:line="500" w:lineRule="exact"/>
        <w:ind w:firstLine="480" w:firstLineChars="200"/>
        <w:rPr>
          <w:rFonts w:ascii="宋体" w:hAnsi="宋体" w:cs="仿宋"/>
          <w:sz w:val="24"/>
        </w:rPr>
      </w:pPr>
      <w:r>
        <w:rPr>
          <w:rFonts w:hint="eastAsia" w:ascii="宋体" w:hAnsi="宋体" w:cs="仿宋"/>
          <w:sz w:val="24"/>
        </w:rPr>
        <w:t>5、投标供应商对评审过程、中标或者成交结果提出质疑的，采购人、采购代理机构可以组织原评标委员会、竞争性谈判小组、询价小组或者竞争性评标委员会协助答复质疑。</w:t>
      </w:r>
    </w:p>
    <w:p>
      <w:pPr>
        <w:spacing w:line="500" w:lineRule="exact"/>
        <w:ind w:firstLine="480" w:firstLineChars="200"/>
        <w:rPr>
          <w:rFonts w:ascii="宋体" w:hAnsi="宋体" w:cs="仿宋"/>
          <w:sz w:val="24"/>
        </w:rPr>
      </w:pPr>
      <w:r>
        <w:rPr>
          <w:rFonts w:hint="eastAsia" w:ascii="宋体" w:hAnsi="宋体" w:cs="仿宋"/>
          <w:sz w:val="24"/>
        </w:rPr>
        <w:t>6、质疑答复应当包括下列内容：</w:t>
      </w:r>
    </w:p>
    <w:p>
      <w:pPr>
        <w:spacing w:line="500" w:lineRule="exact"/>
        <w:ind w:firstLine="480" w:firstLineChars="200"/>
        <w:rPr>
          <w:rFonts w:ascii="宋体" w:hAnsi="宋体" w:cs="仿宋"/>
          <w:sz w:val="24"/>
        </w:rPr>
      </w:pPr>
      <w:r>
        <w:rPr>
          <w:rFonts w:hint="eastAsia" w:ascii="宋体" w:hAnsi="宋体" w:cs="仿宋"/>
          <w:sz w:val="24"/>
        </w:rPr>
        <w:t>（1）质疑投标供应商的姓名或者名称；</w:t>
      </w:r>
    </w:p>
    <w:p>
      <w:pPr>
        <w:spacing w:line="500" w:lineRule="exact"/>
        <w:ind w:firstLine="480" w:firstLineChars="200"/>
        <w:rPr>
          <w:rFonts w:ascii="宋体" w:hAnsi="宋体" w:cs="仿宋"/>
          <w:sz w:val="24"/>
        </w:rPr>
      </w:pPr>
      <w:r>
        <w:rPr>
          <w:rFonts w:hint="eastAsia" w:ascii="宋体" w:hAnsi="宋体" w:cs="仿宋"/>
          <w:sz w:val="24"/>
        </w:rPr>
        <w:t>（2）收到质疑函的日期、质疑项目名称及编号；</w:t>
      </w:r>
    </w:p>
    <w:p>
      <w:pPr>
        <w:spacing w:line="500" w:lineRule="exact"/>
        <w:ind w:firstLine="480" w:firstLineChars="200"/>
        <w:rPr>
          <w:rFonts w:ascii="宋体" w:hAnsi="宋体" w:cs="仿宋"/>
          <w:sz w:val="24"/>
        </w:rPr>
      </w:pPr>
      <w:r>
        <w:rPr>
          <w:rFonts w:hint="eastAsia" w:ascii="宋体" w:hAnsi="宋体" w:cs="仿宋"/>
          <w:sz w:val="24"/>
        </w:rPr>
        <w:t>（3）质疑事项、质疑答复的具体内容、事实依据和法律依据；</w:t>
      </w:r>
    </w:p>
    <w:p>
      <w:pPr>
        <w:spacing w:line="500" w:lineRule="exact"/>
        <w:ind w:firstLine="480" w:firstLineChars="200"/>
        <w:rPr>
          <w:rFonts w:ascii="宋体" w:hAnsi="宋体" w:cs="仿宋"/>
          <w:sz w:val="24"/>
        </w:rPr>
      </w:pPr>
      <w:r>
        <w:rPr>
          <w:rFonts w:hint="eastAsia" w:ascii="宋体" w:hAnsi="宋体" w:cs="仿宋"/>
          <w:sz w:val="24"/>
        </w:rPr>
        <w:t>（4）告知质疑投标供应商依法投诉的权利；</w:t>
      </w:r>
    </w:p>
    <w:p>
      <w:pPr>
        <w:spacing w:line="500" w:lineRule="exact"/>
        <w:ind w:firstLine="480" w:firstLineChars="200"/>
        <w:rPr>
          <w:rFonts w:ascii="宋体" w:hAnsi="宋体" w:cs="仿宋"/>
          <w:sz w:val="24"/>
        </w:rPr>
      </w:pPr>
      <w:r>
        <w:rPr>
          <w:rFonts w:hint="eastAsia" w:ascii="宋体" w:hAnsi="宋体" w:cs="仿宋"/>
          <w:sz w:val="24"/>
        </w:rPr>
        <w:t>（5）质疑答复人名称；</w:t>
      </w:r>
    </w:p>
    <w:p>
      <w:pPr>
        <w:spacing w:line="500" w:lineRule="exact"/>
        <w:ind w:firstLine="480" w:firstLineChars="200"/>
        <w:rPr>
          <w:rFonts w:ascii="宋体" w:hAnsi="宋体" w:cs="仿宋"/>
          <w:sz w:val="24"/>
        </w:rPr>
      </w:pPr>
      <w:r>
        <w:rPr>
          <w:rFonts w:hint="eastAsia" w:ascii="宋体" w:hAnsi="宋体" w:cs="仿宋"/>
          <w:sz w:val="24"/>
        </w:rPr>
        <w:t>（6）答复质疑的日期。</w:t>
      </w:r>
    </w:p>
    <w:p>
      <w:pPr>
        <w:spacing w:line="500" w:lineRule="exact"/>
        <w:ind w:firstLine="480" w:firstLineChars="200"/>
        <w:rPr>
          <w:rFonts w:ascii="宋体" w:hAnsi="宋体" w:cs="仿宋"/>
          <w:sz w:val="24"/>
        </w:rPr>
      </w:pPr>
      <w:r>
        <w:rPr>
          <w:rFonts w:hint="eastAsia" w:ascii="宋体" w:hAnsi="宋体" w:cs="仿宋"/>
          <w:sz w:val="24"/>
        </w:rPr>
        <w:t>质疑答复的内容不得涉及商业秘密。</w:t>
      </w:r>
    </w:p>
    <w:p>
      <w:pPr>
        <w:spacing w:line="500" w:lineRule="exact"/>
        <w:ind w:firstLine="480" w:firstLineChars="200"/>
        <w:rPr>
          <w:rFonts w:ascii="宋体" w:hAnsi="宋体" w:cs="仿宋"/>
          <w:sz w:val="24"/>
        </w:rPr>
      </w:pPr>
      <w:r>
        <w:rPr>
          <w:rFonts w:hint="eastAsia" w:ascii="宋体" w:hAnsi="宋体" w:cs="仿宋"/>
          <w:sz w:val="24"/>
        </w:rPr>
        <w:t>7、采购人、采购代理机构认为投标供应商质疑不成立，或者成立但未对中标、成交结果构成影响的，继续开展采购活动；认为投标供应商质疑成立且影响或者可能影响中标、成交结果的，按照下列情况处理：</w:t>
      </w:r>
    </w:p>
    <w:p>
      <w:pPr>
        <w:spacing w:line="500" w:lineRule="exact"/>
        <w:ind w:firstLine="480" w:firstLineChars="200"/>
        <w:rPr>
          <w:rFonts w:ascii="宋体" w:hAnsi="宋体" w:cs="仿宋"/>
          <w:sz w:val="24"/>
        </w:rPr>
      </w:pPr>
      <w:r>
        <w:rPr>
          <w:rFonts w:hint="eastAsia" w:ascii="宋体" w:hAnsi="宋体" w:cs="仿宋"/>
          <w:sz w:val="24"/>
        </w:rPr>
        <w:t>（1）对招标文件提出的质疑，依法通过澄清或者修改可以继续开展采购活动的，澄清或者修改招标文件后继续开展采购活动；否则应当修改招标文件后重新开展采购活动。</w:t>
      </w:r>
    </w:p>
    <w:p>
      <w:pPr>
        <w:spacing w:line="500" w:lineRule="exact"/>
        <w:ind w:firstLine="480" w:firstLineChars="200"/>
        <w:rPr>
          <w:rFonts w:ascii="宋体" w:hAnsi="宋体" w:cs="仿宋"/>
          <w:sz w:val="24"/>
        </w:rPr>
      </w:pPr>
      <w:r>
        <w:rPr>
          <w:rFonts w:hint="eastAsia" w:ascii="宋体" w:hAnsi="宋体" w:cs="仿宋"/>
          <w:sz w:val="24"/>
        </w:rPr>
        <w:t>（2）对采购过程、中标或者成交结果提出的质疑，合格投标供应商符合法定数量时，可以从合格的中标或者成交候选人中另行确定中标、成交投标供应商的，应当依法另行确定中标、成交投标供应商；否则应当重新开展采购活动。</w:t>
      </w:r>
    </w:p>
    <w:p>
      <w:pPr>
        <w:spacing w:line="500" w:lineRule="exact"/>
        <w:ind w:firstLine="480" w:firstLineChars="200"/>
        <w:rPr>
          <w:rFonts w:ascii="宋体" w:hAnsi="宋体" w:cs="仿宋"/>
          <w:sz w:val="24"/>
        </w:rPr>
      </w:pPr>
      <w:r>
        <w:rPr>
          <w:rFonts w:hint="eastAsia" w:ascii="宋体" w:hAnsi="宋体" w:cs="仿宋"/>
          <w:sz w:val="24"/>
        </w:rPr>
        <w:t>质疑答复导致中标、成交结果改变的，采购人或者采购代理机构应当将有关情况书面报告本级财政部门。</w:t>
      </w:r>
    </w:p>
    <w:p>
      <w:pPr>
        <w:spacing w:line="500" w:lineRule="exact"/>
        <w:jc w:val="center"/>
        <w:outlineLvl w:val="1"/>
        <w:rPr>
          <w:rFonts w:ascii="宋体" w:hAnsi="宋体" w:cs="仿宋"/>
          <w:b/>
          <w:sz w:val="32"/>
          <w:szCs w:val="32"/>
        </w:rPr>
      </w:pPr>
      <w:bookmarkStart w:id="19" w:name="_Toc13309"/>
      <w:r>
        <w:rPr>
          <w:rFonts w:hint="eastAsia" w:ascii="宋体" w:hAnsi="宋体" w:cs="仿宋"/>
          <w:b/>
          <w:sz w:val="32"/>
          <w:szCs w:val="32"/>
        </w:rPr>
        <w:t>二、招标文件</w:t>
      </w:r>
      <w:bookmarkEnd w:id="19"/>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（一）招标文件的构成。本招标文件由以下部份组成：</w:t>
      </w:r>
    </w:p>
    <w:p>
      <w:pPr>
        <w:snapToGrid w:val="0"/>
        <w:spacing w:line="500" w:lineRule="exact"/>
        <w:ind w:firstLine="480" w:firstLineChars="200"/>
        <w:rPr>
          <w:rFonts w:ascii="宋体" w:hAnsi="宋体" w:cs="仿宋"/>
          <w:sz w:val="24"/>
        </w:rPr>
      </w:pPr>
      <w:r>
        <w:rPr>
          <w:rFonts w:hint="eastAsia" w:ascii="宋体" w:hAnsi="宋体" w:cs="仿宋"/>
          <w:sz w:val="24"/>
        </w:rPr>
        <w:t>1、招标公告</w:t>
      </w:r>
    </w:p>
    <w:p>
      <w:pPr>
        <w:snapToGrid w:val="0"/>
        <w:spacing w:line="500" w:lineRule="exact"/>
        <w:ind w:firstLine="480" w:firstLineChars="200"/>
        <w:rPr>
          <w:rFonts w:ascii="宋体" w:hAnsi="宋体" w:cs="仿宋"/>
          <w:sz w:val="24"/>
        </w:rPr>
      </w:pPr>
      <w:r>
        <w:rPr>
          <w:rFonts w:hint="eastAsia" w:ascii="宋体" w:hAnsi="宋体" w:cs="仿宋"/>
          <w:sz w:val="24"/>
        </w:rPr>
        <w:t>2、招标需求</w:t>
      </w:r>
    </w:p>
    <w:p>
      <w:pPr>
        <w:snapToGrid w:val="0"/>
        <w:spacing w:line="500" w:lineRule="exact"/>
        <w:ind w:firstLine="480" w:firstLineChars="200"/>
        <w:rPr>
          <w:rFonts w:ascii="宋体" w:hAnsi="宋体" w:cs="仿宋"/>
          <w:sz w:val="24"/>
        </w:rPr>
      </w:pPr>
      <w:r>
        <w:rPr>
          <w:rFonts w:hint="eastAsia" w:ascii="宋体" w:hAnsi="宋体" w:cs="仿宋"/>
          <w:sz w:val="24"/>
        </w:rPr>
        <w:t>3、投标供应商须知</w:t>
      </w:r>
    </w:p>
    <w:p>
      <w:pPr>
        <w:snapToGrid w:val="0"/>
        <w:spacing w:line="500" w:lineRule="exact"/>
        <w:ind w:firstLine="480" w:firstLineChars="200"/>
        <w:rPr>
          <w:rFonts w:ascii="宋体" w:hAnsi="宋体" w:cs="仿宋"/>
          <w:sz w:val="24"/>
        </w:rPr>
      </w:pPr>
      <w:r>
        <w:rPr>
          <w:rFonts w:hint="eastAsia" w:ascii="宋体" w:hAnsi="宋体" w:cs="仿宋"/>
          <w:sz w:val="24"/>
        </w:rPr>
        <w:t>4、评标办法及标准</w:t>
      </w:r>
    </w:p>
    <w:p>
      <w:pPr>
        <w:snapToGrid w:val="0"/>
        <w:spacing w:line="500" w:lineRule="exact"/>
        <w:ind w:firstLine="480" w:firstLineChars="200"/>
        <w:rPr>
          <w:rFonts w:ascii="宋体" w:hAnsi="宋体" w:cs="仿宋"/>
          <w:sz w:val="24"/>
        </w:rPr>
      </w:pPr>
      <w:r>
        <w:rPr>
          <w:rFonts w:hint="eastAsia" w:ascii="宋体" w:hAnsi="宋体" w:cs="仿宋"/>
          <w:sz w:val="24"/>
        </w:rPr>
        <w:t>5、合同主要条款</w:t>
      </w:r>
    </w:p>
    <w:p>
      <w:pPr>
        <w:snapToGrid w:val="0"/>
        <w:spacing w:line="500" w:lineRule="exact"/>
        <w:ind w:firstLine="480" w:firstLineChars="200"/>
        <w:rPr>
          <w:rFonts w:ascii="宋体" w:hAnsi="宋体" w:cs="仿宋"/>
          <w:sz w:val="24"/>
        </w:rPr>
      </w:pPr>
      <w:r>
        <w:rPr>
          <w:rFonts w:hint="eastAsia" w:ascii="宋体" w:hAnsi="宋体" w:cs="仿宋"/>
          <w:sz w:val="24"/>
        </w:rPr>
        <w:t>6、投标文件格式</w:t>
      </w:r>
    </w:p>
    <w:p>
      <w:pPr>
        <w:snapToGrid w:val="0"/>
        <w:spacing w:line="500" w:lineRule="exact"/>
        <w:ind w:firstLine="480" w:firstLineChars="200"/>
        <w:rPr>
          <w:rFonts w:ascii="宋体" w:hAnsi="宋体" w:cs="仿宋"/>
          <w:sz w:val="24"/>
        </w:rPr>
      </w:pPr>
      <w:r>
        <w:rPr>
          <w:rFonts w:hint="eastAsia" w:ascii="宋体" w:hAnsi="宋体" w:cs="仿宋"/>
          <w:sz w:val="24"/>
        </w:rPr>
        <w:t>7、本项目招标文件的澄清、答复、修改、补充的内容</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（二）投标供应商的风险</w:t>
      </w:r>
    </w:p>
    <w:p>
      <w:pPr>
        <w:snapToGrid w:val="0"/>
        <w:spacing w:line="500" w:lineRule="exact"/>
        <w:ind w:firstLine="480" w:firstLineChars="200"/>
        <w:rPr>
          <w:rFonts w:ascii="宋体" w:hAnsi="宋体" w:cs="仿宋"/>
          <w:sz w:val="24"/>
        </w:rPr>
      </w:pPr>
      <w:r>
        <w:rPr>
          <w:rFonts w:hint="eastAsia" w:ascii="宋体" w:hAnsi="宋体" w:cs="仿宋"/>
          <w:sz w:val="24"/>
        </w:rPr>
        <w:t>投标供应商没有按照招标文件要求提供全部资料，或者投标供应商没有对招标文件在各方面作出实质性响应是投标供应商的风险，并可能导致其投标被拒绝。</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（三）招标文件的澄清与修改</w:t>
      </w:r>
    </w:p>
    <w:p>
      <w:pPr>
        <w:snapToGrid w:val="0"/>
        <w:spacing w:line="500" w:lineRule="exact"/>
        <w:ind w:firstLine="480" w:firstLineChars="200"/>
        <w:rPr>
          <w:rFonts w:ascii="宋体" w:hAnsi="宋体" w:cs="仿宋"/>
          <w:sz w:val="24"/>
        </w:rPr>
      </w:pPr>
      <w:r>
        <w:rPr>
          <w:rFonts w:hint="eastAsia" w:ascii="宋体" w:hAnsi="宋体" w:cs="仿宋"/>
          <w:sz w:val="24"/>
        </w:rPr>
        <w:t>1、投标供应商应认真阅读本招标文件，发现本文件表述不清晰、存在歧视性、排他性或者其他违法内容的，应当于</w:t>
      </w:r>
      <w:r>
        <w:rPr>
          <w:rFonts w:hint="eastAsia" w:ascii="宋体" w:hAnsi="宋体" w:cs="仿宋"/>
          <w:b/>
          <w:bCs/>
          <w:sz w:val="24"/>
          <w:u w:val="single"/>
        </w:rPr>
        <w:t>采购文件发布后7个工作日内</w:t>
      </w:r>
      <w:r>
        <w:rPr>
          <w:rFonts w:hint="eastAsia" w:ascii="宋体" w:hAnsi="宋体" w:cs="仿宋"/>
          <w:sz w:val="24"/>
        </w:rPr>
        <w:t>，一次性以书面形式要求招标采购单位作出书面解释、澄清或者向招标采购单位提出书面质疑。招标采购单位对已发出的招标文件进行必要澄清、答复、修改或补充的，应当在招标文件要求提交投标文件截止时间三日前，</w:t>
      </w:r>
      <w:r>
        <w:rPr>
          <w:rFonts w:hint="eastAsia" w:ascii="宋体" w:hAnsi="宋体" w:cs="Arial"/>
          <w:b/>
          <w:kern w:val="0"/>
          <w:sz w:val="24"/>
          <w:szCs w:val="22"/>
        </w:rPr>
        <w:t>在财政部门指定的政府采购信息发布媒体上发布澄清或</w:t>
      </w:r>
      <w:r>
        <w:rPr>
          <w:rFonts w:ascii="宋体" w:hAnsi="宋体" w:cs="Arial"/>
          <w:b/>
          <w:kern w:val="0"/>
          <w:sz w:val="24"/>
          <w:szCs w:val="22"/>
        </w:rPr>
        <w:t>更正公告，并以</w:t>
      </w:r>
      <w:r>
        <w:rPr>
          <w:rFonts w:hint="eastAsia" w:ascii="宋体" w:hAnsi="宋体" w:cs="Arial"/>
          <w:b/>
          <w:kern w:val="0"/>
          <w:sz w:val="24"/>
          <w:szCs w:val="22"/>
        </w:rPr>
        <w:t>传真或邮件（原文扫描件）或网上公告等形式告知所有已登记获取采购文件的投标供应商</w:t>
      </w:r>
      <w:r>
        <w:rPr>
          <w:rFonts w:hint="eastAsia" w:ascii="宋体" w:hAnsi="宋体" w:cs="仿宋"/>
          <w:sz w:val="24"/>
        </w:rPr>
        <w:t>。</w:t>
      </w:r>
    </w:p>
    <w:p>
      <w:pPr>
        <w:snapToGrid w:val="0"/>
        <w:spacing w:line="500" w:lineRule="exact"/>
        <w:ind w:firstLine="480" w:firstLineChars="200"/>
        <w:rPr>
          <w:rFonts w:ascii="宋体" w:hAnsi="宋体" w:cs="仿宋"/>
          <w:sz w:val="24"/>
        </w:rPr>
      </w:pPr>
      <w:r>
        <w:rPr>
          <w:rFonts w:hint="eastAsia" w:ascii="宋体" w:hAnsi="宋体" w:cs="仿宋"/>
          <w:sz w:val="24"/>
        </w:rPr>
        <w:t>2、招标采购单位必须以传真或邮件（原文扫描件）或网上公告等答复投标供应商要求澄清的问题，并将不包含问题来源的答复以此形式通知所有获取招标文件的投标供应商；除传真或邮件（原文扫描件）或网上公告形式答复以外的其他澄清方式及澄清内容均无效。</w:t>
      </w:r>
    </w:p>
    <w:p>
      <w:pPr>
        <w:snapToGrid w:val="0"/>
        <w:spacing w:line="500" w:lineRule="exact"/>
        <w:ind w:firstLine="480" w:firstLineChars="200"/>
        <w:rPr>
          <w:rFonts w:ascii="宋体" w:hAnsi="宋体" w:cs="仿宋"/>
          <w:sz w:val="24"/>
        </w:rPr>
      </w:pPr>
      <w:r>
        <w:rPr>
          <w:rFonts w:hint="eastAsia" w:ascii="宋体" w:hAnsi="宋体" w:cs="仿宋"/>
          <w:sz w:val="24"/>
        </w:rPr>
        <w:t>3、招标文件澄清、答复、修改、补充的内容为招标文件的组成部分。当招标文件与招标文件的答复、澄清、修改、补充通知就同一内容的表述不一致时，以最后发出的文件为准。</w:t>
      </w:r>
    </w:p>
    <w:p>
      <w:pPr>
        <w:snapToGrid w:val="0"/>
        <w:spacing w:line="500" w:lineRule="exact"/>
        <w:ind w:firstLine="480" w:firstLineChars="200"/>
        <w:rPr>
          <w:rFonts w:ascii="宋体" w:hAnsi="宋体" w:cs="仿宋"/>
          <w:sz w:val="24"/>
        </w:rPr>
      </w:pPr>
      <w:r>
        <w:rPr>
          <w:rFonts w:hint="eastAsia" w:ascii="宋体" w:hAnsi="宋体" w:cs="仿宋"/>
          <w:sz w:val="24"/>
        </w:rPr>
        <w:t>4、招标文件的澄清、答复、修改或补充都应该通过本招标机构以法定形式发布，采购单位非通过本机构，不得擅自澄清、答复、修改或补充招标文件。</w:t>
      </w:r>
    </w:p>
    <w:p>
      <w:pPr>
        <w:spacing w:line="500" w:lineRule="exact"/>
        <w:jc w:val="center"/>
        <w:outlineLvl w:val="1"/>
        <w:rPr>
          <w:rFonts w:ascii="宋体" w:hAnsi="宋体" w:cs="仿宋"/>
          <w:sz w:val="24"/>
        </w:rPr>
      </w:pPr>
      <w:bookmarkStart w:id="20" w:name="_Toc3451"/>
      <w:r>
        <w:rPr>
          <w:rFonts w:hint="eastAsia" w:ascii="宋体" w:hAnsi="宋体" w:cs="仿宋"/>
          <w:b/>
          <w:sz w:val="32"/>
          <w:szCs w:val="32"/>
        </w:rPr>
        <w:t>三、投标文件的编制</w:t>
      </w:r>
      <w:bookmarkEnd w:id="20"/>
    </w:p>
    <w:p>
      <w:pPr>
        <w:numPr>
          <w:ilvl w:val="0"/>
          <w:numId w:val="4"/>
        </w:numPr>
        <w:snapToGrid w:val="0"/>
        <w:spacing w:line="360" w:lineRule="auto"/>
        <w:ind w:firstLine="482" w:firstLineChars="200"/>
        <w:outlineLvl w:val="2"/>
        <w:rPr>
          <w:rFonts w:ascii="宋体" w:hAnsi="宋体" w:cs="仿宋"/>
          <w:b/>
          <w:sz w:val="24"/>
        </w:rPr>
      </w:pPr>
      <w:r>
        <w:rPr>
          <w:rFonts w:hint="eastAsia" w:ascii="宋体" w:hAnsi="宋体" w:cs="仿宋"/>
          <w:b/>
          <w:sz w:val="24"/>
        </w:rPr>
        <w:t>投标文件的组成</w:t>
      </w:r>
    </w:p>
    <w:p>
      <w:pPr>
        <w:snapToGrid w:val="0"/>
        <w:spacing w:line="500" w:lineRule="exact"/>
        <w:ind w:firstLine="560" w:firstLineChars="200"/>
      </w:pPr>
      <w:r>
        <w:rPr>
          <w:rFonts w:hint="eastAsia"/>
        </w:rPr>
        <w:t xml:space="preserve">  </w:t>
      </w:r>
      <w:r>
        <w:rPr>
          <w:rFonts w:hint="eastAsia" w:ascii="宋体" w:hAnsi="宋体" w:cs="宋体"/>
          <w:sz w:val="24"/>
        </w:rPr>
        <w:t>投标文件（包括电子投标文件及数据电子备份投标文件）由《资格文件》、《商务技术文件》和《报价文件》组成，</w:t>
      </w:r>
      <w:r>
        <w:rPr>
          <w:rFonts w:hint="eastAsia" w:ascii="宋体" w:hAnsi="宋体" w:cs="宋体"/>
          <w:b/>
          <w:bCs/>
          <w:sz w:val="24"/>
        </w:rPr>
        <w:t>其中电子投标文件中所须加盖公章部分均采用CA签章。</w:t>
      </w:r>
    </w:p>
    <w:p>
      <w:pPr>
        <w:numPr>
          <w:ilvl w:val="0"/>
          <w:numId w:val="5"/>
        </w:numPr>
        <w:snapToGrid w:val="0"/>
        <w:spacing w:line="360" w:lineRule="auto"/>
        <w:ind w:firstLine="482" w:firstLineChars="200"/>
        <w:outlineLvl w:val="3"/>
        <w:rPr>
          <w:rFonts w:ascii="宋体" w:hAnsi="Courier New" w:cs="Courier New"/>
          <w:b/>
          <w:bCs/>
          <w:sz w:val="24"/>
          <w:szCs w:val="21"/>
        </w:rPr>
      </w:pPr>
      <w:r>
        <w:rPr>
          <w:rFonts w:hint="eastAsia" w:ascii="宋体" w:hAnsi="Courier New" w:cs="Courier New"/>
          <w:b/>
          <w:bCs/>
          <w:sz w:val="24"/>
          <w:szCs w:val="21"/>
        </w:rPr>
        <w:t>资格文件</w:t>
      </w:r>
    </w:p>
    <w:p>
      <w:pPr>
        <w:pStyle w:val="2"/>
        <w:spacing w:line="360" w:lineRule="auto"/>
        <w:rPr>
          <w:rFonts w:ascii="宋体" w:hAnsi="Courier New" w:cs="Courier New"/>
          <w:kern w:val="2"/>
          <w:sz w:val="24"/>
          <w:szCs w:val="21"/>
        </w:rPr>
      </w:pPr>
      <w:r>
        <w:rPr>
          <w:rFonts w:hint="eastAsia" w:ascii="宋体" w:hAnsi="Courier New" w:cs="Courier New"/>
          <w:kern w:val="2"/>
          <w:sz w:val="24"/>
          <w:szCs w:val="21"/>
        </w:rPr>
        <w:t xml:space="preserve">   </w:t>
      </w:r>
      <w:r>
        <w:rPr>
          <w:rFonts w:hint="eastAsia" w:ascii="宋体" w:hAnsi="宋体" w:eastAsia="宋体" w:cs="宋体"/>
          <w:kern w:val="2"/>
          <w:sz w:val="24"/>
          <w:szCs w:val="21"/>
        </w:rPr>
        <w:t xml:space="preserve"> （1）投标单位情况表；</w:t>
      </w:r>
    </w:p>
    <w:p>
      <w:pPr>
        <w:pStyle w:val="27"/>
        <w:spacing w:line="360" w:lineRule="auto"/>
        <w:ind w:firstLine="480" w:firstLineChars="200"/>
        <w:rPr>
          <w:rFonts w:hint="eastAsia" w:eastAsia="宋体"/>
          <w:sz w:val="24"/>
          <w:lang w:eastAsia="zh-CN"/>
        </w:rPr>
      </w:pPr>
      <w:r>
        <w:rPr>
          <w:rFonts w:hint="eastAsia"/>
          <w:sz w:val="24"/>
        </w:rPr>
        <w:t>（2）有效的营业执照、税务登记证、组织机构代码证或“三证合一”的营业执照或“五证合一”的营业执照；</w:t>
      </w:r>
    </w:p>
    <w:p>
      <w:pPr>
        <w:snapToGrid w:val="0"/>
        <w:spacing w:line="360" w:lineRule="auto"/>
        <w:ind w:firstLine="480" w:firstLineChars="200"/>
        <w:rPr>
          <w:rFonts w:hint="eastAsia" w:ascii="宋体" w:hAnsi="宋体" w:eastAsia="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法定代表人或其授权代理人的授权证书及身份证明</w:t>
      </w:r>
      <w:r>
        <w:rPr>
          <w:rFonts w:hint="eastAsia" w:ascii="宋体" w:hAnsi="宋体" w:cs="宋体"/>
          <w:sz w:val="24"/>
          <w:lang w:eastAsia="zh-CN"/>
        </w:rPr>
        <w:t>；</w:t>
      </w:r>
    </w:p>
    <w:p>
      <w:pPr>
        <w:snapToGrid w:val="0"/>
        <w:spacing w:line="360" w:lineRule="auto"/>
        <w:ind w:firstLine="480" w:firstLineChars="200"/>
        <w:rPr>
          <w:rFonts w:ascii="宋体" w:hAnsi="宋体" w:cs="宋体"/>
          <w:kern w:val="0"/>
          <w:sz w:val="24"/>
        </w:rPr>
      </w:pPr>
      <w:r>
        <w:rPr>
          <w:rFonts w:hint="eastAsia" w:ascii="宋体" w:hAnsi="宋体" w:cs="宋体"/>
          <w:sz w:val="24"/>
        </w:rPr>
        <w:t>（</w:t>
      </w:r>
      <w:r>
        <w:rPr>
          <w:rFonts w:hint="eastAsia" w:ascii="宋体" w:hAnsi="宋体" w:cs="宋体"/>
          <w:sz w:val="24"/>
          <w:lang w:val="en-US" w:eastAsia="zh-CN"/>
        </w:rPr>
        <w:t>4</w:t>
      </w:r>
      <w:r>
        <w:rPr>
          <w:rFonts w:hint="eastAsia" w:hAnsi="宋体" w:cs="Arial"/>
          <w:sz w:val="24"/>
        </w:rPr>
        <w:t>）</w:t>
      </w:r>
      <w:r>
        <w:rPr>
          <w:rFonts w:hint="eastAsia" w:ascii="宋体" w:hAnsi="宋体" w:cs="宋体"/>
          <w:sz w:val="24"/>
        </w:rPr>
        <w:t>授权代理人提供近三个月中任意一个月的社保证明；</w:t>
      </w:r>
    </w:p>
    <w:p>
      <w:pPr>
        <w:pStyle w:val="27"/>
        <w:spacing w:line="360" w:lineRule="auto"/>
        <w:ind w:firstLine="480" w:firstLineChars="200"/>
        <w:rPr>
          <w:rFonts w:hAnsi="宋体"/>
          <w:sz w:val="24"/>
        </w:rPr>
      </w:pPr>
      <w:r>
        <w:rPr>
          <w:rFonts w:hint="eastAsia" w:hAnsi="宋体"/>
          <w:sz w:val="24"/>
        </w:rPr>
        <w:t>（</w:t>
      </w:r>
      <w:r>
        <w:rPr>
          <w:rFonts w:hint="eastAsia" w:hAnsi="宋体"/>
          <w:sz w:val="24"/>
          <w:lang w:val="en-US" w:eastAsia="zh-CN"/>
        </w:rPr>
        <w:t>5</w:t>
      </w:r>
      <w:r>
        <w:rPr>
          <w:rFonts w:hAnsi="宋体"/>
          <w:sz w:val="24"/>
        </w:rPr>
        <w:t>）</w:t>
      </w:r>
      <w:r>
        <w:rPr>
          <w:rFonts w:hint="eastAsia" w:hAnsi="宋体"/>
          <w:sz w:val="24"/>
        </w:rPr>
        <w:t>最近一个季度供应商依法缴纳税收和社保费的证明</w:t>
      </w:r>
      <w:r>
        <w:rPr>
          <w:rFonts w:hint="eastAsia" w:hAnsi="宋体"/>
          <w:sz w:val="24"/>
          <w:lang w:eastAsia="zh-CN"/>
        </w:rPr>
        <w:t>（</w:t>
      </w:r>
      <w:r>
        <w:rPr>
          <w:rFonts w:hint="eastAsia" w:hAnsi="宋体"/>
          <w:sz w:val="24"/>
        </w:rPr>
        <w:t>税费凭证复印件，或者依法缴纳税费或依法免缴税费的证明</w:t>
      </w:r>
      <w:r>
        <w:rPr>
          <w:rFonts w:hint="eastAsia" w:hAnsi="宋体"/>
          <w:sz w:val="24"/>
          <w:lang w:eastAsia="zh-CN"/>
        </w:rPr>
        <w:t>）；</w:t>
      </w:r>
    </w:p>
    <w:p>
      <w:pPr>
        <w:pStyle w:val="27"/>
        <w:spacing w:line="360" w:lineRule="auto"/>
        <w:ind w:firstLine="480" w:firstLineChars="200"/>
        <w:rPr>
          <w:sz w:val="24"/>
        </w:rPr>
      </w:pPr>
      <w:r>
        <w:rPr>
          <w:rFonts w:hint="eastAsia" w:hAnsi="宋体"/>
          <w:sz w:val="24"/>
        </w:rPr>
        <w:t>（</w:t>
      </w:r>
      <w:r>
        <w:rPr>
          <w:rFonts w:hint="eastAsia" w:hAnsi="宋体"/>
          <w:sz w:val="24"/>
          <w:lang w:val="en-US" w:eastAsia="zh-CN"/>
        </w:rPr>
        <w:t>6</w:t>
      </w:r>
      <w:r>
        <w:rPr>
          <w:rFonts w:hint="eastAsia" w:hAnsi="宋体"/>
          <w:sz w:val="24"/>
        </w:rPr>
        <w:t>）</w:t>
      </w:r>
      <w:r>
        <w:rPr>
          <w:rFonts w:hint="eastAsia"/>
          <w:sz w:val="24"/>
        </w:rPr>
        <w:t>提供自招标公告发布之日起至投标截止日前任意时间的“信用中国”网站（www.creditchina.gov.cn）、</w:t>
      </w:r>
      <w:r>
        <w:rPr>
          <w:rFonts w:hint="eastAsia"/>
          <w:sz w:val="24"/>
          <w:lang w:eastAsia="zh-CN"/>
        </w:rPr>
        <w:t>“</w:t>
      </w:r>
      <w:r>
        <w:rPr>
          <w:rFonts w:hint="eastAsia"/>
          <w:sz w:val="24"/>
        </w:rPr>
        <w:t>中国政府采购网</w:t>
      </w:r>
      <w:r>
        <w:rPr>
          <w:rFonts w:hint="eastAsia"/>
          <w:sz w:val="24"/>
          <w:lang w:eastAsia="zh-CN"/>
        </w:rPr>
        <w:t>”</w:t>
      </w:r>
      <w:r>
        <w:rPr>
          <w:rFonts w:hint="eastAsia"/>
          <w:sz w:val="24"/>
        </w:rPr>
        <w:t>（www.ccgp.gov.cn）供应商信用查询网页截图。（以开标当日采购人或由采购人委托的评标委员会核实的查询结果为准）；</w:t>
      </w:r>
    </w:p>
    <w:p>
      <w:pPr>
        <w:pStyle w:val="27"/>
        <w:spacing w:line="360" w:lineRule="auto"/>
        <w:ind w:firstLine="480" w:firstLineChars="200"/>
        <w:rPr>
          <w:sz w:val="24"/>
        </w:rPr>
      </w:pPr>
      <w:r>
        <w:rPr>
          <w:rFonts w:hint="eastAsia"/>
          <w:sz w:val="24"/>
        </w:rPr>
        <w:t>（</w:t>
      </w:r>
      <w:r>
        <w:rPr>
          <w:rFonts w:hint="eastAsia"/>
          <w:sz w:val="24"/>
          <w:lang w:val="en-US" w:eastAsia="zh-CN"/>
        </w:rPr>
        <w:t>7</w:t>
      </w:r>
      <w:r>
        <w:rPr>
          <w:rFonts w:hint="eastAsia"/>
          <w:sz w:val="24"/>
        </w:rPr>
        <w:t>）</w:t>
      </w:r>
      <w:r>
        <w:rPr>
          <w:rFonts w:hint="eastAsia" w:hAnsi="宋体"/>
          <w:sz w:val="24"/>
        </w:rPr>
        <w:t>信用承诺书。</w:t>
      </w:r>
    </w:p>
    <w:p>
      <w:pPr>
        <w:spacing w:line="360" w:lineRule="auto"/>
        <w:ind w:firstLine="472" w:firstLineChars="196"/>
        <w:rPr>
          <w:rFonts w:hAnsi="宋体"/>
          <w:b/>
          <w:sz w:val="24"/>
        </w:rPr>
      </w:pPr>
      <w:r>
        <w:rPr>
          <w:rFonts w:hint="eastAsia" w:asciiTheme="minorEastAsia" w:hAnsiTheme="minorEastAsia" w:eastAsiaTheme="minorEastAsia" w:cstheme="minorEastAsia"/>
          <w:b/>
          <w:sz w:val="24"/>
        </w:rPr>
        <w:t>2、技术、商务、资信及其他文件</w:t>
      </w:r>
    </w:p>
    <w:p>
      <w:pPr>
        <w:spacing w:line="360" w:lineRule="auto"/>
        <w:ind w:firstLine="480" w:firstLineChars="200"/>
        <w:rPr>
          <w:rFonts w:ascii="宋体" w:hAnsi="宋体" w:cs="宋体"/>
          <w:b/>
          <w:sz w:val="24"/>
        </w:rPr>
      </w:pPr>
      <w:r>
        <w:rPr>
          <w:rFonts w:hint="eastAsia" w:ascii="宋体" w:hAnsi="宋体" w:cs="宋体"/>
          <w:sz w:val="24"/>
        </w:rPr>
        <w:t>（1）评分索引表（格式见附件，主要用于评审委员会对应评分内容，包括商务部分、技术部分）</w:t>
      </w:r>
      <w:r>
        <w:rPr>
          <w:rFonts w:hint="eastAsia" w:ascii="宋体" w:hAnsi="宋体" w:cs="宋体"/>
          <w:b w:val="0"/>
          <w:bCs/>
          <w:sz w:val="24"/>
        </w:rPr>
        <w:t>；</w:t>
      </w:r>
    </w:p>
    <w:p>
      <w:pPr>
        <w:snapToGrid w:val="0"/>
        <w:spacing w:line="360" w:lineRule="auto"/>
        <w:ind w:firstLine="480" w:firstLineChars="200"/>
        <w:jc w:val="left"/>
      </w:pPr>
      <w:r>
        <w:rPr>
          <w:rFonts w:hint="eastAsia" w:ascii="宋体" w:hAnsi="宋体"/>
          <w:sz w:val="24"/>
        </w:rPr>
        <w:t>（2）投标声明书；</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sz w:val="24"/>
          <w:lang w:eastAsia="zh-CN"/>
        </w:rPr>
        <w:t>项目具体实施方案（质量、安全、服务及承诺等）</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（4）</w:t>
      </w:r>
      <w:r>
        <w:rPr>
          <w:rFonts w:hint="eastAsia" w:ascii="宋体" w:hAnsi="宋体" w:cs="宋体"/>
          <w:sz w:val="24"/>
          <w:lang w:eastAsia="zh-CN"/>
        </w:rPr>
        <w:t>针对本项目重点、难点分析及相应解决措施</w:t>
      </w:r>
      <w:r>
        <w:rPr>
          <w:rFonts w:hint="eastAsia" w:ascii="宋体" w:hAnsi="宋体" w:cs="宋体"/>
          <w:sz w:val="24"/>
        </w:rPr>
        <w:t>；</w:t>
      </w:r>
    </w:p>
    <w:p>
      <w:pPr>
        <w:pStyle w:val="2"/>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（5）</w:t>
      </w:r>
      <w:r>
        <w:rPr>
          <w:rFonts w:hint="eastAsia" w:ascii="宋体" w:hAnsi="宋体" w:eastAsia="宋体" w:cs="宋体"/>
          <w:kern w:val="2"/>
          <w:sz w:val="24"/>
          <w:szCs w:val="24"/>
          <w:lang w:eastAsia="zh-CN"/>
        </w:rPr>
        <w:t>应急预案</w:t>
      </w:r>
      <w:r>
        <w:rPr>
          <w:rFonts w:hint="eastAsia" w:ascii="宋体" w:hAnsi="宋体" w:eastAsia="宋体" w:cs="宋体"/>
          <w:kern w:val="2"/>
          <w:sz w:val="24"/>
          <w:szCs w:val="24"/>
        </w:rPr>
        <w:t>；</w:t>
      </w:r>
    </w:p>
    <w:p>
      <w:pPr>
        <w:spacing w:line="360" w:lineRule="auto"/>
        <w:ind w:firstLine="480" w:firstLineChars="200"/>
      </w:pPr>
      <w:r>
        <w:rPr>
          <w:rFonts w:hint="eastAsia" w:ascii="宋体" w:hAnsi="宋体" w:cs="宋体"/>
          <w:sz w:val="24"/>
        </w:rPr>
        <w:t>（6）</w:t>
      </w:r>
      <w:r>
        <w:rPr>
          <w:rFonts w:hint="eastAsia" w:ascii="宋体" w:hAnsi="宋体" w:cs="宋体"/>
          <w:sz w:val="24"/>
          <w:lang w:eastAsia="zh-CN"/>
        </w:rPr>
        <w:t>各项管理规则制度及考核</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（7）</w:t>
      </w:r>
      <w:r>
        <w:rPr>
          <w:rFonts w:hint="eastAsia" w:ascii="宋体" w:hAnsi="宋体" w:cs="宋体"/>
          <w:sz w:val="24"/>
          <w:lang w:eastAsia="zh-CN"/>
        </w:rPr>
        <w:t>人员配备</w:t>
      </w:r>
      <w:r>
        <w:rPr>
          <w:rFonts w:hint="eastAsia" w:ascii="宋体" w:hAnsi="宋体" w:cs="宋体"/>
          <w:sz w:val="24"/>
        </w:rPr>
        <w:t>；</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（8）</w:t>
      </w:r>
      <w:r>
        <w:rPr>
          <w:rFonts w:hint="eastAsia" w:ascii="宋体" w:hAnsi="宋体" w:cs="宋体"/>
          <w:sz w:val="24"/>
          <w:lang w:eastAsia="zh-CN"/>
        </w:rPr>
        <w:t>投入本项目设备情况；</w:t>
      </w:r>
    </w:p>
    <w:p>
      <w:pPr>
        <w:snapToGrid w:val="0"/>
        <w:spacing w:line="360" w:lineRule="auto"/>
        <w:ind w:firstLine="480" w:firstLineChars="200"/>
        <w:jc w:val="left"/>
        <w:rPr>
          <w:rFonts w:ascii="宋体" w:hAnsi="宋体"/>
          <w:sz w:val="24"/>
        </w:rPr>
      </w:pPr>
      <w:r>
        <w:rPr>
          <w:rFonts w:hint="eastAsia" w:ascii="宋体" w:hAnsi="宋体"/>
          <w:sz w:val="24"/>
        </w:rPr>
        <w:t>（9）</w:t>
      </w:r>
      <w:r>
        <w:rPr>
          <w:rFonts w:hint="eastAsia" w:ascii="宋体" w:hAnsi="宋体"/>
          <w:sz w:val="24"/>
          <w:lang w:eastAsia="zh-CN"/>
        </w:rPr>
        <w:t>服务承诺</w:t>
      </w:r>
      <w:r>
        <w:rPr>
          <w:rFonts w:hint="eastAsia" w:ascii="宋体" w:hAnsi="宋体"/>
          <w:sz w:val="24"/>
        </w:rPr>
        <w:t>；</w:t>
      </w:r>
    </w:p>
    <w:p>
      <w:pPr>
        <w:snapToGrid w:val="0"/>
        <w:spacing w:line="360" w:lineRule="auto"/>
        <w:ind w:firstLine="480" w:firstLineChars="200"/>
        <w:jc w:val="left"/>
        <w:rPr>
          <w:rFonts w:hint="eastAsia" w:ascii="宋体" w:hAnsi="宋体"/>
          <w:sz w:val="24"/>
        </w:rPr>
      </w:pPr>
      <w:r>
        <w:rPr>
          <w:rFonts w:hint="eastAsia" w:ascii="宋体" w:hAnsi="宋体"/>
          <w:sz w:val="24"/>
        </w:rPr>
        <w:t>（10）</w:t>
      </w:r>
      <w:r>
        <w:rPr>
          <w:rFonts w:hint="eastAsia" w:ascii="宋体" w:hAnsi="宋体"/>
          <w:sz w:val="24"/>
          <w:lang w:eastAsia="zh-CN"/>
        </w:rPr>
        <w:t>企业业绩</w:t>
      </w:r>
      <w:r>
        <w:rPr>
          <w:rFonts w:hint="eastAsia" w:ascii="宋体" w:hAnsi="宋体"/>
          <w:sz w:val="24"/>
        </w:rPr>
        <w:t>；</w:t>
      </w:r>
    </w:p>
    <w:p>
      <w:pPr>
        <w:snapToGrid w:val="0"/>
        <w:spacing w:line="360" w:lineRule="auto"/>
        <w:ind w:firstLine="480" w:firstLineChars="200"/>
        <w:jc w:val="left"/>
        <w:rPr>
          <w:rFonts w:hint="eastAsia" w:ascii="宋体" w:hAnsi="宋体"/>
          <w:b w:val="0"/>
          <w:bCs w:val="0"/>
          <w:kern w:val="0"/>
          <w:sz w:val="24"/>
          <w:lang w:eastAsia="zh-CN"/>
        </w:rPr>
      </w:pPr>
      <w:r>
        <w:rPr>
          <w:rFonts w:hint="eastAsia" w:ascii="宋体" w:hAnsi="宋体"/>
          <w:sz w:val="24"/>
          <w:lang w:eastAsia="zh-CN"/>
        </w:rPr>
        <w:t>（</w:t>
      </w:r>
      <w:r>
        <w:rPr>
          <w:rFonts w:hint="eastAsia" w:ascii="宋体" w:hAnsi="宋体"/>
          <w:sz w:val="24"/>
          <w:lang w:val="en-US" w:eastAsia="zh-CN"/>
        </w:rPr>
        <w:t>11</w:t>
      </w:r>
      <w:r>
        <w:rPr>
          <w:rFonts w:hint="eastAsia" w:ascii="宋体" w:hAnsi="宋体"/>
          <w:sz w:val="24"/>
          <w:lang w:eastAsia="zh-CN"/>
        </w:rPr>
        <w:t>）权威认证</w:t>
      </w:r>
      <w:r>
        <w:rPr>
          <w:rFonts w:hint="eastAsia" w:ascii="宋体" w:hAnsi="宋体"/>
          <w:b w:val="0"/>
          <w:bCs w:val="0"/>
          <w:kern w:val="0"/>
          <w:sz w:val="24"/>
          <w:lang w:eastAsia="zh-CN"/>
        </w:rPr>
        <w:t>；</w:t>
      </w:r>
    </w:p>
    <w:p>
      <w:pPr>
        <w:pStyle w:val="20"/>
        <w:ind w:firstLine="480" w:firstLineChars="200"/>
        <w:rPr>
          <w:rFonts w:hint="eastAsia"/>
          <w:lang w:eastAsia="zh-CN"/>
        </w:rPr>
      </w:pPr>
      <w:r>
        <w:rPr>
          <w:rFonts w:hint="eastAsia" w:ascii="宋体" w:hAnsi="宋体"/>
          <w:b w:val="0"/>
          <w:bCs w:val="0"/>
          <w:kern w:val="0"/>
          <w:sz w:val="24"/>
          <w:lang w:eastAsia="zh-CN"/>
        </w:rPr>
        <w:t>（</w:t>
      </w:r>
      <w:r>
        <w:rPr>
          <w:rFonts w:hint="eastAsia" w:ascii="宋体" w:hAnsi="宋体"/>
          <w:b w:val="0"/>
          <w:bCs w:val="0"/>
          <w:kern w:val="0"/>
          <w:sz w:val="24"/>
          <w:lang w:val="en-US" w:eastAsia="zh-CN"/>
        </w:rPr>
        <w:t>12</w:t>
      </w:r>
      <w:r>
        <w:rPr>
          <w:rFonts w:hint="eastAsia" w:ascii="宋体" w:hAnsi="宋体"/>
          <w:b w:val="0"/>
          <w:bCs w:val="0"/>
          <w:kern w:val="0"/>
          <w:sz w:val="24"/>
          <w:lang w:eastAsia="zh-CN"/>
        </w:rPr>
        <w:t>）企业实力；</w:t>
      </w:r>
    </w:p>
    <w:p>
      <w:pPr>
        <w:snapToGrid w:val="0"/>
        <w:spacing w:line="360" w:lineRule="auto"/>
        <w:ind w:firstLine="480" w:firstLineChars="200"/>
        <w:jc w:val="left"/>
        <w:rPr>
          <w:rFonts w:ascii="宋体" w:hAnsi="宋体"/>
          <w:sz w:val="24"/>
        </w:rPr>
      </w:pPr>
      <w:r>
        <w:rPr>
          <w:rFonts w:hint="eastAsia" w:ascii="宋体" w:hAnsi="宋体" w:eastAsia="宋体" w:cs="Times New Roman"/>
          <w:sz w:val="24"/>
          <w:lang w:eastAsia="zh-CN"/>
        </w:rPr>
        <w:t>（1</w:t>
      </w:r>
      <w:r>
        <w:rPr>
          <w:rFonts w:hint="eastAsia" w:ascii="宋体" w:hAnsi="宋体" w:cs="Times New Roman"/>
          <w:sz w:val="24"/>
          <w:lang w:val="en-US" w:eastAsia="zh-CN"/>
        </w:rPr>
        <w:t>3</w:t>
      </w:r>
      <w:r>
        <w:rPr>
          <w:rFonts w:hint="eastAsia" w:ascii="宋体" w:hAnsi="宋体" w:eastAsia="宋体" w:cs="Times New Roman"/>
          <w:sz w:val="24"/>
          <w:lang w:eastAsia="zh-CN"/>
        </w:rPr>
        <w:t>）</w:t>
      </w:r>
      <w:r>
        <w:rPr>
          <w:rFonts w:ascii="宋体" w:hAnsi="宋体"/>
          <w:sz w:val="24"/>
        </w:rPr>
        <w:t>其他投标供应商认为有必要提供的资料</w:t>
      </w:r>
      <w:r>
        <w:rPr>
          <w:rFonts w:hint="eastAsia" w:ascii="宋体" w:hAnsi="宋体"/>
          <w:sz w:val="24"/>
        </w:rPr>
        <w:t>。</w:t>
      </w:r>
      <w:r>
        <w:rPr>
          <w:rFonts w:ascii="宋体" w:hAnsi="宋体"/>
          <w:sz w:val="24"/>
        </w:rPr>
        <w:tab/>
      </w:r>
    </w:p>
    <w:p>
      <w:pPr>
        <w:pStyle w:val="19"/>
        <w:spacing w:line="360" w:lineRule="auto"/>
        <w:ind w:firstLine="482" w:firstLineChars="200"/>
        <w:rPr>
          <w:rFonts w:ascii="宋体"/>
          <w:b/>
          <w:sz w:val="24"/>
          <w:szCs w:val="24"/>
        </w:rPr>
      </w:pPr>
      <w:r>
        <w:rPr>
          <w:rFonts w:hint="eastAsia" w:ascii="宋体"/>
          <w:b/>
          <w:sz w:val="24"/>
          <w:szCs w:val="24"/>
        </w:rPr>
        <w:t>3、报价文件</w:t>
      </w:r>
    </w:p>
    <w:p>
      <w:pPr>
        <w:tabs>
          <w:tab w:val="left" w:pos="720"/>
        </w:tabs>
        <w:spacing w:line="360" w:lineRule="auto"/>
        <w:ind w:firstLine="480" w:firstLineChars="200"/>
        <w:rPr>
          <w:rFonts w:ascii="宋体" w:hAnsi="宋体"/>
          <w:sz w:val="24"/>
        </w:rPr>
      </w:pPr>
      <w:r>
        <w:rPr>
          <w:rFonts w:hint="eastAsia" w:ascii="宋体" w:hAnsi="宋体"/>
          <w:sz w:val="24"/>
        </w:rPr>
        <w:t>（1) 投标函；</w:t>
      </w:r>
    </w:p>
    <w:p>
      <w:pPr>
        <w:tabs>
          <w:tab w:val="left" w:pos="720"/>
        </w:tabs>
        <w:spacing w:line="360" w:lineRule="auto"/>
        <w:ind w:firstLine="480" w:firstLineChars="200"/>
        <w:rPr>
          <w:rFonts w:ascii="宋体" w:hAnsi="宋体"/>
          <w:sz w:val="24"/>
        </w:rPr>
      </w:pPr>
      <w:r>
        <w:rPr>
          <w:rFonts w:hint="eastAsia" w:ascii="宋体" w:hAnsi="宋体"/>
          <w:sz w:val="24"/>
        </w:rPr>
        <w:t>（2) 开标一览表（格式见附件）；</w:t>
      </w:r>
    </w:p>
    <w:p>
      <w:pPr>
        <w:tabs>
          <w:tab w:val="left" w:pos="720"/>
          <w:tab w:val="center" w:pos="4434"/>
        </w:tabs>
        <w:spacing w:line="360" w:lineRule="auto"/>
        <w:ind w:firstLine="480" w:firstLineChars="200"/>
        <w:rPr>
          <w:rFonts w:ascii="宋体" w:hAnsi="宋体"/>
          <w:sz w:val="24"/>
        </w:rPr>
      </w:pPr>
      <w:r>
        <w:rPr>
          <w:rFonts w:hint="eastAsia" w:ascii="宋体" w:hAnsi="宋体"/>
          <w:sz w:val="24"/>
        </w:rPr>
        <w:t>（3）报价明细表（格式见附件）；</w:t>
      </w:r>
      <w:r>
        <w:rPr>
          <w:rFonts w:hint="eastAsia" w:ascii="宋体" w:hAnsi="宋体"/>
          <w:sz w:val="24"/>
        </w:rPr>
        <w:tab/>
      </w:r>
    </w:p>
    <w:p>
      <w:pPr>
        <w:snapToGrid w:val="0"/>
        <w:spacing w:line="360" w:lineRule="auto"/>
        <w:ind w:firstLine="480" w:firstLineChars="200"/>
        <w:jc w:val="left"/>
        <w:rPr>
          <w:rFonts w:ascii="宋体" w:hAnsi="宋体"/>
          <w:sz w:val="24"/>
        </w:rPr>
      </w:pPr>
      <w:r>
        <w:rPr>
          <w:rFonts w:hint="eastAsia" w:ascii="宋体" w:hAnsi="宋体"/>
          <w:sz w:val="24"/>
        </w:rPr>
        <w:t>（4）政策分相关证明资料；</w:t>
      </w:r>
    </w:p>
    <w:p>
      <w:pPr>
        <w:snapToGrid w:val="0"/>
        <w:spacing w:line="360" w:lineRule="auto"/>
        <w:ind w:firstLine="600" w:firstLineChars="250"/>
        <w:jc w:val="left"/>
        <w:rPr>
          <w:rFonts w:ascii="宋体" w:hAnsi="宋体"/>
          <w:sz w:val="24"/>
        </w:rPr>
      </w:pPr>
      <w:r>
        <w:rPr>
          <w:rFonts w:hint="eastAsia" w:ascii="宋体" w:hAnsi="宋体"/>
          <w:sz w:val="24"/>
        </w:rPr>
        <w:t>4.1小微企业声明函、网页证明资料（若有，格式见附件）；</w:t>
      </w:r>
    </w:p>
    <w:p>
      <w:pPr>
        <w:snapToGrid w:val="0"/>
        <w:spacing w:line="360" w:lineRule="auto"/>
        <w:ind w:firstLine="600" w:firstLineChars="250"/>
        <w:jc w:val="left"/>
        <w:rPr>
          <w:rFonts w:ascii="宋体" w:hAnsi="宋体"/>
          <w:sz w:val="24"/>
        </w:rPr>
      </w:pPr>
      <w:r>
        <w:rPr>
          <w:rFonts w:hint="eastAsia" w:ascii="宋体" w:hAnsi="宋体"/>
          <w:sz w:val="24"/>
        </w:rPr>
        <w:t>4.2残疾人福利企业声明函（若有，格式见附件）；</w:t>
      </w:r>
    </w:p>
    <w:p>
      <w:pPr>
        <w:snapToGrid w:val="0"/>
        <w:spacing w:line="360" w:lineRule="auto"/>
        <w:ind w:firstLine="600" w:firstLineChars="250"/>
        <w:jc w:val="left"/>
        <w:rPr>
          <w:rFonts w:ascii="宋体" w:hAnsi="宋体"/>
          <w:sz w:val="24"/>
        </w:rPr>
      </w:pPr>
      <w:r>
        <w:rPr>
          <w:rFonts w:hint="eastAsia" w:ascii="宋体" w:hAnsi="宋体"/>
          <w:sz w:val="24"/>
        </w:rPr>
        <w:t>4.3监狱企业声明函（若有，格式见附件）；</w:t>
      </w:r>
    </w:p>
    <w:p>
      <w:pPr>
        <w:snapToGrid w:val="0"/>
        <w:spacing w:line="360" w:lineRule="auto"/>
        <w:ind w:firstLine="480" w:firstLineChars="200"/>
        <w:jc w:val="left"/>
      </w:pPr>
      <w:r>
        <w:rPr>
          <w:rFonts w:hint="eastAsia" w:ascii="宋体" w:hAnsi="宋体"/>
          <w:sz w:val="24"/>
        </w:rPr>
        <w:t>（5）招标代理服务费承诺函(格式见附件)；</w:t>
      </w:r>
    </w:p>
    <w:p>
      <w:pPr>
        <w:pStyle w:val="37"/>
        <w:spacing w:after="120" w:line="360" w:lineRule="auto"/>
        <w:ind w:firstLine="480" w:firstLineChars="200"/>
      </w:pPr>
      <w:r>
        <w:rPr>
          <w:rFonts w:hint="eastAsia"/>
        </w:rPr>
        <w:t>（6）其他投标供应商认为有必要提供的资料。</w:t>
      </w:r>
      <w:r>
        <w:tab/>
      </w:r>
    </w:p>
    <w:p>
      <w:pPr>
        <w:snapToGrid w:val="0"/>
        <w:spacing w:line="360" w:lineRule="auto"/>
        <w:ind w:firstLine="480"/>
        <w:rPr>
          <w:rFonts w:ascii="宋体"/>
          <w:b/>
          <w:color w:val="000000"/>
          <w:sz w:val="24"/>
        </w:rPr>
      </w:pPr>
      <w:r>
        <w:rPr>
          <w:rFonts w:hint="eastAsia" w:ascii="宋体" w:hAnsi="宋体"/>
          <w:b/>
          <w:sz w:val="24"/>
        </w:rPr>
        <w:t>（二）投标文件的语言及计量</w:t>
      </w:r>
    </w:p>
    <w:p>
      <w:pPr>
        <w:snapToGrid w:val="0"/>
        <w:spacing w:line="360" w:lineRule="auto"/>
        <w:ind w:firstLine="480"/>
        <w:rPr>
          <w:rFonts w:ascii="宋体"/>
          <w:b/>
          <w:color w:val="000000"/>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投标文件以及投标供应商与采购人就有关投标事宜的所有来往函电，均应以中文汉语书写。除签名、盖章、专用名称等特殊情形外，以中文汉语以外的文字表述的投标文件视同未提供。</w:t>
      </w:r>
    </w:p>
    <w:p>
      <w:pPr>
        <w:snapToGrid w:val="0"/>
        <w:spacing w:line="360" w:lineRule="auto"/>
        <w:ind w:firstLine="480"/>
        <w:rPr>
          <w:rFonts w:ascii="宋体"/>
          <w:b/>
          <w:color w:val="000000"/>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投标计量单位，采购文件已有明确规定的，使用采购文件规定的计量单位</w:t>
      </w:r>
      <w:r>
        <w:rPr>
          <w:rFonts w:hint="eastAsia" w:ascii="宋体" w:hAnsi="宋体"/>
          <w:sz w:val="24"/>
        </w:rPr>
        <w:t>；</w:t>
      </w:r>
      <w:r>
        <w:rPr>
          <w:rFonts w:ascii="宋体" w:hAnsi="宋体"/>
          <w:sz w:val="24"/>
        </w:rPr>
        <w:t>采购文件没有规定的，应采用中华人民共和国法定计量单位（货币单位：人民币元），否则视同未响应。</w:t>
      </w:r>
    </w:p>
    <w:p>
      <w:pPr>
        <w:snapToGrid w:val="0"/>
        <w:spacing w:line="360" w:lineRule="auto"/>
        <w:ind w:firstLine="480"/>
        <w:rPr>
          <w:rFonts w:ascii="宋体"/>
          <w:b/>
          <w:color w:val="000000"/>
          <w:sz w:val="24"/>
        </w:rPr>
      </w:pPr>
      <w:r>
        <w:rPr>
          <w:rFonts w:hint="eastAsia" w:ascii="宋体" w:hAnsi="宋体"/>
          <w:sz w:val="24"/>
        </w:rPr>
        <w:t>▲</w:t>
      </w:r>
      <w:r>
        <w:rPr>
          <w:rFonts w:hint="eastAsia" w:ascii="宋体" w:hAnsi="宋体"/>
          <w:b/>
          <w:sz w:val="24"/>
        </w:rPr>
        <w:t>（三）投标报价：</w:t>
      </w:r>
    </w:p>
    <w:p>
      <w:pPr>
        <w:snapToGrid w:val="0"/>
        <w:spacing w:line="360" w:lineRule="auto"/>
        <w:ind w:firstLine="480"/>
        <w:rPr>
          <w:rFonts w:hint="eastAsia" w:ascii="宋体" w:eastAsia="宋体"/>
          <w:b/>
          <w:color w:val="000000"/>
          <w:sz w:val="24"/>
          <w:lang w:eastAsia="zh-CN"/>
        </w:rPr>
      </w:pPr>
      <w:r>
        <w:rPr>
          <w:rFonts w:ascii="宋体" w:hAnsi="宋体"/>
          <w:sz w:val="24"/>
        </w:rPr>
        <w:t>1</w:t>
      </w:r>
      <w:r>
        <w:rPr>
          <w:rFonts w:hint="eastAsia" w:ascii="宋体" w:hAnsi="宋体"/>
          <w:sz w:val="24"/>
        </w:rPr>
        <w:t>、</w:t>
      </w:r>
      <w:r>
        <w:rPr>
          <w:rFonts w:ascii="宋体" w:hAnsi="宋体"/>
          <w:sz w:val="24"/>
        </w:rPr>
        <w:t>投标报价应按采购文件中相关附表格式填写。</w:t>
      </w:r>
      <w:r>
        <w:rPr>
          <w:rFonts w:hint="eastAsia" w:ascii="宋体"/>
          <w:color w:val="000000"/>
          <w:sz w:val="24"/>
        </w:rPr>
        <w:t>所有报价均应使用人民币（元）表示</w:t>
      </w:r>
      <w:r>
        <w:rPr>
          <w:rFonts w:hint="eastAsia" w:ascii="宋体"/>
          <w:color w:val="000000"/>
          <w:sz w:val="24"/>
          <w:lang w:eastAsia="zh-CN"/>
        </w:rPr>
        <w:t>。</w:t>
      </w:r>
    </w:p>
    <w:p>
      <w:pPr>
        <w:snapToGrid w:val="0"/>
        <w:spacing w:line="360" w:lineRule="auto"/>
        <w:ind w:firstLine="480" w:firstLineChars="200"/>
        <w:jc w:val="left"/>
        <w:rPr>
          <w:rFonts w:ascii="宋体" w:hAnsi="宋体"/>
          <w:sz w:val="24"/>
        </w:rPr>
      </w:pPr>
      <w:r>
        <w:rPr>
          <w:rFonts w:ascii="宋体" w:hAnsi="宋体"/>
          <w:sz w:val="24"/>
        </w:rPr>
        <w:t>2</w:t>
      </w:r>
      <w:r>
        <w:rPr>
          <w:rFonts w:hint="eastAsia" w:ascii="宋体" w:hAnsi="宋体"/>
          <w:sz w:val="24"/>
        </w:rPr>
        <w:t>、</w:t>
      </w:r>
      <w:r>
        <w:rPr>
          <w:rFonts w:ascii="宋体" w:hAnsi="宋体"/>
          <w:sz w:val="24"/>
        </w:rPr>
        <w:t>投标报价是履行合同的最终价格</w:t>
      </w:r>
      <w:r>
        <w:rPr>
          <w:rFonts w:hint="eastAsia" w:ascii="宋体" w:hAnsi="宋体"/>
          <w:sz w:val="24"/>
        </w:rPr>
        <w:t>，</w:t>
      </w:r>
      <w:r>
        <w:rPr>
          <w:rFonts w:ascii="宋体" w:hAnsi="宋体"/>
          <w:sz w:val="24"/>
        </w:rPr>
        <w:t>应</w:t>
      </w:r>
      <w:r>
        <w:rPr>
          <w:rFonts w:hint="eastAsia" w:ascii="宋体" w:hAnsi="宋体"/>
          <w:sz w:val="24"/>
        </w:rPr>
        <w:t>应含拟投标产品的备品、备件和专用工具费用、税金、包装及运输、保险、检测验收、调试及交付使用后维保等工作所发生的费用及供应商认为完成本招标文件规定内容所需发生的其它费用，凡未列入的，将被视为均已包含在投标总报价中</w:t>
      </w:r>
      <w:r>
        <w:rPr>
          <w:rFonts w:ascii="宋体" w:hAnsi="宋体"/>
          <w:sz w:val="24"/>
        </w:rPr>
        <w:t>。</w:t>
      </w:r>
    </w:p>
    <w:p>
      <w:pPr>
        <w:snapToGrid w:val="0"/>
        <w:spacing w:line="360" w:lineRule="auto"/>
        <w:ind w:firstLine="480"/>
        <w:rPr>
          <w:rFonts w:hAnsi="宋体"/>
          <w:color w:val="000000"/>
        </w:rPr>
      </w:pPr>
      <w:r>
        <w:rPr>
          <w:rFonts w:ascii="宋体" w:hAnsi="宋体"/>
          <w:sz w:val="24"/>
        </w:rPr>
        <w:t>3</w:t>
      </w:r>
      <w:r>
        <w:rPr>
          <w:rFonts w:hint="eastAsia" w:ascii="宋体" w:hAnsi="宋体"/>
          <w:sz w:val="24"/>
        </w:rPr>
        <w:t>、</w:t>
      </w:r>
      <w:r>
        <w:rPr>
          <w:rFonts w:ascii="宋体" w:hAnsi="宋体"/>
          <w:sz w:val="24"/>
        </w:rPr>
        <w:t>投标文件只允许有一个报价，有选择的</w:t>
      </w:r>
      <w:r>
        <w:rPr>
          <w:rFonts w:hint="eastAsia" w:ascii="宋体" w:hAnsi="宋体"/>
          <w:sz w:val="24"/>
        </w:rPr>
        <w:t>或有条件的</w:t>
      </w:r>
      <w:r>
        <w:rPr>
          <w:rFonts w:ascii="宋体" w:hAnsi="宋体"/>
          <w:sz w:val="24"/>
        </w:rPr>
        <w:t>报价将不予接受。</w:t>
      </w:r>
    </w:p>
    <w:p>
      <w:pPr>
        <w:snapToGrid w:val="0"/>
        <w:spacing w:line="360" w:lineRule="auto"/>
        <w:ind w:firstLine="480"/>
        <w:rPr>
          <w:rFonts w:hint="eastAsia" w:ascii="宋体" w:eastAsia="宋体"/>
          <w:color w:val="000000"/>
          <w:sz w:val="24"/>
          <w:lang w:eastAsia="zh-CN"/>
        </w:rPr>
      </w:pPr>
      <w:r>
        <w:rPr>
          <w:rFonts w:hint="eastAsia" w:ascii="宋体"/>
          <w:color w:val="000000"/>
          <w:sz w:val="24"/>
        </w:rPr>
        <w:t>4、投标供应商的最终报价由投标供应商自担全部风险责任，中标后不得以任何理由调整报价或追加任何费用</w:t>
      </w:r>
      <w:r>
        <w:rPr>
          <w:rFonts w:hint="eastAsia" w:ascii="宋体"/>
          <w:color w:val="000000"/>
          <w:sz w:val="24"/>
          <w:lang w:eastAsia="zh-CN"/>
        </w:rPr>
        <w:t>。</w:t>
      </w:r>
    </w:p>
    <w:p>
      <w:pPr>
        <w:snapToGrid w:val="0"/>
        <w:spacing w:line="360" w:lineRule="auto"/>
        <w:ind w:firstLine="480"/>
        <w:rPr>
          <w:rFonts w:hint="eastAsia" w:ascii="宋体" w:eastAsia="宋体"/>
          <w:color w:val="000000"/>
          <w:sz w:val="24"/>
          <w:lang w:eastAsia="zh-CN"/>
        </w:rPr>
      </w:pPr>
      <w:r>
        <w:rPr>
          <w:rFonts w:hint="eastAsia" w:ascii="宋体"/>
          <w:color w:val="000000"/>
          <w:sz w:val="24"/>
        </w:rPr>
        <w:t>5、投标供应商所有优惠条件和优惠费用不得降低和影响本采购项目质量</w:t>
      </w:r>
      <w:r>
        <w:rPr>
          <w:rFonts w:hint="eastAsia" w:ascii="宋体"/>
          <w:color w:val="000000"/>
          <w:sz w:val="24"/>
          <w:lang w:eastAsia="zh-CN"/>
        </w:rPr>
        <w:t>。</w:t>
      </w:r>
    </w:p>
    <w:p>
      <w:pPr>
        <w:snapToGrid w:val="0"/>
        <w:spacing w:line="360" w:lineRule="auto"/>
        <w:ind w:firstLine="480"/>
        <w:rPr>
          <w:rFonts w:hint="eastAsia" w:ascii="宋体" w:eastAsia="宋体"/>
          <w:color w:val="000000"/>
          <w:sz w:val="24"/>
          <w:lang w:eastAsia="zh-CN"/>
        </w:rPr>
      </w:pPr>
      <w:r>
        <w:rPr>
          <w:rFonts w:hint="eastAsia" w:ascii="宋体"/>
          <w:color w:val="000000"/>
          <w:sz w:val="24"/>
        </w:rPr>
        <w:t>6、报价如单价与总价不符时，以单价为准；大写与小写不符时以大写为准</w:t>
      </w:r>
      <w:r>
        <w:rPr>
          <w:rFonts w:hint="eastAsia" w:ascii="宋体"/>
          <w:color w:val="000000"/>
          <w:sz w:val="24"/>
          <w:lang w:eastAsia="zh-CN"/>
        </w:rPr>
        <w:t>。</w:t>
      </w:r>
    </w:p>
    <w:p>
      <w:pPr>
        <w:snapToGrid w:val="0"/>
        <w:spacing w:line="360" w:lineRule="auto"/>
        <w:ind w:firstLine="480"/>
        <w:rPr>
          <w:rFonts w:hint="eastAsia" w:ascii="宋体" w:eastAsia="宋体"/>
          <w:color w:val="000000"/>
          <w:sz w:val="24"/>
          <w:lang w:eastAsia="zh-CN"/>
        </w:rPr>
      </w:pPr>
      <w:r>
        <w:rPr>
          <w:rFonts w:hint="eastAsia" w:ascii="宋体"/>
          <w:color w:val="000000"/>
          <w:sz w:val="24"/>
        </w:rPr>
        <w:t>7、投标供应商对采购文件里有关投标报价的全部内容应仔细确认，若有个别异议，应在开标前提出修改意见，否则视同全部确认</w:t>
      </w:r>
      <w:r>
        <w:rPr>
          <w:rFonts w:hint="eastAsia" w:ascii="宋体"/>
          <w:color w:val="000000"/>
          <w:sz w:val="24"/>
          <w:lang w:eastAsia="zh-CN"/>
        </w:rPr>
        <w:t>。</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（四）投标文件的有效期</w:t>
      </w:r>
    </w:p>
    <w:p>
      <w:pPr>
        <w:pStyle w:val="12"/>
        <w:widowControl w:val="0"/>
        <w:tabs>
          <w:tab w:val="clear" w:pos="454"/>
        </w:tabs>
        <w:snapToGrid w:val="0"/>
        <w:spacing w:afterLines="0" w:line="500" w:lineRule="exact"/>
        <w:ind w:left="0" w:firstLine="480" w:firstLineChars="200"/>
        <w:jc w:val="both"/>
        <w:rPr>
          <w:rFonts w:ascii="宋体" w:hAnsi="宋体" w:cs="仿宋"/>
          <w:szCs w:val="24"/>
        </w:rPr>
      </w:pPr>
      <w:r>
        <w:rPr>
          <w:rFonts w:hint="eastAsia" w:ascii="宋体" w:hAnsi="宋体" w:cs="仿宋"/>
          <w:szCs w:val="24"/>
        </w:rPr>
        <w:t>▲1、自投标截止日起</w:t>
      </w:r>
      <w:r>
        <w:rPr>
          <w:rFonts w:hint="eastAsia" w:ascii="宋体" w:hAnsi="宋体" w:cs="仿宋"/>
          <w:szCs w:val="24"/>
          <w:u w:val="single"/>
        </w:rPr>
        <w:t>60</w:t>
      </w:r>
      <w:r>
        <w:rPr>
          <w:rFonts w:hint="eastAsia" w:ascii="宋体" w:hAnsi="宋体" w:cs="仿宋"/>
          <w:szCs w:val="24"/>
        </w:rPr>
        <w:t>天投标文件应保持有效。有效期不足的投标文件将被拒绝。</w:t>
      </w:r>
    </w:p>
    <w:p>
      <w:pPr>
        <w:pStyle w:val="12"/>
        <w:widowControl w:val="0"/>
        <w:tabs>
          <w:tab w:val="clear" w:pos="454"/>
        </w:tabs>
        <w:snapToGrid w:val="0"/>
        <w:spacing w:afterLines="0" w:line="500" w:lineRule="exact"/>
        <w:ind w:left="0" w:firstLine="480" w:firstLineChars="200"/>
        <w:jc w:val="both"/>
        <w:rPr>
          <w:rFonts w:ascii="宋体" w:hAnsi="宋体" w:cs="仿宋"/>
          <w:szCs w:val="24"/>
        </w:rPr>
      </w:pPr>
      <w:r>
        <w:rPr>
          <w:rFonts w:hint="eastAsia" w:ascii="宋体" w:hAnsi="宋体" w:cs="仿宋"/>
          <w:szCs w:val="24"/>
        </w:rPr>
        <w:t>2、在特殊情况下，采购单位可与投标供应商协商延长投标书的有效期，这种要求和答复均以书面形式进行。</w:t>
      </w:r>
    </w:p>
    <w:p>
      <w:pPr>
        <w:snapToGrid w:val="0"/>
        <w:spacing w:line="500" w:lineRule="exact"/>
        <w:ind w:firstLine="480" w:firstLineChars="200"/>
        <w:rPr>
          <w:rFonts w:ascii="宋体" w:hAnsi="宋体" w:cs="仿宋"/>
          <w:b/>
          <w:sz w:val="24"/>
        </w:rPr>
      </w:pPr>
      <w:r>
        <w:rPr>
          <w:rFonts w:hint="eastAsia" w:ascii="宋体" w:hAnsi="宋体" w:cs="仿宋"/>
          <w:sz w:val="24"/>
        </w:rPr>
        <w:t>3、投标供应商可拒绝接受延期要求。同意延长有效期的投标供应商需要相应延长投标保证金的有效期，但不能修改投标文件。</w:t>
      </w:r>
      <w:r>
        <w:rPr>
          <w:rFonts w:hint="eastAsia" w:ascii="宋体" w:hAnsi="宋体" w:cs="仿宋"/>
          <w:b/>
          <w:sz w:val="24"/>
        </w:rPr>
        <w:t xml:space="preserve"> </w:t>
      </w:r>
    </w:p>
    <w:p>
      <w:pPr>
        <w:snapToGrid w:val="0"/>
        <w:spacing w:line="500" w:lineRule="exact"/>
        <w:ind w:firstLine="480" w:firstLineChars="200"/>
        <w:rPr>
          <w:rFonts w:ascii="宋体" w:hAnsi="宋体" w:cs="仿宋"/>
          <w:b/>
          <w:sz w:val="24"/>
        </w:rPr>
      </w:pPr>
      <w:r>
        <w:rPr>
          <w:rFonts w:hint="eastAsia" w:ascii="宋体" w:hAnsi="宋体" w:cs="仿宋"/>
          <w:sz w:val="24"/>
        </w:rPr>
        <w:t>4、中标人的投标文件自开标之日起至合同履行完毕止均应保持有效。</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（五）投标文件的编制</w:t>
      </w:r>
    </w:p>
    <w:p>
      <w:pPr>
        <w:snapToGrid w:val="0"/>
        <w:spacing w:line="500" w:lineRule="exact"/>
        <w:ind w:firstLine="480" w:firstLineChars="200"/>
        <w:rPr>
          <w:rFonts w:ascii="宋体" w:hAnsi="宋体" w:cs="仿宋"/>
          <w:bCs/>
          <w:sz w:val="24"/>
        </w:rPr>
      </w:pPr>
      <w:r>
        <w:rPr>
          <w:rFonts w:hint="eastAsia" w:ascii="宋体" w:hAnsi="宋体" w:cs="仿宋"/>
          <w:bCs/>
          <w:sz w:val="24"/>
        </w:rPr>
        <w:t>1、本项目通过“政府采购云平台（www.zcygov.cn）”实行在线投标响应（电子投标）。投标供应商应通过“政采云电子交易客户端”，并按照本采购文件和“政府采购云平台”的要求编制并加密投标文件。</w:t>
      </w:r>
    </w:p>
    <w:p>
      <w:pPr>
        <w:snapToGrid w:val="0"/>
        <w:spacing w:line="500" w:lineRule="exact"/>
        <w:ind w:firstLine="480" w:firstLineChars="200"/>
        <w:rPr>
          <w:rFonts w:ascii="宋体" w:hAnsi="宋体" w:cs="仿宋"/>
          <w:bCs/>
          <w:sz w:val="24"/>
        </w:rPr>
      </w:pPr>
      <w:r>
        <w:rPr>
          <w:rFonts w:hint="eastAsia" w:ascii="宋体" w:hAnsi="宋体" w:cs="仿宋"/>
          <w:bCs/>
          <w:sz w:val="24"/>
        </w:rPr>
        <w:t>2、投标供应商应当按照本章节“投标文件的组成”规定的内容及顺序在“政采云电子交易客户端”编制投标文件。其中《资格文件》和《商务技术资信及其他文件》中不得出现本项目投标报价，如因投标供应商原因提前泄露投标报价，是投标供应商的责任。</w:t>
      </w:r>
    </w:p>
    <w:p>
      <w:pPr>
        <w:snapToGrid w:val="0"/>
        <w:spacing w:line="500" w:lineRule="exact"/>
        <w:ind w:firstLine="480" w:firstLineChars="200"/>
        <w:rPr>
          <w:rFonts w:ascii="宋体" w:hAnsi="宋体" w:cs="仿宋"/>
          <w:bCs/>
          <w:sz w:val="24"/>
        </w:rPr>
      </w:pPr>
      <w:r>
        <w:rPr>
          <w:rFonts w:hint="eastAsia" w:ascii="宋体" w:hAnsi="宋体" w:cs="仿宋"/>
          <w:bCs/>
          <w:sz w:val="24"/>
        </w:rPr>
        <w:t>3、本采购文件中有提供格式的，投标供应商须参照格式进行编制（格式中要求提供相关证明材料的还需后附相关证明材料），并按格式要求在指定位置根据要求进行签章，未提供格式的，请各投标供应商自行拟定格式，并加盖单位公章并由法定代表人或其授权代表签署（盖章），否则视为未提供。</w:t>
      </w:r>
    </w:p>
    <w:p>
      <w:pPr>
        <w:snapToGrid w:val="0"/>
        <w:spacing w:line="500" w:lineRule="exact"/>
        <w:ind w:firstLine="480" w:firstLineChars="200"/>
        <w:rPr>
          <w:rFonts w:ascii="宋体" w:hAnsi="宋体" w:cs="仿宋"/>
          <w:bCs/>
          <w:sz w:val="24"/>
        </w:rPr>
      </w:pPr>
      <w:r>
        <w:rPr>
          <w:rFonts w:hint="eastAsia" w:ascii="宋体" w:hAnsi="宋体" w:cs="仿宋"/>
          <w:bCs/>
          <w:sz w:val="24"/>
        </w:rPr>
        <w:t>4、《投标文件》内容不完整、编排混乱导致《投标文件》被误读、漏读或者查找不到相关内容的，是投标供应商的责任。</w:t>
      </w:r>
    </w:p>
    <w:p>
      <w:pPr>
        <w:snapToGrid w:val="0"/>
        <w:spacing w:line="500" w:lineRule="exact"/>
        <w:ind w:firstLine="480" w:firstLineChars="200"/>
        <w:rPr>
          <w:rFonts w:ascii="宋体" w:hAnsi="宋体" w:cs="仿宋"/>
          <w:bCs/>
          <w:sz w:val="24"/>
        </w:rPr>
      </w:pPr>
      <w:r>
        <w:rPr>
          <w:rFonts w:hint="eastAsia" w:ascii="宋体" w:hAnsi="宋体" w:cs="仿宋"/>
          <w:bCs/>
          <w:sz w:val="24"/>
        </w:rPr>
        <w:t>5、《投标文件》因字迹潦草、上传的内容不清楚或表达不清所引起的后果由投标供应商负责。</w:t>
      </w:r>
    </w:p>
    <w:p>
      <w:pPr>
        <w:snapToGrid w:val="0"/>
        <w:spacing w:line="500" w:lineRule="exact"/>
        <w:ind w:firstLine="480" w:firstLineChars="200"/>
        <w:rPr>
          <w:rFonts w:ascii="宋体" w:hAnsi="宋体" w:cs="仿宋"/>
          <w:bCs/>
          <w:sz w:val="24"/>
        </w:rPr>
      </w:pPr>
      <w:r>
        <w:rPr>
          <w:rFonts w:hint="eastAsia" w:ascii="宋体" w:hAnsi="宋体" w:cs="仿宋"/>
          <w:bCs/>
          <w:sz w:val="24"/>
        </w:rPr>
        <w:t>6、投标供应商没有按照本采购文件中“投标文件组成”要求提供全部资料，或者没有仔细阅读采购文件，或者没有对采购文件在各方面的要求作出实质性响应是投标供应商的风险，由此造成的一切后果由投标供应商自行承担。</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（六）投标文件的签章</w:t>
      </w:r>
    </w:p>
    <w:p>
      <w:pPr>
        <w:snapToGrid w:val="0"/>
        <w:spacing w:line="500" w:lineRule="exact"/>
        <w:ind w:firstLine="480" w:firstLineChars="200"/>
        <w:rPr>
          <w:rFonts w:hint="eastAsia" w:ascii="宋体" w:hAnsi="宋体" w:eastAsia="宋体" w:cs="仿宋"/>
          <w:bCs/>
          <w:sz w:val="24"/>
          <w:lang w:eastAsia="zh-CN"/>
        </w:rPr>
      </w:pPr>
      <w:r>
        <w:rPr>
          <w:rFonts w:hint="eastAsia" w:ascii="宋体" w:hAnsi="宋体" w:cs="仿宋"/>
          <w:bCs/>
          <w:sz w:val="24"/>
        </w:rPr>
        <w:t>1、《投标文件》的签章：使用电子签章</w:t>
      </w:r>
      <w:r>
        <w:rPr>
          <w:rFonts w:hint="eastAsia" w:ascii="宋体" w:hAnsi="宋体" w:cs="仿宋"/>
          <w:bCs/>
          <w:sz w:val="24"/>
          <w:lang w:eastAsia="zh-CN"/>
        </w:rPr>
        <w:t>。</w:t>
      </w:r>
    </w:p>
    <w:p>
      <w:pPr>
        <w:snapToGrid w:val="0"/>
        <w:spacing w:line="500" w:lineRule="exact"/>
        <w:ind w:firstLine="480" w:firstLineChars="200"/>
        <w:rPr>
          <w:rFonts w:ascii="宋体" w:hAnsi="宋体" w:cs="仿宋"/>
          <w:bCs/>
          <w:sz w:val="24"/>
        </w:rPr>
      </w:pPr>
      <w:r>
        <w:rPr>
          <w:rFonts w:hint="eastAsia" w:ascii="宋体" w:hAnsi="宋体" w:cs="仿宋"/>
          <w:bCs/>
          <w:sz w:val="24"/>
        </w:rPr>
        <w:t>2、《投标文件》应由投标供应商法定代表人或其授权代表签字（或盖章），并同时加盖单位公章。</w:t>
      </w:r>
    </w:p>
    <w:p>
      <w:pPr>
        <w:snapToGrid w:val="0"/>
        <w:spacing w:line="500" w:lineRule="exact"/>
        <w:ind w:firstLine="480" w:firstLineChars="200"/>
        <w:rPr>
          <w:rFonts w:ascii="宋体" w:hAnsi="宋体" w:cs="仿宋"/>
          <w:bCs/>
          <w:sz w:val="24"/>
        </w:rPr>
      </w:pPr>
      <w:r>
        <w:rPr>
          <w:rFonts w:hint="eastAsia" w:ascii="宋体" w:hAnsi="宋体" w:cs="仿宋"/>
          <w:bCs/>
          <w:sz w:val="24"/>
        </w:rPr>
        <w:t>3、参与在线投标时如遇平台技术问题详询400-881-7190。</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（七）投标文件的形式</w:t>
      </w:r>
    </w:p>
    <w:p>
      <w:pPr>
        <w:snapToGrid w:val="0"/>
        <w:spacing w:line="500" w:lineRule="exact"/>
        <w:ind w:firstLine="480" w:firstLineChars="200"/>
        <w:rPr>
          <w:rFonts w:ascii="宋体" w:hAnsi="宋体" w:cs="仿宋"/>
          <w:bCs/>
          <w:sz w:val="24"/>
        </w:rPr>
      </w:pPr>
      <w:r>
        <w:rPr>
          <w:rFonts w:hint="eastAsia" w:ascii="宋体" w:hAnsi="宋体" w:cs="仿宋"/>
          <w:bCs/>
          <w:sz w:val="24"/>
        </w:rPr>
        <w:t>1、投标文件的形式：见《前附表》</w:t>
      </w:r>
      <w:r>
        <w:rPr>
          <w:rFonts w:hint="eastAsia" w:ascii="宋体" w:hAnsi="宋体" w:cs="仿宋"/>
          <w:bCs/>
          <w:sz w:val="24"/>
          <w:lang w:eastAsia="zh-CN"/>
        </w:rPr>
        <w:t>。</w:t>
      </w:r>
    </w:p>
    <w:p>
      <w:pPr>
        <w:snapToGrid w:val="0"/>
        <w:spacing w:line="500" w:lineRule="exact"/>
        <w:ind w:firstLine="480" w:firstLineChars="200"/>
        <w:rPr>
          <w:rFonts w:ascii="宋体" w:hAnsi="宋体" w:cs="仿宋"/>
          <w:bCs/>
          <w:sz w:val="24"/>
        </w:rPr>
      </w:pPr>
      <w:r>
        <w:rPr>
          <w:rFonts w:hint="eastAsia" w:ascii="宋体" w:hAnsi="宋体" w:cs="仿宋"/>
          <w:bCs/>
          <w:sz w:val="24"/>
        </w:rPr>
        <w:t>2、“电子加密投标文件”：“电子加密投标文件”是指通过“政采云电子交易客户端”完成投标文件编制后生成并加密的数据电文形式的投标文件。</w:t>
      </w:r>
    </w:p>
    <w:p>
      <w:pPr>
        <w:snapToGrid w:val="0"/>
        <w:spacing w:line="500" w:lineRule="exact"/>
        <w:ind w:firstLine="480" w:firstLineChars="200"/>
        <w:rPr>
          <w:rFonts w:ascii="宋体" w:hAnsi="宋体" w:cs="仿宋"/>
          <w:bCs/>
          <w:sz w:val="24"/>
        </w:rPr>
      </w:pPr>
      <w:r>
        <w:rPr>
          <w:rFonts w:hint="eastAsia" w:ascii="宋体" w:hAnsi="宋体" w:cs="仿宋"/>
          <w:bCs/>
          <w:sz w:val="24"/>
        </w:rPr>
        <w:t>3、“备份投标文件”：“备份投标文件”是指与“电子加密投标文件”同时生成的数据电文形式的电子文件（备份标书），其他方式编制的“备份投标文件”视为无效的“备份投标文件”。</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（八）投标文件的份数：投标文件的份数：</w:t>
      </w:r>
      <w:r>
        <w:rPr>
          <w:rFonts w:hint="eastAsia" w:ascii="宋体" w:hAnsi="宋体" w:cs="仿宋"/>
          <w:bCs/>
          <w:sz w:val="24"/>
        </w:rPr>
        <w:t>见《前附表》</w:t>
      </w:r>
      <w:r>
        <w:rPr>
          <w:rFonts w:hint="eastAsia" w:ascii="宋体" w:hAnsi="宋体" w:cs="仿宋"/>
          <w:b w:val="0"/>
          <w:bCs/>
          <w:sz w:val="24"/>
        </w:rPr>
        <w:t>。</w:t>
      </w:r>
    </w:p>
    <w:p>
      <w:pPr>
        <w:snapToGrid w:val="0"/>
        <w:spacing w:beforeLines="50" w:line="360" w:lineRule="auto"/>
        <w:ind w:firstLine="482" w:firstLineChars="200"/>
        <w:jc w:val="left"/>
        <w:rPr>
          <w:rFonts w:ascii="宋体" w:hAnsi="宋体" w:cs="宋体"/>
          <w:sz w:val="24"/>
        </w:rPr>
      </w:pPr>
      <w:r>
        <w:rPr>
          <w:rFonts w:hint="eastAsia" w:ascii="宋体" w:hAnsi="宋体" w:cs="宋体"/>
          <w:b/>
          <w:sz w:val="24"/>
        </w:rPr>
        <w:t>（九）投标文件的上传和递交：</w:t>
      </w:r>
      <w:r>
        <w:rPr>
          <w:rFonts w:hint="eastAsia" w:ascii="宋体" w:hAnsi="宋体" w:cs="宋体"/>
          <w:sz w:val="24"/>
        </w:rPr>
        <w:t>见《前附表》。</w:t>
      </w:r>
    </w:p>
    <w:p>
      <w:pPr>
        <w:snapToGrid w:val="0"/>
        <w:spacing w:beforeLines="50" w:line="360" w:lineRule="auto"/>
        <w:ind w:firstLine="482" w:firstLineChars="200"/>
        <w:jc w:val="left"/>
        <w:rPr>
          <w:rFonts w:ascii="宋体" w:hAnsi="宋体" w:cs="宋体"/>
          <w:sz w:val="24"/>
        </w:rPr>
      </w:pPr>
      <w:r>
        <w:rPr>
          <w:rFonts w:hint="eastAsia" w:ascii="宋体" w:hAnsi="宋体" w:cs="宋体"/>
          <w:b/>
          <w:sz w:val="24"/>
        </w:rPr>
        <w:t>（十）“电子加密投标文件”解密和异常情况处理：</w:t>
      </w:r>
      <w:r>
        <w:rPr>
          <w:rFonts w:hint="eastAsia" w:ascii="宋体" w:hAnsi="宋体" w:cs="宋体"/>
          <w:sz w:val="24"/>
        </w:rPr>
        <w:t>见《前附表》。</w:t>
      </w:r>
    </w:p>
    <w:p>
      <w:pPr>
        <w:snapToGrid w:val="0"/>
        <w:spacing w:beforeLines="50" w:line="360" w:lineRule="auto"/>
        <w:ind w:firstLine="482" w:firstLineChars="200"/>
        <w:jc w:val="left"/>
        <w:rPr>
          <w:rFonts w:ascii="宋体" w:hAnsi="宋体" w:cs="宋体"/>
          <w:b/>
          <w:sz w:val="24"/>
        </w:rPr>
      </w:pPr>
      <w:r>
        <w:rPr>
          <w:rFonts w:hint="eastAsia" w:ascii="宋体" w:hAnsi="宋体" w:cs="宋体"/>
          <w:b/>
          <w:sz w:val="24"/>
        </w:rPr>
        <w:t>（十一）投标文件的补充、修改或撤回</w:t>
      </w:r>
    </w:p>
    <w:p>
      <w:pPr>
        <w:spacing w:line="360" w:lineRule="auto"/>
        <w:ind w:firstLine="424" w:firstLineChars="177"/>
        <w:rPr>
          <w:rFonts w:ascii="宋体" w:hAnsi="宋体" w:cs="宋体"/>
          <w:bCs/>
          <w:sz w:val="24"/>
        </w:rPr>
      </w:pPr>
      <w:r>
        <w:rPr>
          <w:rFonts w:hint="eastAsia" w:ascii="宋体" w:hAnsi="宋体" w:cs="宋体"/>
          <w:bCs/>
          <w:sz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napToGrid w:val="0"/>
        <w:spacing w:line="360" w:lineRule="auto"/>
        <w:ind w:firstLine="480" w:firstLineChars="200"/>
        <w:outlineLvl w:val="2"/>
      </w:pPr>
      <w:r>
        <w:rPr>
          <w:rFonts w:hint="eastAsia" w:ascii="宋体" w:hAnsi="宋体" w:cs="宋体"/>
          <w:bCs/>
          <w:sz w:val="24"/>
        </w:rPr>
        <w:t>2、投标截止时间后，投标供应商不得撤回、修改《投标文件》。</w:t>
      </w:r>
    </w:p>
    <w:p>
      <w:pPr>
        <w:spacing w:line="500" w:lineRule="exact"/>
        <w:jc w:val="center"/>
        <w:outlineLvl w:val="1"/>
        <w:rPr>
          <w:rFonts w:ascii="宋体" w:hAnsi="宋体" w:cs="仿宋"/>
          <w:b/>
          <w:sz w:val="32"/>
          <w:szCs w:val="32"/>
        </w:rPr>
      </w:pPr>
      <w:bookmarkStart w:id="21" w:name="_Toc16193"/>
      <w:r>
        <w:rPr>
          <w:rFonts w:hint="eastAsia" w:ascii="宋体" w:hAnsi="宋体" w:cs="仿宋"/>
          <w:b/>
          <w:sz w:val="32"/>
          <w:szCs w:val="32"/>
        </w:rPr>
        <w:t>四、开标</w:t>
      </w:r>
      <w:bookmarkEnd w:id="21"/>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（一）开标形式</w:t>
      </w:r>
    </w:p>
    <w:p>
      <w:pPr>
        <w:pStyle w:val="27"/>
        <w:spacing w:line="500" w:lineRule="exact"/>
        <w:ind w:firstLine="480" w:firstLineChars="200"/>
        <w:rPr>
          <w:rFonts w:hAnsi="宋体" w:cs="仿宋"/>
          <w:sz w:val="24"/>
          <w:szCs w:val="24"/>
        </w:rPr>
      </w:pPr>
      <w:r>
        <w:rPr>
          <w:rFonts w:hint="eastAsia" w:hAnsi="宋体" w:cs="仿宋"/>
          <w:sz w:val="24"/>
          <w:szCs w:val="24"/>
        </w:rPr>
        <w:t>采购代理机构将按照采购文件规定的时间通过“政府采购云平台”组织开标、开启投标文件，所有投标供应商均应当准时在线参加。</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（二）开标准备</w:t>
      </w:r>
    </w:p>
    <w:p>
      <w:pPr>
        <w:pStyle w:val="27"/>
        <w:spacing w:line="500" w:lineRule="exact"/>
        <w:ind w:firstLine="480" w:firstLineChars="200"/>
        <w:rPr>
          <w:rFonts w:hint="eastAsia" w:hAnsi="宋体" w:eastAsia="宋体" w:cs="仿宋"/>
          <w:sz w:val="24"/>
          <w:szCs w:val="24"/>
          <w:lang w:eastAsia="zh-CN"/>
        </w:rPr>
      </w:pPr>
      <w:r>
        <w:rPr>
          <w:rFonts w:hint="eastAsia" w:hAnsi="宋体" w:cs="仿宋"/>
          <w:sz w:val="24"/>
          <w:szCs w:val="24"/>
        </w:rPr>
        <w:t>1、开标的准备工作由采购代理机构负责落实</w:t>
      </w:r>
      <w:r>
        <w:rPr>
          <w:rFonts w:hint="eastAsia" w:hAnsi="宋体" w:cs="仿宋"/>
          <w:sz w:val="24"/>
          <w:szCs w:val="24"/>
          <w:lang w:eastAsia="zh-CN"/>
        </w:rPr>
        <w:t>。</w:t>
      </w:r>
    </w:p>
    <w:p>
      <w:pPr>
        <w:pStyle w:val="27"/>
        <w:spacing w:line="500" w:lineRule="exact"/>
        <w:ind w:firstLine="480" w:firstLineChars="200"/>
        <w:rPr>
          <w:rFonts w:hAnsi="宋体" w:cs="仿宋"/>
          <w:sz w:val="24"/>
          <w:szCs w:val="24"/>
        </w:rPr>
      </w:pPr>
      <w:r>
        <w:rPr>
          <w:rFonts w:hint="eastAsia" w:hAnsi="宋体" w:cs="仿宋"/>
          <w:sz w:val="24"/>
          <w:szCs w:val="24"/>
        </w:rPr>
        <w:t>2、</w:t>
      </w:r>
      <w:r>
        <w:rPr>
          <w:rFonts w:hint="eastAsia" w:hAnsi="宋体" w:cs="仿宋"/>
          <w:b/>
          <w:bCs/>
          <w:sz w:val="24"/>
          <w:szCs w:val="24"/>
        </w:rPr>
        <w:t>采购代理机构将按照采购文件规定的时间通过“政府采购云平台”组织开标、开启投标文件，所有投标供应商均应当准时在线参加。投标供应商如不参加开标大会的，视同认可开标结果，事后不得对采购相关人员、开标过程和开标结果提出异议，同时投标供应商因未在线参加开标而导致投标文件无法按时解密等一切后果由投标供应商自己承担</w:t>
      </w:r>
      <w:r>
        <w:rPr>
          <w:rFonts w:hint="eastAsia" w:hAnsi="宋体" w:cs="仿宋"/>
          <w:sz w:val="24"/>
          <w:szCs w:val="24"/>
        </w:rPr>
        <w:t>。</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（三）开标流程（两个阶段）</w:t>
      </w:r>
    </w:p>
    <w:p>
      <w:pPr>
        <w:snapToGrid w:val="0"/>
        <w:spacing w:line="500" w:lineRule="exact"/>
        <w:ind w:firstLine="482" w:firstLineChars="200"/>
        <w:outlineLvl w:val="3"/>
        <w:rPr>
          <w:rFonts w:ascii="宋体" w:hAnsi="宋体" w:cs="仿宋"/>
          <w:b/>
          <w:sz w:val="24"/>
        </w:rPr>
      </w:pPr>
      <w:r>
        <w:rPr>
          <w:rFonts w:hint="eastAsia" w:ascii="宋体" w:hAnsi="宋体" w:cs="仿宋"/>
          <w:b/>
          <w:sz w:val="24"/>
        </w:rPr>
        <w:t>1、开标第一阶段</w:t>
      </w:r>
    </w:p>
    <w:p>
      <w:pPr>
        <w:pStyle w:val="27"/>
        <w:spacing w:line="500" w:lineRule="exact"/>
        <w:ind w:firstLine="480" w:firstLineChars="200"/>
        <w:rPr>
          <w:rFonts w:hAnsi="宋体" w:cs="仿宋"/>
          <w:sz w:val="24"/>
          <w:szCs w:val="24"/>
        </w:rPr>
      </w:pPr>
      <w:r>
        <w:rPr>
          <w:rFonts w:hint="eastAsia" w:hAnsi="宋体" w:cs="仿宋"/>
          <w:sz w:val="24"/>
          <w:szCs w:val="24"/>
        </w:rPr>
        <w:t>（1）向各投标供应商发出电子加密投标文件【开始解密】通知，由投标供应商按采购文件规定的时间内自行进行投标文件解密。投标供应商在规定的时间内无法完成已递交的“电子加密投标文件”解密的，如已按规定递交了备份投标文件的，将由采购代理机构按“政府采购云平台”操作规范点击“异常处理”，由代理机构将备份投标文件上传至“政府采购云平台”，上传成功后，“电子加密投标文件”自动失效；</w:t>
      </w:r>
    </w:p>
    <w:p>
      <w:pPr>
        <w:pStyle w:val="27"/>
        <w:spacing w:line="500" w:lineRule="exact"/>
        <w:ind w:firstLine="480" w:firstLineChars="200"/>
        <w:rPr>
          <w:rFonts w:hAnsi="宋体" w:cs="仿宋"/>
          <w:sz w:val="24"/>
          <w:szCs w:val="24"/>
        </w:rPr>
      </w:pPr>
      <w:r>
        <w:rPr>
          <w:rFonts w:hint="eastAsia" w:hAnsi="宋体" w:cs="仿宋"/>
          <w:sz w:val="24"/>
          <w:szCs w:val="24"/>
        </w:rPr>
        <w:t>（2）投标文件解密结束，开启投标文件，进入资格审查；</w:t>
      </w:r>
    </w:p>
    <w:p>
      <w:pPr>
        <w:pStyle w:val="27"/>
        <w:spacing w:line="500" w:lineRule="exact"/>
        <w:ind w:firstLine="480" w:firstLineChars="200"/>
        <w:rPr>
          <w:rFonts w:hAnsi="宋体" w:cs="仿宋"/>
          <w:sz w:val="24"/>
          <w:szCs w:val="24"/>
        </w:rPr>
      </w:pPr>
      <w:r>
        <w:rPr>
          <w:rFonts w:hint="eastAsia" w:hAnsi="宋体" w:cs="仿宋"/>
          <w:sz w:val="24"/>
          <w:szCs w:val="24"/>
        </w:rPr>
        <w:t>（3）开启资格审查通过的投标供应商的商务技术资信及其他文件进入符合性审查、商务技术评审；</w:t>
      </w:r>
    </w:p>
    <w:p>
      <w:pPr>
        <w:pStyle w:val="27"/>
        <w:spacing w:line="500" w:lineRule="exact"/>
        <w:ind w:firstLine="480" w:firstLineChars="200"/>
        <w:rPr>
          <w:rFonts w:hAnsi="宋体" w:cs="仿宋"/>
          <w:sz w:val="24"/>
          <w:szCs w:val="24"/>
        </w:rPr>
      </w:pPr>
      <w:r>
        <w:rPr>
          <w:rFonts w:hint="eastAsia" w:hAnsi="宋体" w:cs="仿宋"/>
          <w:sz w:val="24"/>
          <w:szCs w:val="24"/>
        </w:rPr>
        <w:t>（4）第一阶段开标结束。</w:t>
      </w:r>
    </w:p>
    <w:p>
      <w:pPr>
        <w:pStyle w:val="27"/>
        <w:spacing w:line="500" w:lineRule="exact"/>
        <w:ind w:firstLine="482" w:firstLineChars="200"/>
        <w:rPr>
          <w:rFonts w:hAnsi="宋体" w:cs="仿宋"/>
          <w:b/>
          <w:bCs/>
          <w:sz w:val="24"/>
          <w:szCs w:val="24"/>
        </w:rPr>
      </w:pPr>
      <w:r>
        <w:rPr>
          <w:rFonts w:hint="eastAsia" w:hAnsi="宋体" w:cs="仿宋"/>
          <w:b/>
          <w:bCs/>
          <w:sz w:val="24"/>
          <w:szCs w:val="24"/>
        </w:rPr>
        <w:t>备注：开标大会的第一阶段结束后，采购人或采购代理机构将依法对投标供应商的资格进行审查，资格审查结束后进入符合性审查和商务技术的评审工作。</w:t>
      </w:r>
    </w:p>
    <w:p>
      <w:pPr>
        <w:snapToGrid w:val="0"/>
        <w:spacing w:line="500" w:lineRule="exact"/>
        <w:ind w:firstLine="482" w:firstLineChars="200"/>
        <w:outlineLvl w:val="3"/>
        <w:rPr>
          <w:rFonts w:ascii="宋体" w:hAnsi="宋体" w:cs="仿宋"/>
          <w:b/>
          <w:sz w:val="24"/>
        </w:rPr>
      </w:pPr>
      <w:r>
        <w:rPr>
          <w:rFonts w:hint="eastAsia" w:ascii="宋体" w:hAnsi="宋体" w:cs="仿宋"/>
          <w:b/>
          <w:sz w:val="24"/>
        </w:rPr>
        <w:t>2、开标大会第二阶段</w:t>
      </w:r>
    </w:p>
    <w:p>
      <w:pPr>
        <w:spacing w:line="500" w:lineRule="exact"/>
        <w:ind w:firstLine="480" w:firstLineChars="200"/>
        <w:jc w:val="left"/>
        <w:rPr>
          <w:rFonts w:ascii="宋体" w:hAnsi="宋体" w:cs="仿宋"/>
          <w:sz w:val="24"/>
        </w:rPr>
      </w:pPr>
      <w:r>
        <w:rPr>
          <w:rFonts w:hint="eastAsia" w:ascii="宋体" w:hAnsi="宋体" w:cs="仿宋"/>
          <w:sz w:val="24"/>
        </w:rPr>
        <w:t>（1）符合性审查、商务技术评审结束后，举行开标大会第二阶段会议。首先通过发送邮件形式公布符合性审查、商务技术评审无效投标供应商名称及理由；公布经商务技术评审后有效投标供应商的名单，同时公布其商务技术得分（总分）情况。</w:t>
      </w:r>
    </w:p>
    <w:p>
      <w:pPr>
        <w:spacing w:line="500" w:lineRule="exact"/>
        <w:ind w:firstLine="480" w:firstLineChars="200"/>
        <w:jc w:val="left"/>
        <w:rPr>
          <w:rFonts w:ascii="宋体" w:hAnsi="宋体" w:cs="仿宋"/>
          <w:sz w:val="24"/>
        </w:rPr>
      </w:pPr>
      <w:r>
        <w:rPr>
          <w:rFonts w:hint="eastAsia" w:ascii="宋体" w:hAnsi="宋体" w:cs="仿宋"/>
          <w:sz w:val="24"/>
        </w:rPr>
        <w:t>（2）开启符合性审查、商务技术评审有效投标供应商的《报价文件》，通过发送邮件形式公布开标记录表（所有投标供应商的报价），投标供应商对自己的报价金额有异议的通过发送邮件形式说明（不予说明视为无异议）。唱标结束后，由评标委员会对报价的合理性、准确性等进行审查核实。</w:t>
      </w:r>
    </w:p>
    <w:p>
      <w:pPr>
        <w:spacing w:line="500" w:lineRule="exact"/>
        <w:ind w:firstLine="480" w:firstLineChars="200"/>
        <w:jc w:val="left"/>
        <w:rPr>
          <w:rFonts w:ascii="宋体" w:hAnsi="宋体" w:cs="仿宋"/>
          <w:sz w:val="24"/>
        </w:rPr>
      </w:pPr>
      <w:r>
        <w:rPr>
          <w:rFonts w:hint="eastAsia" w:ascii="宋体" w:hAnsi="宋体" w:cs="仿宋"/>
          <w:sz w:val="24"/>
        </w:rPr>
        <w:t>（3）评审结束后，通过发送邮件形式公布中标候选投标供应商名单，及采购人最终确定中标人。</w:t>
      </w:r>
    </w:p>
    <w:p>
      <w:pPr>
        <w:spacing w:line="500" w:lineRule="exact"/>
        <w:ind w:firstLine="482" w:firstLineChars="200"/>
        <w:jc w:val="left"/>
        <w:rPr>
          <w:rFonts w:ascii="宋体" w:hAnsi="宋体" w:cs="仿宋"/>
          <w:b/>
          <w:bCs/>
          <w:sz w:val="24"/>
        </w:rPr>
      </w:pPr>
      <w:r>
        <w:rPr>
          <w:rFonts w:hint="eastAsia" w:ascii="宋体" w:hAnsi="宋体" w:cs="仿宋"/>
          <w:b/>
          <w:bCs/>
          <w:sz w:val="24"/>
        </w:rPr>
        <w:t>特别说明：如遇“政府采购云平台”电子化开标或评审程序调整的，按调整后程序执行。</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（四）投标供应商资格审查</w:t>
      </w:r>
    </w:p>
    <w:p>
      <w:pPr>
        <w:spacing w:line="500" w:lineRule="exact"/>
        <w:ind w:firstLine="480" w:firstLineChars="200"/>
        <w:jc w:val="left"/>
        <w:rPr>
          <w:rFonts w:ascii="宋体" w:hAnsi="宋体" w:cs="仿宋"/>
          <w:sz w:val="24"/>
        </w:rPr>
      </w:pPr>
      <w:r>
        <w:rPr>
          <w:rFonts w:hint="eastAsia" w:ascii="宋体" w:hAnsi="宋体" w:cs="仿宋"/>
          <w:sz w:val="24"/>
        </w:rPr>
        <w:t>1、开标大会第一阶段结束后，采购人或采购代理机构首先依法对各投标供应商的资格进行审查，审查各投标供应商的资格是否满足采购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500" w:lineRule="exact"/>
        <w:ind w:firstLine="480" w:firstLineChars="200"/>
        <w:jc w:val="left"/>
        <w:rPr>
          <w:rFonts w:ascii="宋体" w:hAnsi="宋体" w:cs="仿宋"/>
          <w:sz w:val="24"/>
        </w:rPr>
      </w:pPr>
      <w:r>
        <w:rPr>
          <w:rFonts w:hint="eastAsia" w:ascii="宋体" w:hAnsi="宋体" w:cs="仿宋"/>
          <w:sz w:val="24"/>
        </w:rPr>
        <w:t>2、投标供应商提交的资格证明材料无法证明其符合采购文件规定的“投标供应商资格要求”的，采购人或采购代理机构将对其作资格审查不通过处理（无效投标），并不再将其投标提交评标委员会进行后续评审。</w:t>
      </w:r>
    </w:p>
    <w:p>
      <w:pPr>
        <w:spacing w:line="500" w:lineRule="exact"/>
        <w:ind w:firstLine="480" w:firstLineChars="200"/>
        <w:jc w:val="left"/>
      </w:pPr>
      <w:r>
        <w:rPr>
          <w:rFonts w:hint="eastAsia" w:ascii="宋体" w:hAnsi="宋体" w:cs="仿宋"/>
          <w:sz w:val="24"/>
        </w:rPr>
        <w:t>3、单位负责人为同一人或者存在直接控股、管理关系的不同投标供应商参加同一项目下的政府采购活动的，相关投标供应商均作资格无效处理。</w:t>
      </w:r>
    </w:p>
    <w:p>
      <w:pPr>
        <w:spacing w:line="500" w:lineRule="exact"/>
        <w:jc w:val="center"/>
        <w:outlineLvl w:val="1"/>
        <w:rPr>
          <w:rFonts w:ascii="宋体" w:hAnsi="宋体" w:cs="仿宋"/>
          <w:b/>
          <w:sz w:val="32"/>
          <w:szCs w:val="32"/>
        </w:rPr>
      </w:pPr>
      <w:bookmarkStart w:id="22" w:name="_Toc17761"/>
      <w:r>
        <w:rPr>
          <w:rFonts w:hint="eastAsia" w:ascii="宋体" w:hAnsi="宋体" w:cs="仿宋"/>
          <w:b/>
          <w:sz w:val="32"/>
          <w:szCs w:val="32"/>
        </w:rPr>
        <w:t>五、评标</w:t>
      </w:r>
      <w:bookmarkEnd w:id="22"/>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（一）评审工作的组织</w:t>
      </w:r>
    </w:p>
    <w:p>
      <w:pPr>
        <w:spacing w:line="500" w:lineRule="exact"/>
        <w:ind w:firstLine="480" w:firstLineChars="200"/>
        <w:jc w:val="left"/>
        <w:rPr>
          <w:rFonts w:ascii="宋体" w:hAnsi="宋体" w:cs="仿宋"/>
          <w:sz w:val="24"/>
        </w:rPr>
      </w:pPr>
      <w:r>
        <w:rPr>
          <w:rFonts w:hint="eastAsia" w:ascii="宋体" w:hAnsi="宋体" w:cs="仿宋"/>
          <w:sz w:val="24"/>
        </w:rPr>
        <w:t>1、采购代理机构负责组织本项目的评审工作，并依据《政府采购货物和服务招标投标管理办法（财政部第87号令）》第四十五条的相关规定履行职责。</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（二）评标委员会的组建</w:t>
      </w:r>
    </w:p>
    <w:p>
      <w:pPr>
        <w:spacing w:line="500" w:lineRule="exact"/>
        <w:ind w:firstLine="480" w:firstLineChars="200"/>
        <w:jc w:val="left"/>
        <w:rPr>
          <w:rFonts w:ascii="宋体" w:hAnsi="宋体" w:cs="仿宋"/>
          <w:sz w:val="24"/>
        </w:rPr>
      </w:pPr>
      <w:r>
        <w:rPr>
          <w:rFonts w:hint="eastAsia" w:ascii="宋体" w:hAnsi="宋体" w:cs="仿宋"/>
          <w:sz w:val="24"/>
        </w:rPr>
        <w:t>1、评标委员会由采购人或采购代理机构依法组建，成员包括采购人代表和评审专家，成员人数为5人或以上单数，其中评审专家不少于成员总数的三分之二。</w:t>
      </w:r>
    </w:p>
    <w:p>
      <w:pPr>
        <w:spacing w:line="500" w:lineRule="exact"/>
        <w:ind w:firstLine="480" w:firstLineChars="200"/>
        <w:jc w:val="left"/>
        <w:rPr>
          <w:rFonts w:ascii="宋体" w:hAnsi="宋体" w:cs="仿宋"/>
          <w:sz w:val="24"/>
        </w:rPr>
      </w:pPr>
      <w:r>
        <w:rPr>
          <w:rFonts w:hint="eastAsia" w:ascii="宋体" w:hAnsi="宋体" w:cs="仿宋"/>
          <w:sz w:val="24"/>
        </w:rPr>
        <w:t>2、评标委员会成员名单在评审结果（采购结果）公告前保密。</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（三）评标委员会的职责</w:t>
      </w:r>
    </w:p>
    <w:p>
      <w:pPr>
        <w:spacing w:line="500" w:lineRule="exact"/>
        <w:ind w:firstLine="482" w:firstLineChars="200"/>
        <w:jc w:val="left"/>
        <w:rPr>
          <w:rFonts w:ascii="宋体" w:hAnsi="宋体" w:cs="仿宋"/>
          <w:b/>
          <w:bCs/>
          <w:sz w:val="24"/>
        </w:rPr>
      </w:pPr>
      <w:r>
        <w:rPr>
          <w:rFonts w:hint="eastAsia" w:ascii="宋体" w:hAnsi="宋体" w:cs="仿宋"/>
          <w:b/>
          <w:bCs/>
          <w:sz w:val="24"/>
        </w:rPr>
        <w:t>1、评标委员会负责具体评审事务，并独立履行下列职责：</w:t>
      </w:r>
    </w:p>
    <w:p>
      <w:pPr>
        <w:spacing w:line="500" w:lineRule="exact"/>
        <w:ind w:firstLine="480" w:firstLineChars="200"/>
        <w:jc w:val="left"/>
        <w:rPr>
          <w:rFonts w:ascii="宋体" w:hAnsi="宋体" w:cs="仿宋"/>
          <w:sz w:val="24"/>
        </w:rPr>
      </w:pPr>
      <w:r>
        <w:rPr>
          <w:rFonts w:hint="eastAsia" w:ascii="宋体" w:hAnsi="宋体" w:cs="仿宋"/>
          <w:sz w:val="24"/>
        </w:rPr>
        <w:t>（1）审查、评价投标文件是否符合采购文件的资信、技术等实质性要求；</w:t>
      </w:r>
    </w:p>
    <w:p>
      <w:pPr>
        <w:spacing w:line="500" w:lineRule="exact"/>
        <w:ind w:firstLine="480" w:firstLineChars="200"/>
        <w:jc w:val="left"/>
        <w:rPr>
          <w:rFonts w:ascii="宋体" w:hAnsi="宋体" w:cs="仿宋"/>
          <w:sz w:val="24"/>
        </w:rPr>
      </w:pPr>
      <w:r>
        <w:rPr>
          <w:rFonts w:hint="eastAsia" w:ascii="宋体" w:hAnsi="宋体" w:cs="仿宋"/>
          <w:sz w:val="24"/>
        </w:rPr>
        <w:t>（2）要求投标供应商对投标文件有关事项作出澄清或者说明；</w:t>
      </w:r>
    </w:p>
    <w:p>
      <w:pPr>
        <w:spacing w:line="500" w:lineRule="exact"/>
        <w:ind w:firstLine="480" w:firstLineChars="200"/>
        <w:jc w:val="left"/>
        <w:rPr>
          <w:rFonts w:ascii="宋体" w:hAnsi="宋体" w:cs="仿宋"/>
          <w:sz w:val="24"/>
        </w:rPr>
      </w:pPr>
      <w:r>
        <w:rPr>
          <w:rFonts w:hint="eastAsia" w:ascii="宋体" w:hAnsi="宋体" w:cs="仿宋"/>
          <w:sz w:val="24"/>
        </w:rPr>
        <w:t>（3）对投标文件进行比较和评价；</w:t>
      </w:r>
    </w:p>
    <w:p>
      <w:pPr>
        <w:spacing w:line="500" w:lineRule="exact"/>
        <w:ind w:firstLine="480" w:firstLineChars="200"/>
        <w:jc w:val="left"/>
        <w:rPr>
          <w:rFonts w:ascii="宋体" w:hAnsi="宋体" w:cs="仿宋"/>
          <w:sz w:val="24"/>
        </w:rPr>
      </w:pPr>
      <w:r>
        <w:rPr>
          <w:rFonts w:hint="eastAsia" w:ascii="宋体" w:hAnsi="宋体" w:cs="仿宋"/>
          <w:sz w:val="24"/>
        </w:rPr>
        <w:t>（4）确定中标候选人名单，以及根据采购人委托直接确定中标人；</w:t>
      </w:r>
    </w:p>
    <w:p>
      <w:pPr>
        <w:spacing w:line="500" w:lineRule="exact"/>
        <w:ind w:firstLine="480" w:firstLineChars="200"/>
        <w:jc w:val="left"/>
        <w:rPr>
          <w:rFonts w:ascii="宋体" w:hAnsi="宋体" w:cs="仿宋"/>
          <w:sz w:val="24"/>
        </w:rPr>
      </w:pPr>
      <w:r>
        <w:rPr>
          <w:rFonts w:hint="eastAsia" w:ascii="宋体" w:hAnsi="宋体" w:cs="仿宋"/>
          <w:sz w:val="24"/>
        </w:rPr>
        <w:t>（5）向采购人、采购代理机构或者有关部门报告评审中发现的违法行为。</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（四）评审原则</w:t>
      </w:r>
    </w:p>
    <w:p>
      <w:pPr>
        <w:spacing w:line="500" w:lineRule="exact"/>
        <w:ind w:firstLine="480" w:firstLineChars="200"/>
        <w:jc w:val="left"/>
        <w:rPr>
          <w:rFonts w:ascii="宋体" w:hAnsi="宋体" w:cs="仿宋"/>
          <w:sz w:val="24"/>
        </w:rPr>
      </w:pPr>
      <w:r>
        <w:rPr>
          <w:rFonts w:hint="eastAsia" w:ascii="宋体" w:hAnsi="宋体" w:cs="仿宋"/>
          <w:sz w:val="24"/>
        </w:rPr>
        <w:t>1、评审原则：评标委员会按照客观、公正、审慎、择优的原则，根据采购文件规定的评审程序、评审方法和评审标准进行独立评审。</w:t>
      </w:r>
    </w:p>
    <w:p>
      <w:pPr>
        <w:spacing w:line="500" w:lineRule="exact"/>
        <w:ind w:firstLine="480" w:firstLineChars="200"/>
        <w:jc w:val="left"/>
        <w:rPr>
          <w:rFonts w:ascii="宋体" w:hAnsi="宋体" w:cs="仿宋"/>
          <w:sz w:val="24"/>
        </w:rPr>
      </w:pPr>
      <w:r>
        <w:rPr>
          <w:rFonts w:hint="eastAsia" w:ascii="宋体" w:hAnsi="宋体" w:cs="仿宋"/>
          <w:sz w:val="24"/>
        </w:rPr>
        <w:t>2、评审工作将依据采购文件、投标文件及采购文件中事先已列明的内容进行。</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（五）评审意见的争议处理</w:t>
      </w:r>
    </w:p>
    <w:p>
      <w:pPr>
        <w:spacing w:line="500" w:lineRule="exact"/>
        <w:ind w:firstLine="480" w:firstLineChars="200"/>
        <w:jc w:val="left"/>
        <w:rPr>
          <w:rFonts w:ascii="宋体" w:hAnsi="宋体" w:cs="仿宋"/>
          <w:sz w:val="24"/>
        </w:rPr>
      </w:pPr>
      <w:r>
        <w:rPr>
          <w:rFonts w:hint="eastAsia" w:ascii="宋体" w:hAnsi="宋体" w:cs="仿宋"/>
          <w:sz w:val="24"/>
        </w:rPr>
        <w:t>评标委员会成员对需要共同认定的事项存在争议的，按照少数服从多数的原则作出结论。持不同意见的评标委员会成员应当在评审报告上签署不同意见及理由，否则视为同意评审报告。</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（六）评委纪律</w:t>
      </w:r>
    </w:p>
    <w:p>
      <w:pPr>
        <w:spacing w:line="500" w:lineRule="exact"/>
        <w:ind w:firstLine="480" w:firstLineChars="200"/>
        <w:jc w:val="left"/>
        <w:rPr>
          <w:rFonts w:ascii="宋体" w:hAnsi="宋体" w:cs="仿宋"/>
          <w:sz w:val="24"/>
        </w:rPr>
      </w:pPr>
      <w:r>
        <w:rPr>
          <w:rFonts w:hint="eastAsia" w:ascii="宋体" w:hAnsi="宋体" w:cs="仿宋"/>
          <w:sz w:val="24"/>
        </w:rPr>
        <w:t>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（七）评审流程及内容</w:t>
      </w:r>
    </w:p>
    <w:p>
      <w:pPr>
        <w:spacing w:line="500" w:lineRule="exact"/>
        <w:ind w:firstLine="482" w:firstLineChars="200"/>
        <w:jc w:val="left"/>
        <w:rPr>
          <w:rFonts w:ascii="宋体" w:hAnsi="宋体" w:cs="仿宋"/>
          <w:b/>
          <w:bCs/>
          <w:sz w:val="24"/>
        </w:rPr>
      </w:pPr>
      <w:r>
        <w:rPr>
          <w:rFonts w:hint="eastAsia" w:ascii="宋体" w:hAnsi="宋体" w:cs="仿宋"/>
          <w:b/>
          <w:bCs/>
          <w:sz w:val="24"/>
        </w:rPr>
        <w:t>本项目具体的评审事务由评标委员会负责，评审流程及内容如下：</w:t>
      </w:r>
    </w:p>
    <w:p>
      <w:pPr>
        <w:spacing w:line="500" w:lineRule="exact"/>
        <w:ind w:firstLine="480" w:firstLineChars="200"/>
        <w:jc w:val="left"/>
        <w:outlineLvl w:val="3"/>
        <w:rPr>
          <w:rFonts w:ascii="宋体" w:hAnsi="宋体" w:cs="仿宋"/>
          <w:sz w:val="24"/>
        </w:rPr>
      </w:pPr>
      <w:r>
        <w:rPr>
          <w:rFonts w:hint="eastAsia" w:ascii="宋体" w:hAnsi="宋体" w:cs="仿宋"/>
          <w:sz w:val="24"/>
        </w:rPr>
        <w:t>1、评审前准备</w:t>
      </w:r>
    </w:p>
    <w:p>
      <w:pPr>
        <w:spacing w:line="500" w:lineRule="exact"/>
        <w:ind w:firstLine="480" w:firstLineChars="200"/>
        <w:jc w:val="left"/>
        <w:rPr>
          <w:rFonts w:ascii="宋体" w:hAnsi="宋体" w:cs="仿宋"/>
          <w:sz w:val="24"/>
        </w:rPr>
      </w:pPr>
      <w:r>
        <w:rPr>
          <w:rFonts w:hint="eastAsia" w:ascii="宋体" w:hAnsi="宋体" w:cs="仿宋"/>
          <w:sz w:val="24"/>
        </w:rPr>
        <w:t>（1）由评审专家推选评审小组组长，采购人代表不得担任评审小组组长。</w:t>
      </w:r>
    </w:p>
    <w:p>
      <w:pPr>
        <w:spacing w:line="500" w:lineRule="exact"/>
        <w:ind w:firstLine="480" w:firstLineChars="200"/>
        <w:jc w:val="left"/>
        <w:rPr>
          <w:rFonts w:ascii="宋体" w:hAnsi="宋体" w:cs="仿宋"/>
          <w:sz w:val="24"/>
        </w:rPr>
      </w:pPr>
      <w:r>
        <w:rPr>
          <w:rFonts w:hint="eastAsia" w:ascii="宋体" w:hAnsi="宋体" w:cs="仿宋"/>
          <w:sz w:val="24"/>
        </w:rPr>
        <w:t>（2）由评审小组组长（评标委员会主任委员）召集所有评委成员阅读采购文件及相关补充、质疑、答复文件、项目书面说明等材料，熟悉采购项目基本情况、采购需求、合同主要条款、投标文件无效情形、评审办法、评审标准，以及其他与评审有关的内容。</w:t>
      </w:r>
    </w:p>
    <w:p>
      <w:pPr>
        <w:spacing w:line="500" w:lineRule="exact"/>
        <w:ind w:firstLine="480" w:firstLineChars="200"/>
        <w:jc w:val="left"/>
        <w:outlineLvl w:val="3"/>
        <w:rPr>
          <w:rFonts w:ascii="宋体" w:hAnsi="宋体" w:cs="仿宋"/>
          <w:sz w:val="24"/>
        </w:rPr>
      </w:pPr>
      <w:r>
        <w:rPr>
          <w:rFonts w:hint="eastAsia" w:ascii="宋体" w:hAnsi="宋体" w:cs="仿宋"/>
          <w:sz w:val="24"/>
        </w:rPr>
        <w:t>2、投标文件的初步审查、符合性审查</w:t>
      </w:r>
    </w:p>
    <w:p>
      <w:pPr>
        <w:spacing w:line="500" w:lineRule="exact"/>
        <w:ind w:firstLine="482" w:firstLineChars="200"/>
        <w:jc w:val="left"/>
        <w:rPr>
          <w:rFonts w:ascii="宋体" w:hAnsi="宋体" w:cs="仿宋"/>
          <w:b/>
          <w:bCs/>
          <w:sz w:val="24"/>
        </w:rPr>
      </w:pPr>
      <w:r>
        <w:rPr>
          <w:rFonts w:hint="eastAsia" w:ascii="宋体" w:hAnsi="宋体" w:cs="仿宋"/>
          <w:b/>
          <w:bCs/>
          <w:sz w:val="24"/>
        </w:rPr>
        <w:t>对所有通过资格审查的投标供应商的投标文件进行初步审查，审查、评价投标文件是否符合采购文件的资信、技术、服务等实质性要求。</w:t>
      </w:r>
    </w:p>
    <w:p>
      <w:pPr>
        <w:spacing w:line="500" w:lineRule="exact"/>
        <w:ind w:firstLine="480" w:firstLineChars="200"/>
        <w:jc w:val="left"/>
        <w:rPr>
          <w:rFonts w:ascii="宋体" w:hAnsi="宋体" w:cs="仿宋"/>
          <w:sz w:val="24"/>
        </w:rPr>
      </w:pPr>
      <w:r>
        <w:rPr>
          <w:rFonts w:hint="eastAsia" w:ascii="宋体" w:hAnsi="宋体" w:cs="仿宋"/>
          <w:sz w:val="24"/>
        </w:rPr>
        <w:t>（1）评标委员会首先对所有通过资格审查的投标供应商的投标文件进行符合性审查，审查每份投标文件是否实质上响应了采购文件的要求（实质性响应的投标文件是指投标文件符合采购文件规定的实质性内容、条件和规定）。</w:t>
      </w:r>
    </w:p>
    <w:p>
      <w:pPr>
        <w:spacing w:line="500" w:lineRule="exact"/>
        <w:ind w:firstLine="480" w:firstLineChars="200"/>
        <w:jc w:val="left"/>
        <w:outlineLvl w:val="3"/>
        <w:rPr>
          <w:rFonts w:ascii="宋体" w:hAnsi="宋体" w:cs="仿宋"/>
          <w:sz w:val="24"/>
        </w:rPr>
      </w:pPr>
      <w:r>
        <w:rPr>
          <w:rFonts w:hint="eastAsia" w:ascii="宋体" w:hAnsi="宋体" w:cs="仿宋"/>
          <w:sz w:val="24"/>
        </w:rPr>
        <w:t>3、投标文件的澄清、说明或补正</w:t>
      </w:r>
    </w:p>
    <w:p>
      <w:pPr>
        <w:spacing w:line="500" w:lineRule="exact"/>
        <w:ind w:firstLine="480" w:firstLineChars="200"/>
        <w:jc w:val="left"/>
        <w:rPr>
          <w:rFonts w:ascii="宋体" w:hAnsi="宋体" w:cs="仿宋"/>
          <w:sz w:val="24"/>
        </w:rPr>
      </w:pPr>
      <w:r>
        <w:rPr>
          <w:rFonts w:hint="eastAsia" w:ascii="宋体" w:hAnsi="宋体" w:cs="仿宋"/>
          <w:sz w:val="24"/>
        </w:rPr>
        <w:t>（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pacing w:line="500" w:lineRule="exact"/>
        <w:ind w:firstLine="480" w:firstLineChars="200"/>
        <w:jc w:val="left"/>
        <w:rPr>
          <w:rFonts w:ascii="宋体" w:hAnsi="宋体" w:cs="仿宋"/>
          <w:sz w:val="24"/>
        </w:rPr>
      </w:pPr>
      <w:r>
        <w:rPr>
          <w:rFonts w:hint="eastAsia" w:ascii="宋体" w:hAnsi="宋体" w:cs="仿宋"/>
          <w:sz w:val="24"/>
        </w:rPr>
        <w:t>（2）评标过程中评标委员会对投标供应商提出质询或要求投标供应商书面确认的（或通过“政府采购云平台”在线答复），采用书面形式提交并加盖公章，或者由法定代表人或其授权的代表签字或盖章，30分钟内予以书面回复或确认，否则视为不予回复或确认，评标委员会有权拒绝该投标文件，澄清、说明或者补正不得超出投标文件的范围或者改变投标文件的实质性内容。</w:t>
      </w:r>
    </w:p>
    <w:p>
      <w:pPr>
        <w:spacing w:line="500" w:lineRule="exact"/>
        <w:ind w:firstLine="480" w:firstLineChars="200"/>
        <w:jc w:val="left"/>
        <w:outlineLvl w:val="3"/>
        <w:rPr>
          <w:rFonts w:ascii="宋体" w:hAnsi="宋体" w:cs="仿宋"/>
          <w:sz w:val="24"/>
        </w:rPr>
      </w:pPr>
      <w:r>
        <w:rPr>
          <w:rFonts w:hint="eastAsia" w:ascii="宋体" w:hAnsi="宋体" w:cs="仿宋"/>
          <w:sz w:val="24"/>
        </w:rPr>
        <w:t>4、投标文件的错误修正</w:t>
      </w:r>
    </w:p>
    <w:p>
      <w:pPr>
        <w:spacing w:line="500" w:lineRule="exact"/>
        <w:ind w:firstLine="480" w:firstLineChars="200"/>
        <w:jc w:val="left"/>
        <w:rPr>
          <w:rFonts w:ascii="宋体" w:hAnsi="宋体" w:cs="仿宋"/>
          <w:sz w:val="24"/>
        </w:rPr>
      </w:pPr>
      <w:r>
        <w:rPr>
          <w:rFonts w:hint="eastAsia" w:ascii="宋体" w:hAnsi="宋体" w:cs="仿宋"/>
          <w:sz w:val="24"/>
        </w:rPr>
        <w:t>《投标文件》如果出现计算或表达上的错误，修正错误的原则如下：</w:t>
      </w:r>
    </w:p>
    <w:p>
      <w:pPr>
        <w:spacing w:line="500" w:lineRule="exact"/>
        <w:ind w:firstLine="480" w:firstLineChars="200"/>
        <w:jc w:val="left"/>
        <w:rPr>
          <w:rFonts w:ascii="宋体" w:hAnsi="宋体" w:cs="仿宋"/>
          <w:sz w:val="24"/>
        </w:rPr>
      </w:pPr>
      <w:r>
        <w:rPr>
          <w:rFonts w:hint="eastAsia" w:ascii="宋体" w:hAnsi="宋体" w:cs="仿宋"/>
          <w:sz w:val="24"/>
        </w:rPr>
        <w:t>（1）投标文件中开标一览表内容与投标文件中相应内容不一致的，以开标一览表为准。</w:t>
      </w:r>
    </w:p>
    <w:p>
      <w:pPr>
        <w:spacing w:line="500" w:lineRule="exact"/>
        <w:ind w:firstLine="480" w:firstLineChars="200"/>
        <w:jc w:val="left"/>
        <w:rPr>
          <w:rFonts w:ascii="宋体" w:hAnsi="宋体" w:cs="仿宋"/>
          <w:sz w:val="24"/>
        </w:rPr>
      </w:pPr>
      <w:r>
        <w:rPr>
          <w:rFonts w:hint="eastAsia" w:ascii="宋体" w:hAnsi="宋体" w:cs="仿宋"/>
          <w:sz w:val="24"/>
        </w:rPr>
        <w:t>（2）《投标文件》的大写金额和小写金额不一致的，以大写金额为准；</w:t>
      </w:r>
    </w:p>
    <w:p>
      <w:pPr>
        <w:spacing w:line="500" w:lineRule="exact"/>
        <w:ind w:firstLine="480" w:firstLineChars="200"/>
        <w:jc w:val="left"/>
        <w:rPr>
          <w:rFonts w:ascii="宋体" w:hAnsi="宋体" w:cs="仿宋"/>
          <w:sz w:val="24"/>
        </w:rPr>
      </w:pPr>
      <w:r>
        <w:rPr>
          <w:rFonts w:hint="eastAsia" w:ascii="宋体" w:hAnsi="宋体" w:cs="仿宋"/>
          <w:sz w:val="24"/>
        </w:rPr>
        <w:t>（3）单价金额小数点或者百分比有明显错位的，应以开标一览表的总价为准，并修改单价；</w:t>
      </w:r>
    </w:p>
    <w:p>
      <w:pPr>
        <w:spacing w:line="500" w:lineRule="exact"/>
        <w:ind w:firstLine="480" w:firstLineChars="200"/>
        <w:jc w:val="left"/>
        <w:rPr>
          <w:rFonts w:ascii="宋体" w:hAnsi="宋体" w:cs="仿宋"/>
          <w:sz w:val="24"/>
        </w:rPr>
      </w:pPr>
      <w:r>
        <w:rPr>
          <w:rFonts w:hint="eastAsia" w:ascii="宋体" w:hAnsi="宋体" w:cs="仿宋"/>
          <w:sz w:val="24"/>
        </w:rPr>
        <w:t>（4）总价金额与按单价汇总金额不一致的，以单价金额计算结果为准。</w:t>
      </w:r>
    </w:p>
    <w:p>
      <w:pPr>
        <w:spacing w:line="500" w:lineRule="exact"/>
        <w:ind w:firstLine="480" w:firstLineChars="200"/>
        <w:jc w:val="left"/>
        <w:outlineLvl w:val="3"/>
        <w:rPr>
          <w:rFonts w:ascii="宋体" w:hAnsi="宋体" w:cs="仿宋"/>
          <w:sz w:val="24"/>
        </w:rPr>
      </w:pPr>
      <w:r>
        <w:rPr>
          <w:rFonts w:hint="eastAsia" w:ascii="宋体" w:hAnsi="宋体" w:cs="仿宋"/>
          <w:sz w:val="24"/>
        </w:rPr>
        <w:t>5、对不同文字文本《投标文件》的解释发生异议的，以中文文本为准。</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（八）投标文件有下列情况之一者将视为无效：</w:t>
      </w:r>
    </w:p>
    <w:p>
      <w:pPr>
        <w:spacing w:line="500" w:lineRule="exact"/>
        <w:ind w:firstLine="482" w:firstLineChars="200"/>
        <w:jc w:val="left"/>
        <w:outlineLvl w:val="3"/>
        <w:rPr>
          <w:rFonts w:ascii="宋体" w:hAnsi="宋体" w:cs="仿宋"/>
          <w:b/>
          <w:bCs/>
          <w:sz w:val="24"/>
        </w:rPr>
      </w:pPr>
      <w:r>
        <w:rPr>
          <w:rFonts w:hint="eastAsia" w:ascii="宋体" w:hAnsi="宋体" w:cs="仿宋"/>
          <w:b/>
          <w:bCs/>
          <w:sz w:val="24"/>
        </w:rPr>
        <w:t>1、资格文件、商务技术资信及其他文件符合性审查中，存在下列情形之一的，经评标委员会认定后作无效标处理：</w:t>
      </w:r>
    </w:p>
    <w:p>
      <w:pPr>
        <w:spacing w:line="500" w:lineRule="exact"/>
        <w:ind w:firstLine="480" w:firstLineChars="200"/>
        <w:jc w:val="left"/>
        <w:rPr>
          <w:rFonts w:ascii="宋体" w:hAnsi="宋体" w:cs="仿宋"/>
          <w:sz w:val="24"/>
        </w:rPr>
      </w:pPr>
      <w:r>
        <w:rPr>
          <w:rFonts w:hint="eastAsia" w:ascii="宋体" w:hAnsi="宋体" w:cs="仿宋"/>
          <w:sz w:val="24"/>
        </w:rPr>
        <w:t>（1）投标文件未有效授权，法定代表人授权委托书等填写错误或有涂改未修正的；</w:t>
      </w:r>
    </w:p>
    <w:p>
      <w:pPr>
        <w:spacing w:line="500" w:lineRule="exact"/>
        <w:ind w:firstLine="480" w:firstLineChars="200"/>
        <w:jc w:val="left"/>
        <w:rPr>
          <w:rFonts w:ascii="宋体" w:hAnsi="宋体" w:cs="仿宋"/>
          <w:sz w:val="24"/>
        </w:rPr>
      </w:pPr>
      <w:r>
        <w:rPr>
          <w:rFonts w:hint="eastAsia" w:ascii="宋体" w:hAnsi="宋体" w:cs="仿宋"/>
          <w:sz w:val="24"/>
        </w:rPr>
        <w:t>（2）投标文件没有对本采购文件作出实质性响应的，或不满足（不响应）本采购文件实质性要求条款的，或资格文件证明文件不全的，或存在采购文件中明确规定的其他无效标情形的；</w:t>
      </w:r>
    </w:p>
    <w:p>
      <w:pPr>
        <w:spacing w:line="500" w:lineRule="exact"/>
        <w:ind w:firstLine="480" w:firstLineChars="200"/>
        <w:jc w:val="left"/>
        <w:rPr>
          <w:rFonts w:ascii="宋体" w:hAnsi="宋体" w:cs="仿宋"/>
          <w:sz w:val="24"/>
        </w:rPr>
      </w:pPr>
      <w:r>
        <w:rPr>
          <w:rFonts w:hint="eastAsia" w:ascii="宋体" w:hAnsi="宋体" w:cs="仿宋"/>
          <w:sz w:val="24"/>
        </w:rPr>
        <w:t>（3）投标文件存在一个或一个以上备选（替代）投标方案的；</w:t>
      </w:r>
    </w:p>
    <w:p>
      <w:pPr>
        <w:spacing w:line="500" w:lineRule="exact"/>
        <w:ind w:firstLine="480" w:firstLineChars="200"/>
        <w:jc w:val="left"/>
        <w:rPr>
          <w:rFonts w:ascii="宋体" w:hAnsi="宋体" w:cs="仿宋"/>
          <w:sz w:val="24"/>
        </w:rPr>
      </w:pPr>
      <w:r>
        <w:rPr>
          <w:rFonts w:hint="eastAsia" w:ascii="宋体" w:hAnsi="宋体" w:cs="仿宋"/>
          <w:sz w:val="24"/>
        </w:rPr>
        <w:t>（4）仅提交“备份投标文件”的；</w:t>
      </w:r>
    </w:p>
    <w:p>
      <w:pPr>
        <w:spacing w:line="500" w:lineRule="exact"/>
        <w:ind w:firstLine="480" w:firstLineChars="200"/>
        <w:jc w:val="left"/>
        <w:rPr>
          <w:rFonts w:ascii="宋体" w:hAnsi="宋体" w:cs="仿宋"/>
          <w:sz w:val="24"/>
        </w:rPr>
      </w:pPr>
      <w:r>
        <w:rPr>
          <w:rFonts w:hint="eastAsia" w:ascii="宋体" w:hAnsi="宋体" w:cs="仿宋"/>
          <w:sz w:val="24"/>
        </w:rPr>
        <w:t>（5）资格文件组成内容不齐全；</w:t>
      </w:r>
    </w:p>
    <w:p>
      <w:pPr>
        <w:spacing w:line="500" w:lineRule="exact"/>
        <w:ind w:firstLine="480" w:firstLineChars="200"/>
        <w:jc w:val="left"/>
        <w:rPr>
          <w:rFonts w:ascii="宋体" w:hAnsi="宋体" w:cs="仿宋"/>
          <w:sz w:val="24"/>
        </w:rPr>
      </w:pPr>
      <w:r>
        <w:rPr>
          <w:rFonts w:hint="eastAsia" w:ascii="宋体" w:hAnsi="宋体" w:cs="仿宋"/>
          <w:sz w:val="24"/>
        </w:rPr>
        <w:t>（6）投标文件标注的响应或偏离情况与事实不符，或提供了虚假材料的；</w:t>
      </w:r>
    </w:p>
    <w:p>
      <w:pPr>
        <w:spacing w:line="500" w:lineRule="exact"/>
        <w:ind w:firstLine="480" w:firstLineChars="200"/>
        <w:jc w:val="left"/>
        <w:rPr>
          <w:rFonts w:ascii="宋体" w:hAnsi="宋体" w:cs="仿宋"/>
          <w:sz w:val="24"/>
        </w:rPr>
      </w:pPr>
      <w:r>
        <w:rPr>
          <w:rFonts w:hint="eastAsia" w:ascii="宋体" w:hAnsi="宋体" w:cs="仿宋"/>
          <w:sz w:val="24"/>
        </w:rPr>
        <w:t>（7）不响应或擅自改变本采购文件要求或投标文件有采购人不能接受的附加条件的；</w:t>
      </w:r>
    </w:p>
    <w:p>
      <w:pPr>
        <w:spacing w:line="500" w:lineRule="exact"/>
        <w:ind w:firstLine="480" w:firstLineChars="200"/>
        <w:jc w:val="left"/>
        <w:rPr>
          <w:rFonts w:ascii="宋体" w:hAnsi="宋体" w:cs="仿宋"/>
          <w:sz w:val="24"/>
        </w:rPr>
      </w:pPr>
      <w:r>
        <w:rPr>
          <w:rFonts w:hint="eastAsia" w:ascii="宋体" w:hAnsi="宋体" w:cs="仿宋"/>
          <w:sz w:val="24"/>
        </w:rPr>
        <w:t>（8）参加同一项目下政府采购活动的不同投标供应商之间存在利害关系并且存在影响政府采购公平竞争行为的；</w:t>
      </w:r>
    </w:p>
    <w:p>
      <w:pPr>
        <w:spacing w:line="500" w:lineRule="exact"/>
        <w:ind w:firstLine="480" w:firstLineChars="200"/>
        <w:jc w:val="left"/>
        <w:rPr>
          <w:rFonts w:ascii="宋体" w:hAnsi="宋体" w:cs="仿宋"/>
          <w:sz w:val="24"/>
        </w:rPr>
      </w:pPr>
      <w:r>
        <w:rPr>
          <w:rFonts w:hint="eastAsia" w:ascii="宋体" w:hAnsi="宋体" w:cs="仿宋"/>
          <w:sz w:val="24"/>
        </w:rPr>
        <w:t>（9）违反国家或政府部门相关法律、法规、文件规定的。</w:t>
      </w:r>
    </w:p>
    <w:p>
      <w:pPr>
        <w:spacing w:line="500" w:lineRule="exact"/>
        <w:ind w:firstLine="482" w:firstLineChars="200"/>
        <w:jc w:val="left"/>
        <w:outlineLvl w:val="3"/>
        <w:rPr>
          <w:rFonts w:ascii="宋体" w:hAnsi="宋体" w:cs="仿宋"/>
          <w:b/>
          <w:bCs/>
          <w:sz w:val="24"/>
        </w:rPr>
      </w:pPr>
      <w:r>
        <w:rPr>
          <w:rFonts w:hint="eastAsia" w:ascii="宋体" w:hAnsi="宋体" w:cs="仿宋"/>
          <w:b/>
          <w:bCs/>
          <w:sz w:val="24"/>
        </w:rPr>
        <w:t>2、报价文件符合性审查中，存在下列情形之一的，经评标委员会认定后作无效标处理：</w:t>
      </w:r>
    </w:p>
    <w:p>
      <w:pPr>
        <w:spacing w:line="500" w:lineRule="exact"/>
        <w:ind w:firstLine="480" w:firstLineChars="200"/>
        <w:jc w:val="left"/>
        <w:rPr>
          <w:rFonts w:ascii="宋体" w:hAnsi="宋体" w:cs="仿宋"/>
          <w:sz w:val="24"/>
        </w:rPr>
      </w:pPr>
      <w:r>
        <w:rPr>
          <w:rFonts w:hint="eastAsia" w:ascii="宋体" w:hAnsi="宋体" w:cs="仿宋"/>
          <w:sz w:val="24"/>
        </w:rPr>
        <w:t>（1）投标文件没有对本采购文件作出实质性响应的，或不满足（不响应）本采购文件规定的实质性要求条款的，或存在采购文件中明确规定的其他无效标情形的；</w:t>
      </w:r>
    </w:p>
    <w:p>
      <w:pPr>
        <w:spacing w:line="500" w:lineRule="exact"/>
        <w:ind w:firstLine="480" w:firstLineChars="200"/>
        <w:jc w:val="left"/>
        <w:rPr>
          <w:rFonts w:ascii="宋体" w:hAnsi="宋体" w:cs="仿宋"/>
          <w:sz w:val="24"/>
        </w:rPr>
      </w:pPr>
      <w:r>
        <w:rPr>
          <w:rFonts w:hint="eastAsia" w:ascii="宋体" w:hAnsi="宋体" w:cs="仿宋"/>
          <w:sz w:val="24"/>
        </w:rPr>
        <w:t>（2）投标文件存在一个或一个以上备选（替代）投标方案的；</w:t>
      </w:r>
    </w:p>
    <w:p>
      <w:pPr>
        <w:spacing w:line="500" w:lineRule="exact"/>
        <w:ind w:firstLine="480" w:firstLineChars="200"/>
        <w:jc w:val="left"/>
        <w:rPr>
          <w:rFonts w:ascii="宋体" w:hAnsi="宋体" w:cs="仿宋"/>
          <w:sz w:val="24"/>
        </w:rPr>
      </w:pPr>
      <w:r>
        <w:rPr>
          <w:rFonts w:hint="eastAsia" w:ascii="宋体" w:hAnsi="宋体" w:cs="仿宋"/>
          <w:sz w:val="24"/>
        </w:rPr>
        <w:t>（3）未按照采购文件标明的币种报价的，或者投标报价涵盖的内容不符合采购文件要求的；</w:t>
      </w:r>
    </w:p>
    <w:p>
      <w:pPr>
        <w:spacing w:line="500" w:lineRule="exact"/>
        <w:ind w:firstLine="480" w:firstLineChars="200"/>
        <w:jc w:val="left"/>
        <w:rPr>
          <w:rFonts w:ascii="宋体" w:hAnsi="宋体" w:cs="仿宋"/>
          <w:sz w:val="24"/>
        </w:rPr>
      </w:pPr>
      <w:r>
        <w:rPr>
          <w:rFonts w:hint="eastAsia" w:ascii="宋体" w:hAnsi="宋体" w:cs="仿宋"/>
          <w:sz w:val="24"/>
        </w:rPr>
        <w:t>（4）投标报价具有选择性；</w:t>
      </w:r>
    </w:p>
    <w:p>
      <w:pPr>
        <w:spacing w:line="500" w:lineRule="exact"/>
        <w:ind w:firstLine="480" w:firstLineChars="200"/>
        <w:jc w:val="left"/>
        <w:rPr>
          <w:rFonts w:ascii="宋体" w:hAnsi="宋体" w:cs="仿宋"/>
          <w:sz w:val="24"/>
        </w:rPr>
      </w:pPr>
      <w:r>
        <w:rPr>
          <w:rFonts w:hint="eastAsia" w:ascii="宋体" w:hAnsi="宋体" w:cs="仿宋"/>
          <w:sz w:val="24"/>
        </w:rPr>
        <w:t>（5）投标报价超过采购预算（或最高限价）的；</w:t>
      </w:r>
    </w:p>
    <w:p>
      <w:pPr>
        <w:spacing w:line="500" w:lineRule="exact"/>
        <w:ind w:firstLine="480" w:firstLineChars="200"/>
        <w:jc w:val="left"/>
        <w:rPr>
          <w:rFonts w:ascii="宋体" w:hAnsi="宋体" w:cs="仿宋"/>
          <w:sz w:val="24"/>
        </w:rPr>
      </w:pPr>
      <w:r>
        <w:rPr>
          <w:rFonts w:hint="eastAsia" w:ascii="宋体" w:hAnsi="宋体" w:cs="仿宋"/>
          <w:sz w:val="24"/>
        </w:rPr>
        <w:t>（6）投标文件组成内容不齐全，本采购文件规定必须提供而未提供的（属于资格审查范围的除外）；</w:t>
      </w:r>
    </w:p>
    <w:p>
      <w:pPr>
        <w:spacing w:line="500" w:lineRule="exact"/>
        <w:ind w:firstLine="480" w:firstLineChars="200"/>
        <w:jc w:val="left"/>
        <w:rPr>
          <w:rFonts w:ascii="宋体" w:hAnsi="宋体" w:cs="仿宋"/>
          <w:sz w:val="24"/>
        </w:rPr>
      </w:pPr>
      <w:r>
        <w:rPr>
          <w:rFonts w:hint="eastAsia" w:ascii="宋体" w:hAnsi="宋体" w:cs="仿宋"/>
          <w:sz w:val="24"/>
        </w:rPr>
        <w:t>（7）投标文件标注的响应或偏离情况与事实不符，或提供了虚假材料的；</w:t>
      </w:r>
    </w:p>
    <w:p>
      <w:pPr>
        <w:spacing w:line="500" w:lineRule="exact"/>
        <w:ind w:firstLine="480" w:firstLineChars="200"/>
        <w:jc w:val="left"/>
        <w:rPr>
          <w:rFonts w:ascii="宋体" w:hAnsi="宋体" w:cs="仿宋"/>
          <w:sz w:val="24"/>
        </w:rPr>
      </w:pPr>
      <w:r>
        <w:rPr>
          <w:rFonts w:hint="eastAsia" w:ascii="宋体" w:hAnsi="宋体" w:cs="仿宋"/>
          <w:sz w:val="24"/>
        </w:rPr>
        <w:t>（8）不响应或擅自改变本采购文件要求或投标文件有采购人不能接受的附加条件的；</w:t>
      </w:r>
    </w:p>
    <w:p>
      <w:pPr>
        <w:spacing w:line="500" w:lineRule="exact"/>
        <w:ind w:firstLine="480" w:firstLineChars="200"/>
        <w:jc w:val="left"/>
        <w:rPr>
          <w:rFonts w:ascii="宋体" w:hAnsi="宋体" w:cs="仿宋"/>
          <w:sz w:val="24"/>
        </w:rPr>
      </w:pPr>
      <w:r>
        <w:rPr>
          <w:rFonts w:hint="eastAsia" w:ascii="宋体" w:hAnsi="宋体" w:cs="仿宋"/>
          <w:sz w:val="24"/>
        </w:rPr>
        <w:t>（9）评审委员会认为投标供应商报价明显低于其他合格投标供应商的报价，有可能影响服务质量或者不能诚信履约的，应当要求其在合理时间内提供书面说明，必要时提供相关证明材料；投标供应商不能证明其报价合理性的，评审委员会应当将其作为无效投标或者无效响应处理；</w:t>
      </w:r>
    </w:p>
    <w:p>
      <w:pPr>
        <w:spacing w:line="500" w:lineRule="exact"/>
        <w:ind w:firstLine="480" w:firstLineChars="200"/>
        <w:jc w:val="left"/>
        <w:rPr>
          <w:rFonts w:ascii="宋体" w:hAnsi="宋体" w:cs="仿宋"/>
          <w:sz w:val="24"/>
        </w:rPr>
      </w:pPr>
      <w:r>
        <w:rPr>
          <w:rFonts w:hint="eastAsia" w:ascii="宋体" w:hAnsi="宋体" w:cs="仿宋"/>
          <w:sz w:val="24"/>
        </w:rPr>
        <w:t>（10）违反国家或政府部门相关法律、法规、文件规定的。</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（九）投标文件的评估、比较、评分</w:t>
      </w:r>
    </w:p>
    <w:p>
      <w:pPr>
        <w:spacing w:line="500" w:lineRule="exact"/>
        <w:ind w:firstLine="480" w:firstLineChars="200"/>
        <w:jc w:val="left"/>
        <w:rPr>
          <w:rFonts w:ascii="宋体" w:hAnsi="宋体" w:cs="仿宋"/>
          <w:sz w:val="24"/>
        </w:rPr>
      </w:pPr>
      <w:r>
        <w:rPr>
          <w:rFonts w:hint="eastAsia" w:ascii="宋体" w:hAnsi="宋体" w:cs="仿宋"/>
          <w:sz w:val="24"/>
        </w:rPr>
        <w:t>1、评标委员会应当按照采购文件中规定的评审方法和标准，对符合性审查合格的投标文件进行商务和技术评估，综合比较与评价。评标时，评标委员会各成员将独立对每个投标供应商的投标文件进行评价，并汇总每个投标供应商的得分。评审细则详见第四部分“评标办法及评分标准”。</w:t>
      </w:r>
    </w:p>
    <w:p>
      <w:pPr>
        <w:spacing w:line="500" w:lineRule="exact"/>
        <w:ind w:firstLine="480" w:firstLineChars="200"/>
        <w:jc w:val="left"/>
        <w:rPr>
          <w:rFonts w:ascii="宋体" w:hAnsi="宋体" w:cs="仿宋"/>
          <w:sz w:val="24"/>
        </w:rPr>
      </w:pPr>
      <w:r>
        <w:rPr>
          <w:rFonts w:hint="eastAsia" w:ascii="宋体" w:hAnsi="宋体" w:cs="仿宋"/>
          <w:sz w:val="24"/>
        </w:rPr>
        <w:t>2、对采购代理机构工作人员汇总的评审结果进行确认。如发现分值汇总计算错误、分项评分超出评分标准范围、客观评分不一致以及存在畸高、畸低（其总评分偏离平均分30%以上的）情形的，评审小组组长应提醒相关评审人员当场改正或书面说明理由，拒不改正又不作书面说明的，由现场监督员如实记载后存入项目档案资料。</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（十）修改评审结果</w:t>
      </w:r>
    </w:p>
    <w:p>
      <w:pPr>
        <w:spacing w:line="500" w:lineRule="exact"/>
        <w:ind w:firstLine="482" w:firstLineChars="200"/>
        <w:jc w:val="left"/>
        <w:outlineLvl w:val="3"/>
        <w:rPr>
          <w:rFonts w:ascii="宋体" w:hAnsi="宋体" w:cs="仿宋"/>
          <w:b/>
          <w:bCs/>
          <w:sz w:val="24"/>
        </w:rPr>
      </w:pPr>
      <w:r>
        <w:rPr>
          <w:rFonts w:hint="eastAsia" w:ascii="宋体" w:hAnsi="宋体" w:cs="仿宋"/>
          <w:b/>
          <w:bCs/>
          <w:sz w:val="24"/>
        </w:rPr>
        <w:t>1、评标结果汇总完成后，除下列情形外，任何人不得修改评标结果：</w:t>
      </w:r>
    </w:p>
    <w:p>
      <w:pPr>
        <w:spacing w:line="500" w:lineRule="exact"/>
        <w:ind w:firstLine="480" w:firstLineChars="200"/>
        <w:jc w:val="left"/>
        <w:rPr>
          <w:rFonts w:ascii="宋体" w:hAnsi="宋体" w:cs="仿宋"/>
          <w:sz w:val="24"/>
        </w:rPr>
      </w:pPr>
      <w:r>
        <w:rPr>
          <w:rFonts w:hint="eastAsia" w:ascii="宋体" w:hAnsi="宋体" w:cs="仿宋"/>
          <w:sz w:val="24"/>
        </w:rPr>
        <w:t>（1）分值汇总计算错误的；</w:t>
      </w:r>
    </w:p>
    <w:p>
      <w:pPr>
        <w:spacing w:line="500" w:lineRule="exact"/>
        <w:ind w:firstLine="480" w:firstLineChars="200"/>
        <w:jc w:val="left"/>
        <w:rPr>
          <w:rFonts w:ascii="宋体" w:hAnsi="宋体" w:cs="仿宋"/>
          <w:sz w:val="24"/>
        </w:rPr>
      </w:pPr>
      <w:r>
        <w:rPr>
          <w:rFonts w:hint="eastAsia" w:ascii="宋体" w:hAnsi="宋体" w:cs="仿宋"/>
          <w:sz w:val="24"/>
        </w:rPr>
        <w:t>（2）分项评分超出评分标准范围的；</w:t>
      </w:r>
    </w:p>
    <w:p>
      <w:pPr>
        <w:spacing w:line="500" w:lineRule="exact"/>
        <w:ind w:firstLine="480" w:firstLineChars="200"/>
        <w:jc w:val="left"/>
        <w:rPr>
          <w:rFonts w:ascii="宋体" w:hAnsi="宋体" w:cs="仿宋"/>
          <w:sz w:val="24"/>
        </w:rPr>
      </w:pPr>
      <w:r>
        <w:rPr>
          <w:rFonts w:hint="eastAsia" w:ascii="宋体" w:hAnsi="宋体" w:cs="仿宋"/>
          <w:sz w:val="24"/>
        </w:rPr>
        <w:t>（3）评标委员会成员对客观评审因素评分不一致的；</w:t>
      </w:r>
    </w:p>
    <w:p>
      <w:pPr>
        <w:spacing w:line="500" w:lineRule="exact"/>
        <w:ind w:firstLine="480" w:firstLineChars="200"/>
        <w:jc w:val="left"/>
        <w:rPr>
          <w:rFonts w:ascii="宋体" w:hAnsi="宋体" w:cs="仿宋"/>
          <w:sz w:val="24"/>
        </w:rPr>
      </w:pPr>
      <w:r>
        <w:rPr>
          <w:rFonts w:hint="eastAsia" w:ascii="宋体" w:hAnsi="宋体" w:cs="仿宋"/>
          <w:sz w:val="24"/>
        </w:rPr>
        <w:t>（4）经评标委员会认定评分畸高、畸低的。</w:t>
      </w:r>
    </w:p>
    <w:p>
      <w:pPr>
        <w:spacing w:line="500" w:lineRule="exact"/>
        <w:ind w:firstLine="482" w:firstLineChars="200"/>
        <w:jc w:val="left"/>
        <w:outlineLvl w:val="3"/>
        <w:rPr>
          <w:rFonts w:ascii="宋体" w:hAnsi="宋体" w:cs="仿宋"/>
          <w:b/>
          <w:bCs/>
          <w:sz w:val="24"/>
        </w:rPr>
      </w:pPr>
      <w:r>
        <w:rPr>
          <w:rFonts w:hint="eastAsia" w:ascii="宋体" w:hAnsi="宋体" w:cs="仿宋"/>
          <w:b/>
          <w:bCs/>
          <w:sz w:val="24"/>
        </w:rPr>
        <w:t>2、评标报告签署前，经复核发现存在以上情形之一的，评标委员会将当场修改评标结果，并在评标报告中记载。</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（十一）投标供应商排序及推荐中标候选投标供应商</w:t>
      </w:r>
    </w:p>
    <w:p>
      <w:pPr>
        <w:spacing w:line="500" w:lineRule="exact"/>
        <w:ind w:firstLine="480" w:firstLineChars="200"/>
        <w:jc w:val="left"/>
        <w:rPr>
          <w:rFonts w:ascii="宋体" w:hAnsi="宋体" w:cs="仿宋"/>
          <w:sz w:val="24"/>
        </w:rPr>
      </w:pPr>
      <w:r>
        <w:rPr>
          <w:rFonts w:hint="eastAsia" w:ascii="宋体" w:hAnsi="宋体" w:cs="仿宋"/>
          <w:sz w:val="24"/>
        </w:rPr>
        <w:t>评标委员会根据以下规定确定投标供应商排名并推荐中标候选投标供应商。</w:t>
      </w:r>
    </w:p>
    <w:p>
      <w:pPr>
        <w:spacing w:line="500" w:lineRule="exact"/>
        <w:ind w:firstLine="482" w:firstLineChars="200"/>
        <w:rPr>
          <w:rFonts w:ascii="宋体" w:hAnsi="宋体" w:cs="宋体"/>
          <w:kern w:val="0"/>
          <w:sz w:val="24"/>
        </w:rPr>
      </w:pPr>
      <w:r>
        <w:rPr>
          <w:rFonts w:hint="eastAsia" w:ascii="宋体" w:hAnsi="宋体" w:cs="宋体"/>
          <w:b/>
          <w:sz w:val="24"/>
        </w:rPr>
        <w:t>1、评标委员会根据各投标供应商的综合得分（商务技术分与报价得分之和）从高到低依次进行排名排序。特殊情形按以下原则处理：</w:t>
      </w:r>
    </w:p>
    <w:p>
      <w:pPr>
        <w:spacing w:line="500" w:lineRule="exact"/>
        <w:ind w:firstLine="480" w:firstLineChars="200"/>
        <w:jc w:val="left"/>
        <w:rPr>
          <w:rFonts w:ascii="宋体" w:hAnsi="宋体" w:cs="仿宋"/>
          <w:sz w:val="24"/>
        </w:rPr>
      </w:pPr>
      <w:r>
        <w:rPr>
          <w:rFonts w:hint="eastAsia" w:ascii="宋体" w:hAnsi="宋体" w:cs="仿宋"/>
          <w:sz w:val="24"/>
        </w:rPr>
        <w:t>（1）综合得分相同的，按投标报价低的优先原则确定排名；</w:t>
      </w:r>
    </w:p>
    <w:p>
      <w:pPr>
        <w:spacing w:line="500" w:lineRule="exact"/>
        <w:ind w:firstLine="480" w:firstLineChars="200"/>
        <w:jc w:val="left"/>
        <w:rPr>
          <w:rFonts w:ascii="宋体" w:hAnsi="宋体" w:cs="仿宋"/>
          <w:sz w:val="24"/>
        </w:rPr>
      </w:pPr>
      <w:r>
        <w:rPr>
          <w:rFonts w:hint="eastAsia" w:ascii="宋体" w:hAnsi="宋体" w:cs="仿宋"/>
          <w:sz w:val="24"/>
        </w:rPr>
        <w:t>（2）综合得分和投标报价均相同的，按技术得分从高到低确定排名；</w:t>
      </w:r>
    </w:p>
    <w:p>
      <w:pPr>
        <w:spacing w:line="500" w:lineRule="exact"/>
        <w:ind w:firstLine="482" w:firstLineChars="200"/>
        <w:rPr>
          <w:rFonts w:ascii="宋体" w:hAnsi="宋体" w:cs="宋体"/>
          <w:b/>
          <w:sz w:val="24"/>
        </w:rPr>
      </w:pPr>
      <w:r>
        <w:rPr>
          <w:rFonts w:hint="eastAsia" w:ascii="宋体" w:hAnsi="宋体" w:cs="宋体"/>
          <w:b/>
          <w:sz w:val="24"/>
        </w:rPr>
        <w:t>2、根据最终得分排序，通过书面评审报告的形式，向采购人推荐排名第一的投标供应商为中标人。</w:t>
      </w:r>
    </w:p>
    <w:p>
      <w:pPr>
        <w:spacing w:line="500" w:lineRule="exact"/>
        <w:ind w:firstLine="482" w:firstLineChars="200"/>
        <w:rPr>
          <w:rFonts w:ascii="宋体" w:hAnsi="宋体" w:cs="宋体"/>
          <w:b/>
          <w:sz w:val="24"/>
        </w:rPr>
      </w:pPr>
      <w:r>
        <w:rPr>
          <w:rFonts w:hint="eastAsia" w:ascii="宋体" w:hAnsi="宋体" w:cs="宋体"/>
          <w:b/>
          <w:sz w:val="24"/>
        </w:rPr>
        <w:t>（十二）起草、签署评审报告</w:t>
      </w:r>
    </w:p>
    <w:p>
      <w:pPr>
        <w:autoSpaceDE w:val="0"/>
        <w:autoSpaceDN w:val="0"/>
        <w:spacing w:line="500" w:lineRule="exact"/>
        <w:ind w:firstLine="480" w:firstLineChars="200"/>
        <w:rPr>
          <w:rFonts w:ascii="宋体" w:hAnsi="宋体" w:cs="宋体"/>
          <w:sz w:val="24"/>
        </w:rPr>
      </w:pPr>
      <w:r>
        <w:rPr>
          <w:rFonts w:hint="eastAsia" w:ascii="宋体" w:hAnsi="宋体" w:cs="宋体"/>
          <w:sz w:val="24"/>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109"/>
        <w:spacing w:before="0" w:line="500" w:lineRule="exact"/>
        <w:ind w:firstLine="482"/>
        <w:outlineLvl w:val="0"/>
        <w:rPr>
          <w:rFonts w:ascii="宋体" w:hAnsi="宋体" w:cs="宋体"/>
          <w:b/>
          <w:szCs w:val="24"/>
        </w:rPr>
      </w:pPr>
      <w:r>
        <w:rPr>
          <w:rFonts w:hint="eastAsia" w:ascii="宋体" w:hAnsi="宋体" w:cs="宋体"/>
          <w:b/>
          <w:szCs w:val="24"/>
        </w:rPr>
        <w:t>（十三） 评标内容的保密</w:t>
      </w:r>
    </w:p>
    <w:p>
      <w:pPr>
        <w:pStyle w:val="109"/>
        <w:spacing w:before="0" w:line="500" w:lineRule="exact"/>
        <w:ind w:firstLine="480"/>
        <w:rPr>
          <w:rFonts w:ascii="宋体" w:hAnsi="宋体" w:cs="宋体"/>
          <w:szCs w:val="24"/>
        </w:rPr>
      </w:pPr>
      <w:r>
        <w:rPr>
          <w:rFonts w:hint="eastAsia" w:ascii="宋体" w:hAnsi="宋体" w:cs="宋体"/>
          <w:szCs w:val="24"/>
        </w:rPr>
        <w:t>1、公开开标后，直到宣布中标人止，凡属于审查、澄清、评价和比较投标的所有资料，都不应向投标供应商或与评标无关的其他人泄露。</w:t>
      </w:r>
    </w:p>
    <w:p>
      <w:pPr>
        <w:pStyle w:val="109"/>
        <w:spacing w:before="0" w:line="500" w:lineRule="exact"/>
        <w:ind w:firstLine="480"/>
        <w:rPr>
          <w:rFonts w:ascii="宋体" w:hAnsi="宋体" w:cs="宋体"/>
          <w:szCs w:val="24"/>
        </w:rPr>
      </w:pPr>
      <w:r>
        <w:rPr>
          <w:rFonts w:hint="eastAsia" w:ascii="宋体" w:hAnsi="宋体" w:cs="宋体"/>
          <w:szCs w:val="24"/>
        </w:rPr>
        <w:t>2、在投标文件的审查、澄清、评价和比较以及确定中标人过程中，投标供应商对采购人和评标机构施加影响的任何行为，都将导致取消资格。</w:t>
      </w:r>
    </w:p>
    <w:p>
      <w:pPr>
        <w:pStyle w:val="109"/>
        <w:spacing w:before="0" w:line="500" w:lineRule="exact"/>
        <w:ind w:firstLine="482"/>
        <w:outlineLvl w:val="2"/>
        <w:rPr>
          <w:rFonts w:ascii="宋体" w:hAnsi="宋体" w:cs="宋体"/>
          <w:b/>
          <w:szCs w:val="24"/>
        </w:rPr>
      </w:pPr>
      <w:r>
        <w:rPr>
          <w:rFonts w:hint="eastAsia" w:ascii="宋体" w:hAnsi="宋体" w:cs="宋体"/>
          <w:b/>
          <w:szCs w:val="24"/>
        </w:rPr>
        <w:t>（十四） 投标文件的澄清</w:t>
      </w:r>
    </w:p>
    <w:p>
      <w:pPr>
        <w:snapToGrid w:val="0"/>
        <w:spacing w:line="500" w:lineRule="exact"/>
        <w:ind w:firstLine="480" w:firstLineChars="200"/>
        <w:rPr>
          <w:rFonts w:ascii="宋体" w:hAnsi="宋体" w:cs="宋体"/>
          <w:sz w:val="24"/>
        </w:rPr>
      </w:pPr>
      <w:r>
        <w:rPr>
          <w:rFonts w:hint="eastAsia" w:ascii="宋体" w:hAnsi="宋体" w:cs="宋体"/>
          <w:sz w:val="24"/>
        </w:rPr>
        <w:t>1、公开开标后，直到宣布中标人止，凡属于审查、澄清、评价和比较投标的所有资料，都不应向投标供应商或与评标无关的其他人泄露。</w:t>
      </w:r>
    </w:p>
    <w:p>
      <w:pPr>
        <w:snapToGrid w:val="0"/>
        <w:spacing w:line="500" w:lineRule="exact"/>
        <w:ind w:firstLine="480" w:firstLineChars="200"/>
        <w:rPr>
          <w:rFonts w:ascii="宋体" w:hAnsi="宋体" w:cs="宋体"/>
          <w:sz w:val="24"/>
        </w:rPr>
      </w:pPr>
      <w:r>
        <w:rPr>
          <w:rFonts w:hint="eastAsia" w:ascii="宋体" w:hAnsi="宋体" w:cs="宋体"/>
          <w:sz w:val="24"/>
        </w:rPr>
        <w:t>2、在投标文件的审查、澄清、评价和比较以及确定中标人过程中，投标供应商对采购人、采购代理机构和评标委员会施加影响的任何行为，都将导致取消资格。</w:t>
      </w:r>
    </w:p>
    <w:p>
      <w:pPr>
        <w:pStyle w:val="109"/>
        <w:spacing w:before="0" w:line="500" w:lineRule="exact"/>
        <w:ind w:firstLine="482"/>
        <w:outlineLvl w:val="2"/>
        <w:rPr>
          <w:rFonts w:ascii="宋体" w:hAnsi="宋体" w:cs="宋体"/>
          <w:b/>
          <w:szCs w:val="24"/>
        </w:rPr>
      </w:pPr>
      <w:r>
        <w:rPr>
          <w:rFonts w:hint="eastAsia" w:ascii="宋体" w:hAnsi="宋体" w:cs="宋体"/>
          <w:b/>
          <w:szCs w:val="24"/>
        </w:rPr>
        <w:t>（十五）废标</w:t>
      </w:r>
    </w:p>
    <w:p>
      <w:pPr>
        <w:pStyle w:val="21"/>
        <w:snapToGrid w:val="0"/>
        <w:rPr>
          <w:rFonts w:hAnsi="宋体" w:cs="宋体"/>
          <w:sz w:val="24"/>
          <w:szCs w:val="24"/>
        </w:rPr>
      </w:pPr>
      <w:r>
        <w:rPr>
          <w:rFonts w:hint="eastAsia" w:hAnsi="宋体" w:cs="宋体"/>
          <w:sz w:val="24"/>
          <w:szCs w:val="24"/>
        </w:rPr>
        <w:t>在采购中，出现下列情形之一的，应予废标：</w:t>
      </w:r>
    </w:p>
    <w:p>
      <w:pPr>
        <w:pStyle w:val="21"/>
        <w:snapToGrid w:val="0"/>
        <w:rPr>
          <w:rFonts w:hAnsi="宋体" w:cs="宋体"/>
          <w:sz w:val="24"/>
          <w:szCs w:val="24"/>
        </w:rPr>
      </w:pPr>
      <w:r>
        <w:rPr>
          <w:rFonts w:hint="eastAsia" w:hAnsi="宋体" w:cs="宋体"/>
          <w:sz w:val="24"/>
          <w:szCs w:val="24"/>
        </w:rPr>
        <w:t>1、符合专业条件的投标供应商或者对采购文件作实质响应的投标供应商不足3家的；</w:t>
      </w:r>
    </w:p>
    <w:p>
      <w:pPr>
        <w:pStyle w:val="21"/>
        <w:snapToGrid w:val="0"/>
        <w:rPr>
          <w:rFonts w:hAnsi="宋体" w:cs="宋体"/>
          <w:sz w:val="24"/>
          <w:szCs w:val="24"/>
        </w:rPr>
      </w:pPr>
      <w:r>
        <w:rPr>
          <w:rFonts w:hint="eastAsia" w:hAnsi="宋体" w:cs="宋体"/>
          <w:sz w:val="24"/>
          <w:szCs w:val="24"/>
        </w:rPr>
        <w:t>2、出现影响采购公正的违法、违规行为的；</w:t>
      </w:r>
    </w:p>
    <w:p>
      <w:pPr>
        <w:pStyle w:val="21"/>
        <w:snapToGrid w:val="0"/>
        <w:rPr>
          <w:rFonts w:hAnsi="宋体" w:cs="宋体"/>
          <w:sz w:val="24"/>
          <w:szCs w:val="24"/>
        </w:rPr>
      </w:pPr>
      <w:r>
        <w:rPr>
          <w:rFonts w:hint="eastAsia" w:hAnsi="宋体" w:cs="宋体"/>
          <w:sz w:val="24"/>
          <w:szCs w:val="24"/>
        </w:rPr>
        <w:t>3、报价均超过预算，不能支付的；</w:t>
      </w:r>
    </w:p>
    <w:p>
      <w:pPr>
        <w:snapToGrid w:val="0"/>
        <w:spacing w:line="500" w:lineRule="exact"/>
        <w:ind w:firstLine="480" w:firstLineChars="200"/>
        <w:rPr>
          <w:rFonts w:ascii="宋体" w:hAnsi="宋体" w:cs="宋体"/>
          <w:bCs/>
          <w:sz w:val="24"/>
        </w:rPr>
      </w:pPr>
      <w:r>
        <w:rPr>
          <w:rFonts w:hint="eastAsia" w:ascii="宋体" w:hAnsi="宋体" w:cs="宋体"/>
          <w:sz w:val="24"/>
        </w:rPr>
        <w:t>4、因重大变故，采购任务取消的。</w:t>
      </w:r>
    </w:p>
    <w:p>
      <w:pPr>
        <w:pStyle w:val="109"/>
        <w:spacing w:before="0" w:line="500" w:lineRule="exact"/>
        <w:ind w:firstLine="482"/>
        <w:outlineLvl w:val="2"/>
        <w:rPr>
          <w:rFonts w:ascii="宋体" w:hAnsi="宋体" w:cs="宋体"/>
          <w:b/>
          <w:szCs w:val="24"/>
        </w:rPr>
      </w:pPr>
      <w:r>
        <w:rPr>
          <w:rFonts w:hint="eastAsia" w:ascii="宋体" w:hAnsi="宋体" w:cs="宋体"/>
          <w:b/>
          <w:szCs w:val="24"/>
        </w:rPr>
        <w:t>（十六）可中止电子交易活动的情形</w:t>
      </w:r>
    </w:p>
    <w:p>
      <w:pPr>
        <w:spacing w:line="500" w:lineRule="exact"/>
        <w:ind w:firstLine="482" w:firstLineChars="200"/>
        <w:rPr>
          <w:rFonts w:ascii="宋体" w:hAnsi="宋体" w:cs="宋体"/>
          <w:sz w:val="24"/>
        </w:rPr>
      </w:pPr>
      <w:r>
        <w:rPr>
          <w:rFonts w:hint="eastAsia" w:ascii="宋体" w:hAnsi="宋体" w:cs="宋体"/>
          <w:b/>
          <w:sz w:val="24"/>
        </w:rPr>
        <w:t>采购过程中出现以下情形，导致电子交易平台无法正常运行，或者无法保证电子交易的公平、公正和安全时，采购代理机构可中止电子交易活动：</w:t>
      </w:r>
    </w:p>
    <w:p>
      <w:pPr>
        <w:spacing w:line="500" w:lineRule="exact"/>
        <w:ind w:firstLine="480" w:firstLineChars="200"/>
        <w:rPr>
          <w:rFonts w:ascii="宋体" w:hAnsi="宋体" w:cs="宋体"/>
          <w:sz w:val="24"/>
        </w:rPr>
      </w:pPr>
      <w:r>
        <w:rPr>
          <w:rFonts w:hint="eastAsia" w:ascii="宋体" w:hAnsi="宋体" w:cs="宋体"/>
          <w:sz w:val="24"/>
        </w:rPr>
        <w:t>1、电子交易平台发生故障而无法登录访问的；</w:t>
      </w:r>
    </w:p>
    <w:p>
      <w:pPr>
        <w:spacing w:line="500" w:lineRule="exact"/>
        <w:ind w:firstLine="480" w:firstLineChars="200"/>
        <w:rPr>
          <w:rFonts w:ascii="宋体" w:hAnsi="宋体" w:cs="宋体"/>
          <w:sz w:val="24"/>
        </w:rPr>
      </w:pPr>
      <w:r>
        <w:rPr>
          <w:rFonts w:hint="eastAsia" w:ascii="宋体" w:hAnsi="宋体" w:cs="宋体"/>
          <w:sz w:val="24"/>
        </w:rPr>
        <w:t>2、电子交易平台应用或数据库出现错误，不能进行正常操作的；</w:t>
      </w:r>
    </w:p>
    <w:p>
      <w:pPr>
        <w:spacing w:line="500" w:lineRule="exact"/>
        <w:ind w:firstLine="480" w:firstLineChars="200"/>
        <w:rPr>
          <w:rFonts w:ascii="宋体" w:hAnsi="宋体" w:cs="宋体"/>
          <w:sz w:val="24"/>
        </w:rPr>
      </w:pPr>
      <w:r>
        <w:rPr>
          <w:rFonts w:hint="eastAsia" w:ascii="宋体" w:hAnsi="宋体" w:cs="宋体"/>
          <w:sz w:val="24"/>
        </w:rPr>
        <w:t>3、电子交易平台发现严重安全漏洞，有潜在泄密危险的；</w:t>
      </w:r>
    </w:p>
    <w:p>
      <w:pPr>
        <w:spacing w:line="500" w:lineRule="exact"/>
        <w:ind w:firstLine="480" w:firstLineChars="200"/>
        <w:rPr>
          <w:rFonts w:ascii="宋体" w:hAnsi="宋体" w:cs="宋体"/>
          <w:sz w:val="24"/>
        </w:rPr>
      </w:pPr>
      <w:r>
        <w:rPr>
          <w:rFonts w:hint="eastAsia" w:ascii="宋体" w:hAnsi="宋体" w:cs="宋体"/>
          <w:sz w:val="24"/>
        </w:rPr>
        <w:t>4、病毒发作导致不能进行正常操作的；</w:t>
      </w:r>
    </w:p>
    <w:p>
      <w:pPr>
        <w:spacing w:line="500" w:lineRule="exact"/>
        <w:ind w:firstLine="480" w:firstLineChars="200"/>
        <w:rPr>
          <w:rFonts w:ascii="宋体" w:hAnsi="宋体" w:cs="宋体"/>
          <w:sz w:val="24"/>
        </w:rPr>
      </w:pPr>
      <w:r>
        <w:rPr>
          <w:rFonts w:hint="eastAsia" w:ascii="宋体" w:hAnsi="宋体" w:cs="宋体"/>
          <w:sz w:val="24"/>
        </w:rPr>
        <w:t>5、其他无法保证电子交易的公平、公正和安全的情况。</w:t>
      </w:r>
    </w:p>
    <w:p>
      <w:pPr>
        <w:pStyle w:val="21"/>
        <w:snapToGrid w:val="0"/>
        <w:ind w:firstLine="482" w:firstLineChars="200"/>
        <w:rPr>
          <w:rFonts w:hAnsi="宋体" w:cs="仿宋"/>
          <w:b/>
          <w:sz w:val="24"/>
          <w:szCs w:val="24"/>
        </w:rPr>
      </w:pPr>
      <w:r>
        <w:rPr>
          <w:rFonts w:hint="eastAsia" w:hAnsi="宋体" w:cs="宋体"/>
          <w:b/>
          <w:sz w:val="24"/>
          <w:szCs w:val="24"/>
        </w:rPr>
        <w:t>出现以上规定的情形，如果不影响采购公平、公正性的，采购代理机构可以待上述情形消除后继续组织电子交易活动；如果影响或可能影响采购公平、公正性的，应当重新采购</w:t>
      </w:r>
      <w:r>
        <w:rPr>
          <w:rFonts w:hint="eastAsia" w:hAnsi="宋体" w:cs="仿宋"/>
          <w:b/>
          <w:sz w:val="24"/>
          <w:szCs w:val="24"/>
        </w:rPr>
        <w:t>。</w:t>
      </w:r>
    </w:p>
    <w:p>
      <w:pPr>
        <w:spacing w:line="500" w:lineRule="exact"/>
        <w:jc w:val="center"/>
        <w:outlineLvl w:val="1"/>
        <w:rPr>
          <w:rFonts w:ascii="宋体" w:hAnsi="宋体" w:cs="仿宋"/>
          <w:b/>
          <w:sz w:val="32"/>
          <w:szCs w:val="32"/>
        </w:rPr>
      </w:pPr>
      <w:bookmarkStart w:id="23" w:name="_Toc7711"/>
      <w:r>
        <w:rPr>
          <w:rFonts w:hint="eastAsia" w:ascii="宋体" w:hAnsi="宋体" w:cs="仿宋"/>
          <w:b/>
          <w:sz w:val="32"/>
          <w:szCs w:val="32"/>
        </w:rPr>
        <w:t>六、定标</w:t>
      </w:r>
      <w:bookmarkEnd w:id="23"/>
    </w:p>
    <w:p>
      <w:pPr>
        <w:snapToGrid w:val="0"/>
        <w:spacing w:line="360" w:lineRule="auto"/>
        <w:ind w:firstLine="482" w:firstLineChars="200"/>
        <w:outlineLvl w:val="2"/>
        <w:rPr>
          <w:rFonts w:ascii="宋体" w:hAnsi="宋体" w:cs="仿宋"/>
          <w:b/>
          <w:sz w:val="24"/>
        </w:rPr>
      </w:pPr>
      <w:r>
        <w:rPr>
          <w:rFonts w:hint="eastAsia" w:ascii="宋体" w:hAnsi="宋体" w:cs="仿宋"/>
          <w:b/>
          <w:sz w:val="24"/>
        </w:rPr>
        <w:t>（一）确定中标人。本项目由采购单位授权评标委员会直接确定中标人。</w:t>
      </w:r>
    </w:p>
    <w:p>
      <w:pPr>
        <w:snapToGrid w:val="0"/>
        <w:spacing w:line="360" w:lineRule="auto"/>
        <w:ind w:firstLine="480" w:firstLineChars="200"/>
        <w:rPr>
          <w:rFonts w:ascii="宋体" w:hAnsi="宋体" w:cs="仿宋"/>
          <w:sz w:val="24"/>
        </w:rPr>
      </w:pPr>
      <w:r>
        <w:rPr>
          <w:rFonts w:hint="eastAsia" w:ascii="宋体" w:hAnsi="宋体" w:cs="仿宋"/>
          <w:sz w:val="24"/>
        </w:rPr>
        <w:t>1、采购代理机构在评标结束后2个工作日内将评标报告交采购单位确认，同时在发布招标公告的网站上对评标结果进行公示。</w:t>
      </w:r>
    </w:p>
    <w:p>
      <w:pPr>
        <w:snapToGrid w:val="0"/>
        <w:spacing w:line="360" w:lineRule="auto"/>
        <w:ind w:firstLine="480" w:firstLineChars="200"/>
        <w:rPr>
          <w:rFonts w:ascii="宋体" w:hAnsi="宋体" w:cs="仿宋"/>
          <w:sz w:val="24"/>
        </w:rPr>
      </w:pPr>
      <w:r>
        <w:rPr>
          <w:rFonts w:hint="eastAsia" w:ascii="宋体" w:hAnsi="宋体" w:cs="仿宋"/>
          <w:sz w:val="24"/>
        </w:rPr>
        <w:t>2、投标供应商对评标结果无异议的，采购单位应在收到评标报告后5个工作日内对评标结果进行确认。如有投标供应商对评标结果提出质疑的，采购单位可在质疑处理完毕后确定中标人。</w:t>
      </w:r>
    </w:p>
    <w:p>
      <w:pPr>
        <w:snapToGrid w:val="0"/>
        <w:spacing w:line="360" w:lineRule="auto"/>
        <w:ind w:firstLine="480" w:firstLineChars="200"/>
        <w:rPr>
          <w:rFonts w:ascii="宋体" w:hAnsi="宋体" w:cs="仿宋"/>
          <w:sz w:val="24"/>
        </w:rPr>
      </w:pPr>
      <w:r>
        <w:rPr>
          <w:rFonts w:hint="eastAsia" w:ascii="宋体" w:hAnsi="宋体" w:cs="仿宋"/>
          <w:sz w:val="24"/>
        </w:rPr>
        <w:t>3、采购单位依法确定中标人后2个工作日内，采购代理机构以书面形式发出《中标通知书》。</w:t>
      </w:r>
    </w:p>
    <w:p>
      <w:pPr>
        <w:snapToGrid w:val="0"/>
        <w:spacing w:line="360" w:lineRule="auto"/>
        <w:ind w:firstLine="482" w:firstLineChars="200"/>
        <w:outlineLvl w:val="2"/>
        <w:rPr>
          <w:rFonts w:ascii="宋体" w:hAnsi="宋体" w:cs="仿宋"/>
          <w:b/>
          <w:sz w:val="24"/>
        </w:rPr>
      </w:pPr>
      <w:r>
        <w:rPr>
          <w:rFonts w:hint="eastAsia" w:ascii="宋体" w:hAnsi="宋体" w:cs="仿宋"/>
          <w:b/>
          <w:sz w:val="24"/>
        </w:rPr>
        <w:t>（二）中标通知书</w:t>
      </w:r>
    </w:p>
    <w:p>
      <w:pPr>
        <w:snapToGrid w:val="0"/>
        <w:spacing w:line="360" w:lineRule="auto"/>
        <w:ind w:firstLine="480" w:firstLineChars="200"/>
        <w:rPr>
          <w:rFonts w:ascii="宋体" w:hAnsi="宋体" w:cs="仿宋"/>
          <w:sz w:val="24"/>
        </w:rPr>
      </w:pPr>
      <w:r>
        <w:rPr>
          <w:rFonts w:hint="eastAsia" w:ascii="宋体" w:hAnsi="宋体" w:cs="仿宋"/>
          <w:sz w:val="24"/>
        </w:rPr>
        <w:t>1、确定中标投标供应商后，招标采购单位将以书面形式发出中标通知书，通知中标的投标供应商其投标被接受。</w:t>
      </w:r>
    </w:p>
    <w:p>
      <w:pPr>
        <w:snapToGrid w:val="0"/>
        <w:spacing w:line="360" w:lineRule="auto"/>
        <w:ind w:firstLine="480" w:firstLineChars="200"/>
        <w:rPr>
          <w:rFonts w:ascii="宋体" w:hAnsi="宋体" w:cs="仿宋"/>
          <w:sz w:val="24"/>
        </w:rPr>
      </w:pPr>
      <w:r>
        <w:rPr>
          <w:rFonts w:hint="eastAsia" w:ascii="宋体" w:hAnsi="宋体" w:cs="仿宋"/>
          <w:sz w:val="24"/>
        </w:rPr>
        <w:t>2、中标通知书为双方签订合同的依据。</w:t>
      </w:r>
    </w:p>
    <w:p>
      <w:pPr>
        <w:snapToGrid w:val="0"/>
        <w:spacing w:line="360" w:lineRule="auto"/>
        <w:ind w:firstLine="480" w:firstLineChars="200"/>
        <w:rPr>
          <w:rFonts w:ascii="宋体" w:hAnsi="宋体" w:cs="仿宋"/>
          <w:sz w:val="24"/>
        </w:rPr>
      </w:pPr>
      <w:r>
        <w:rPr>
          <w:rFonts w:hint="eastAsia" w:ascii="宋体" w:hAnsi="宋体" w:cs="仿宋"/>
          <w:sz w:val="24"/>
        </w:rPr>
        <w:t>3、中标投标供应商应根据中标通知书中规定的时间内，由法定代表人或其授权代理人与采购单位签订合同。</w:t>
      </w:r>
    </w:p>
    <w:p>
      <w:pPr>
        <w:snapToGrid w:val="0"/>
        <w:spacing w:line="360" w:lineRule="auto"/>
        <w:ind w:firstLine="482" w:firstLineChars="200"/>
        <w:outlineLvl w:val="2"/>
        <w:rPr>
          <w:rFonts w:ascii="宋体" w:hAnsi="宋体" w:cs="仿宋"/>
          <w:b/>
          <w:sz w:val="24"/>
        </w:rPr>
      </w:pPr>
      <w:r>
        <w:rPr>
          <w:rFonts w:hint="eastAsia" w:ascii="宋体" w:hAnsi="宋体" w:cs="仿宋"/>
          <w:b/>
          <w:sz w:val="24"/>
        </w:rPr>
        <w:t>（三）出现下述情况之一的，采购单位可以与排位在中标人之后第一位的中标候选人签订政府采购合同，以此类推。采购单位也可重新组织招标。</w:t>
      </w:r>
    </w:p>
    <w:p>
      <w:pPr>
        <w:snapToGrid w:val="0"/>
        <w:spacing w:line="360" w:lineRule="auto"/>
        <w:ind w:firstLine="480" w:firstLineChars="200"/>
        <w:rPr>
          <w:rFonts w:ascii="宋体" w:hAnsi="宋体" w:cs="仿宋"/>
          <w:sz w:val="24"/>
        </w:rPr>
      </w:pPr>
      <w:r>
        <w:rPr>
          <w:rFonts w:hint="eastAsia" w:ascii="宋体" w:hAnsi="宋体" w:cs="仿宋"/>
          <w:sz w:val="24"/>
        </w:rPr>
        <w:t>1、中标人因自身原因放弃中标成交或因不可抗力不能履行合同的；</w:t>
      </w:r>
    </w:p>
    <w:p>
      <w:pPr>
        <w:snapToGrid w:val="0"/>
        <w:spacing w:line="360" w:lineRule="auto"/>
        <w:ind w:firstLine="480" w:firstLineChars="200"/>
        <w:rPr>
          <w:rFonts w:ascii="宋体" w:hAnsi="宋体" w:cs="仿宋"/>
          <w:sz w:val="24"/>
        </w:rPr>
      </w:pPr>
      <w:r>
        <w:rPr>
          <w:rFonts w:hint="eastAsia" w:ascii="宋体" w:hAnsi="宋体" w:cs="仿宋"/>
          <w:sz w:val="24"/>
        </w:rPr>
        <w:t>2、经质疑，采购代理机构审查确认因中标人在本次采购活动中存在违法违规行为或其他原因使质疑成立的。</w:t>
      </w:r>
    </w:p>
    <w:p>
      <w:pPr>
        <w:spacing w:line="360" w:lineRule="auto"/>
        <w:jc w:val="center"/>
        <w:outlineLvl w:val="1"/>
        <w:rPr>
          <w:rFonts w:ascii="宋体" w:hAnsi="宋体" w:cs="仿宋"/>
          <w:b/>
          <w:sz w:val="32"/>
          <w:szCs w:val="32"/>
        </w:rPr>
      </w:pPr>
      <w:bookmarkStart w:id="24" w:name="_Toc23098"/>
      <w:r>
        <w:rPr>
          <w:rFonts w:hint="eastAsia" w:ascii="宋体" w:hAnsi="宋体" w:cs="仿宋"/>
          <w:b/>
          <w:sz w:val="32"/>
          <w:szCs w:val="32"/>
        </w:rPr>
        <w:t>七、合同授予</w:t>
      </w:r>
      <w:bookmarkEnd w:id="24"/>
    </w:p>
    <w:p>
      <w:pPr>
        <w:snapToGrid w:val="0"/>
        <w:spacing w:line="360" w:lineRule="auto"/>
        <w:ind w:firstLine="482" w:firstLineChars="200"/>
        <w:outlineLvl w:val="2"/>
        <w:rPr>
          <w:rFonts w:ascii="宋体" w:hAnsi="宋体" w:cs="仿宋"/>
          <w:b/>
          <w:sz w:val="24"/>
        </w:rPr>
      </w:pPr>
      <w:r>
        <w:rPr>
          <w:rFonts w:hint="eastAsia" w:ascii="宋体" w:hAnsi="宋体" w:cs="仿宋"/>
          <w:b/>
          <w:sz w:val="24"/>
        </w:rPr>
        <w:t>（一）签订合同</w:t>
      </w:r>
    </w:p>
    <w:p>
      <w:pPr>
        <w:snapToGrid w:val="0"/>
        <w:spacing w:line="360" w:lineRule="auto"/>
        <w:ind w:firstLine="480" w:firstLineChars="200"/>
        <w:rPr>
          <w:rFonts w:ascii="宋体" w:hAnsi="宋体" w:cs="仿宋"/>
          <w:sz w:val="24"/>
        </w:rPr>
      </w:pPr>
      <w:r>
        <w:rPr>
          <w:rFonts w:hint="eastAsia" w:ascii="宋体" w:hAnsi="宋体" w:cs="仿宋"/>
          <w:sz w:val="24"/>
        </w:rPr>
        <w:t>1、采购人与中标人应当在《中标通知书》发出之日起30日内签订政府采购合同。同时，采购代理机构对合同内容进行审查，如发现与采购结果和投标承诺内容不一致的，应予以纠正。</w:t>
      </w:r>
    </w:p>
    <w:p>
      <w:pPr>
        <w:snapToGrid w:val="0"/>
        <w:spacing w:line="360" w:lineRule="auto"/>
        <w:ind w:firstLine="480" w:firstLineChars="200"/>
        <w:rPr>
          <w:rFonts w:ascii="宋体" w:hAnsi="宋体" w:cs="仿宋"/>
          <w:sz w:val="24"/>
        </w:rPr>
      </w:pPr>
      <w:r>
        <w:rPr>
          <w:rFonts w:hint="eastAsia" w:ascii="宋体" w:hAnsi="宋体" w:cs="仿宋"/>
          <w:sz w:val="24"/>
        </w:rPr>
        <w:t>2、中标人拖延、拒签合同的，或未按投标时承诺的内容履行的，将被取消中标资格，采购人可以与排位在中标人之后第一位的中标候选人签订政府采购合同,以此类推。</w:t>
      </w:r>
    </w:p>
    <w:p>
      <w:pPr>
        <w:spacing w:line="500" w:lineRule="exact"/>
        <w:jc w:val="center"/>
        <w:outlineLvl w:val="0"/>
        <w:rPr>
          <w:rFonts w:ascii="宋体" w:hAnsi="宋体" w:cs="仿宋"/>
          <w:b/>
          <w:sz w:val="44"/>
          <w:szCs w:val="44"/>
        </w:rPr>
      </w:pPr>
      <w:r>
        <w:rPr>
          <w:rFonts w:hint="eastAsia" w:ascii="宋体" w:hAnsi="宋体" w:cs="仿宋"/>
          <w:b/>
          <w:sz w:val="44"/>
          <w:szCs w:val="44"/>
        </w:rPr>
        <w:br w:type="page"/>
      </w:r>
      <w:bookmarkStart w:id="25" w:name="_Toc31705"/>
      <w:r>
        <w:rPr>
          <w:rFonts w:hint="eastAsia" w:ascii="宋体" w:hAnsi="宋体" w:cs="仿宋"/>
          <w:b/>
          <w:sz w:val="44"/>
          <w:szCs w:val="44"/>
        </w:rPr>
        <w:t>第四章  评标办法及评分标准</w:t>
      </w:r>
      <w:bookmarkEnd w:id="25"/>
    </w:p>
    <w:p>
      <w:pPr>
        <w:spacing w:line="500" w:lineRule="exact"/>
        <w:ind w:firstLine="480" w:firstLineChars="200"/>
        <w:rPr>
          <w:rFonts w:ascii="宋体" w:hAnsi="宋体" w:cs="仿宋"/>
          <w:sz w:val="24"/>
        </w:rPr>
      </w:pPr>
      <w:r>
        <w:rPr>
          <w:rFonts w:hint="eastAsia" w:ascii="宋体" w:hAnsi="宋体" w:cs="仿宋"/>
          <w:sz w:val="24"/>
        </w:rPr>
        <w:t>为公正、公平、科学地选择中标人，根据《中华人民共和国政府采购法》、《政府采购货物和服务招投标管理办法》等有关法律法规的规定，并结合本项目的实际，制定本办法。</w:t>
      </w:r>
    </w:p>
    <w:p>
      <w:pPr>
        <w:spacing w:line="500" w:lineRule="exact"/>
        <w:ind w:firstLine="480" w:firstLineChars="200"/>
        <w:rPr>
          <w:rFonts w:ascii="宋体" w:hAnsi="宋体" w:cs="仿宋"/>
          <w:bCs/>
          <w:sz w:val="24"/>
          <w:szCs w:val="48"/>
        </w:rPr>
      </w:pPr>
      <w:r>
        <w:rPr>
          <w:rFonts w:hint="eastAsia" w:ascii="宋体" w:hAnsi="宋体" w:cs="仿宋"/>
          <w:sz w:val="24"/>
        </w:rPr>
        <w:t>本办法适用于</w:t>
      </w:r>
      <w:r>
        <w:rPr>
          <w:rFonts w:hint="eastAsia" w:ascii="宋体" w:hAnsi="宋体" w:cs="仿宋"/>
          <w:sz w:val="24"/>
          <w:lang w:eastAsia="zh-CN"/>
        </w:rPr>
        <w:t>湖州市吴兴区织里镇街区立面整治服务采购项目</w:t>
      </w:r>
      <w:r>
        <w:rPr>
          <w:rFonts w:hint="eastAsia" w:ascii="宋体" w:hAnsi="宋体" w:cs="仿宋"/>
          <w:bCs/>
          <w:sz w:val="24"/>
          <w:szCs w:val="48"/>
        </w:rPr>
        <w:t>的评标。</w:t>
      </w:r>
    </w:p>
    <w:p>
      <w:pPr>
        <w:spacing w:line="500" w:lineRule="exact"/>
        <w:ind w:firstLine="562" w:firstLineChars="200"/>
        <w:outlineLvl w:val="1"/>
        <w:rPr>
          <w:rFonts w:ascii="宋体" w:hAnsi="宋体" w:cs="仿宋"/>
          <w:b/>
          <w:szCs w:val="28"/>
        </w:rPr>
      </w:pPr>
      <w:bookmarkStart w:id="26" w:name="_Toc23132"/>
      <w:r>
        <w:rPr>
          <w:rFonts w:hint="eastAsia" w:ascii="宋体" w:hAnsi="宋体" w:cs="仿宋"/>
          <w:b/>
          <w:szCs w:val="28"/>
        </w:rPr>
        <w:t>一、总则</w:t>
      </w:r>
      <w:bookmarkEnd w:id="26"/>
    </w:p>
    <w:p>
      <w:pPr>
        <w:spacing w:line="500" w:lineRule="exact"/>
        <w:ind w:firstLine="480" w:firstLineChars="200"/>
        <w:rPr>
          <w:rFonts w:ascii="宋体" w:hAnsi="宋体" w:cs="仿宋"/>
          <w:bCs/>
          <w:sz w:val="24"/>
        </w:rPr>
      </w:pPr>
      <w:r>
        <w:rPr>
          <w:rFonts w:hint="eastAsia" w:ascii="宋体" w:hAnsi="宋体" w:cs="仿宋"/>
          <w:sz w:val="24"/>
        </w:rPr>
        <w:t>本次评标采用综合评分法，总分为100分，其中价格分</w:t>
      </w:r>
      <w:r>
        <w:rPr>
          <w:rFonts w:hint="eastAsia" w:ascii="宋体" w:hAnsi="宋体" w:cs="仿宋"/>
          <w:sz w:val="24"/>
          <w:lang w:val="en-US" w:eastAsia="zh-CN"/>
        </w:rPr>
        <w:t>10</w:t>
      </w:r>
      <w:r>
        <w:rPr>
          <w:rFonts w:hint="eastAsia" w:ascii="宋体" w:hAnsi="宋体" w:cs="仿宋"/>
          <w:sz w:val="24"/>
        </w:rPr>
        <w:t>分；</w:t>
      </w:r>
      <w:r>
        <w:rPr>
          <w:rFonts w:hint="eastAsia" w:hAnsi="宋体" w:cs="仿宋"/>
          <w:sz w:val="24"/>
        </w:rPr>
        <w:t>技术、商务、资信及其他分</w:t>
      </w:r>
      <w:r>
        <w:rPr>
          <w:rFonts w:hint="eastAsia" w:ascii="宋体" w:hAnsi="宋体" w:cs="仿宋"/>
          <w:sz w:val="24"/>
          <w:lang w:val="en-US" w:eastAsia="zh-CN"/>
        </w:rPr>
        <w:t>90</w:t>
      </w:r>
      <w:r>
        <w:rPr>
          <w:rFonts w:hint="eastAsia" w:ascii="宋体" w:hAnsi="宋体" w:cs="仿宋"/>
          <w:sz w:val="24"/>
        </w:rPr>
        <w:t>分。合格供应商的评标得分为各项目汇总得分，中标候选资格按评标得分由高到低顺序排列，得分相同的，按投标报价由低到高顺序排列；得分且投标报价相同的，按技术得分由高到低顺序排列。排名第一位的供应商为中标候选人</w:t>
      </w:r>
      <w:r>
        <w:rPr>
          <w:rFonts w:hint="eastAsia" w:ascii="宋体" w:hAnsi="宋体" w:cs="仿宋"/>
          <w:sz w:val="24"/>
          <w:lang w:eastAsia="zh-CN"/>
        </w:rPr>
        <w:t>。</w:t>
      </w:r>
      <w:r>
        <w:rPr>
          <w:rFonts w:hint="eastAsia" w:ascii="宋体" w:hAnsi="宋体" w:cs="仿宋"/>
          <w:bCs/>
          <w:sz w:val="24"/>
        </w:rPr>
        <w:t>评分过程中采用四舍五入法，并保留小数2位。</w:t>
      </w:r>
    </w:p>
    <w:p>
      <w:pPr>
        <w:spacing w:line="500" w:lineRule="exact"/>
        <w:ind w:firstLine="480" w:firstLineChars="200"/>
        <w:rPr>
          <w:rFonts w:ascii="宋体" w:hAnsi="宋体" w:cs="仿宋"/>
          <w:bCs/>
          <w:sz w:val="24"/>
        </w:rPr>
      </w:pPr>
      <w:r>
        <w:rPr>
          <w:rFonts w:hint="eastAsia" w:ascii="宋体" w:hAnsi="宋体" w:cs="仿宋"/>
          <w:sz w:val="24"/>
        </w:rPr>
        <w:t>投标供应商评标</w:t>
      </w:r>
      <w:r>
        <w:rPr>
          <w:rFonts w:hint="eastAsia" w:ascii="宋体" w:hAnsi="宋体" w:cs="仿宋"/>
          <w:bCs/>
          <w:sz w:val="24"/>
        </w:rPr>
        <w:t>综合得分=价格分+</w:t>
      </w:r>
      <w:r>
        <w:rPr>
          <w:rFonts w:hint="eastAsia" w:hAnsi="宋体" w:cs="仿宋"/>
          <w:sz w:val="24"/>
        </w:rPr>
        <w:t>技术、商务、资信及其他分</w:t>
      </w:r>
    </w:p>
    <w:p>
      <w:pPr>
        <w:spacing w:line="520" w:lineRule="exact"/>
        <w:ind w:firstLine="562" w:firstLineChars="200"/>
        <w:jc w:val="left"/>
        <w:rPr>
          <w:rFonts w:ascii="宋体" w:hAnsi="宋体" w:cs="仿宋"/>
          <w:b/>
          <w:szCs w:val="28"/>
        </w:rPr>
      </w:pPr>
      <w:bookmarkStart w:id="27" w:name="_Toc25886"/>
      <w:r>
        <w:rPr>
          <w:rFonts w:hint="eastAsia" w:ascii="宋体" w:hAnsi="宋体" w:cs="仿宋"/>
          <w:b/>
          <w:szCs w:val="28"/>
        </w:rPr>
        <w:t>二、评标内容及标准</w:t>
      </w:r>
      <w:bookmarkEnd w:id="27"/>
    </w:p>
    <w:p>
      <w:pPr>
        <w:pStyle w:val="21"/>
        <w:ind w:firstLine="482" w:firstLineChars="200"/>
        <w:outlineLvl w:val="2"/>
        <w:rPr>
          <w:rFonts w:hAnsi="宋体" w:cs="仿宋"/>
          <w:b/>
          <w:bCs/>
          <w:sz w:val="24"/>
        </w:rPr>
      </w:pPr>
      <w:r>
        <w:rPr>
          <w:rFonts w:hint="eastAsia" w:hAnsi="宋体" w:cs="仿宋"/>
          <w:b/>
          <w:sz w:val="24"/>
        </w:rPr>
        <w:t>（一）</w:t>
      </w:r>
      <w:r>
        <w:rPr>
          <w:rFonts w:hint="eastAsia" w:hAnsi="宋体" w:cs="仿宋"/>
          <w:b/>
          <w:bCs/>
          <w:sz w:val="24"/>
        </w:rPr>
        <w:t>价格分（</w:t>
      </w:r>
      <w:r>
        <w:rPr>
          <w:rFonts w:hint="eastAsia" w:hAnsi="宋体" w:cs="仿宋"/>
          <w:b/>
          <w:bCs/>
          <w:sz w:val="24"/>
          <w:lang w:val="en-US" w:eastAsia="zh-CN"/>
        </w:rPr>
        <w:t>10</w:t>
      </w:r>
      <w:r>
        <w:rPr>
          <w:rFonts w:hint="eastAsia" w:hAnsi="宋体" w:cs="仿宋"/>
          <w:b/>
          <w:bCs/>
          <w:sz w:val="24"/>
        </w:rPr>
        <w:t>分）</w:t>
      </w:r>
    </w:p>
    <w:p>
      <w:pPr>
        <w:pStyle w:val="21"/>
        <w:ind w:firstLine="480" w:firstLineChars="200"/>
        <w:rPr>
          <w:rFonts w:hAnsi="宋体" w:cs="仿宋"/>
          <w:bCs/>
          <w:sz w:val="24"/>
        </w:rPr>
      </w:pPr>
      <w:r>
        <w:rPr>
          <w:rFonts w:hint="eastAsia" w:hAnsi="宋体" w:cs="仿宋"/>
          <w:bCs/>
          <w:sz w:val="24"/>
        </w:rPr>
        <w:t>价格部分评审：</w:t>
      </w:r>
    </w:p>
    <w:p>
      <w:pPr>
        <w:pStyle w:val="21"/>
        <w:ind w:firstLine="482" w:firstLineChars="200"/>
        <w:rPr>
          <w:rFonts w:hint="eastAsia" w:hAnsi="宋体" w:eastAsia="宋体" w:cs="仿宋"/>
          <w:b/>
          <w:bCs w:val="0"/>
          <w:sz w:val="24"/>
          <w:lang w:eastAsia="zh-CN"/>
        </w:rPr>
      </w:pPr>
      <w:r>
        <w:rPr>
          <w:rFonts w:hint="eastAsia" w:hAnsi="宋体" w:cs="仿宋"/>
          <w:b/>
          <w:bCs w:val="0"/>
          <w:sz w:val="24"/>
        </w:rPr>
        <w:t>投标人的报价高于</w:t>
      </w:r>
      <w:r>
        <w:rPr>
          <w:rFonts w:hint="eastAsia" w:hAnsi="宋体" w:cs="仿宋"/>
          <w:b/>
          <w:bCs w:val="0"/>
          <w:sz w:val="24"/>
          <w:lang w:val="en-US" w:eastAsia="zh-CN"/>
        </w:rPr>
        <w:t>预算</w:t>
      </w:r>
      <w:r>
        <w:rPr>
          <w:rFonts w:hint="eastAsia" w:hAnsi="宋体" w:cs="仿宋"/>
          <w:b/>
          <w:bCs w:val="0"/>
          <w:sz w:val="24"/>
          <w:lang w:eastAsia="zh-CN"/>
        </w:rPr>
        <w:t>金额</w:t>
      </w:r>
      <w:r>
        <w:rPr>
          <w:rFonts w:hint="eastAsia" w:hAnsi="宋体" w:cs="仿宋"/>
          <w:b/>
          <w:bCs w:val="0"/>
          <w:sz w:val="24"/>
        </w:rPr>
        <w:t>的，则该报价为无效投标</w:t>
      </w:r>
      <w:r>
        <w:rPr>
          <w:rFonts w:hint="eastAsia" w:hAnsi="宋体" w:cs="仿宋"/>
          <w:b/>
          <w:bCs w:val="0"/>
          <w:sz w:val="24"/>
          <w:lang w:eastAsia="zh-CN"/>
        </w:rPr>
        <w:t>。</w:t>
      </w:r>
    </w:p>
    <w:p>
      <w:pPr>
        <w:pStyle w:val="21"/>
        <w:ind w:firstLine="482" w:firstLineChars="200"/>
        <w:rPr>
          <w:rFonts w:hAnsi="宋体" w:cs="仿宋"/>
          <w:b/>
          <w:bCs w:val="0"/>
          <w:sz w:val="24"/>
          <w:szCs w:val="24"/>
        </w:rPr>
      </w:pPr>
      <w:r>
        <w:rPr>
          <w:rFonts w:hint="eastAsia" w:hAnsi="宋体" w:cs="仿宋"/>
          <w:b/>
          <w:bCs w:val="0"/>
          <w:sz w:val="24"/>
        </w:rPr>
        <w:t>价格分</w:t>
      </w:r>
      <w:r>
        <w:rPr>
          <w:rFonts w:hint="eastAsia" w:hAnsi="宋体" w:cs="仿宋"/>
          <w:b/>
          <w:bCs w:val="0"/>
          <w:sz w:val="24"/>
          <w:szCs w:val="24"/>
        </w:rPr>
        <w:t>采用低价优先法计算，即满足招标文件要求且投标价格最低的有效投标报价为评标基准价，其他投标供应商的价格分按照下列公式计算（结果保留2位小数，第3位四舍五入）：</w:t>
      </w:r>
    </w:p>
    <w:p>
      <w:pPr>
        <w:pStyle w:val="21"/>
        <w:ind w:firstLine="482" w:firstLineChars="200"/>
        <w:rPr>
          <w:rFonts w:hAnsi="宋体" w:cs="仿宋"/>
          <w:b/>
          <w:bCs w:val="0"/>
          <w:sz w:val="24"/>
          <w:szCs w:val="24"/>
        </w:rPr>
      </w:pPr>
      <w:r>
        <w:rPr>
          <w:rFonts w:hint="eastAsia" w:hAnsi="宋体" w:cs="仿宋"/>
          <w:b/>
          <w:bCs w:val="0"/>
          <w:sz w:val="24"/>
          <w:szCs w:val="24"/>
        </w:rPr>
        <w:t>价格分=【评标基准价/投标报价】×</w:t>
      </w:r>
      <w:r>
        <w:rPr>
          <w:rFonts w:hint="eastAsia" w:hAnsi="宋体" w:cs="仿宋"/>
          <w:b/>
          <w:bCs w:val="0"/>
          <w:sz w:val="24"/>
          <w:szCs w:val="24"/>
          <w:lang w:val="en-US" w:eastAsia="zh-CN"/>
        </w:rPr>
        <w:t>1</w:t>
      </w:r>
      <w:r>
        <w:rPr>
          <w:rFonts w:hint="eastAsia" w:hAnsi="宋体" w:cs="仿宋"/>
          <w:b/>
          <w:bCs w:val="0"/>
          <w:sz w:val="24"/>
          <w:szCs w:val="24"/>
        </w:rPr>
        <w:t>0%×100</w:t>
      </w:r>
    </w:p>
    <w:p>
      <w:pPr>
        <w:spacing w:line="460" w:lineRule="exact"/>
        <w:ind w:firstLine="360" w:firstLineChars="150"/>
        <w:rPr>
          <w:rFonts w:ascii="宋体" w:hAnsi="宋体"/>
          <w:sz w:val="24"/>
        </w:rPr>
      </w:pPr>
      <w:r>
        <w:rPr>
          <w:rFonts w:hint="eastAsia" w:ascii="宋体" w:hAnsi="宋体"/>
          <w:sz w:val="24"/>
        </w:rPr>
        <w:t xml:space="preserve">扶持政策说明： </w:t>
      </w:r>
    </w:p>
    <w:p>
      <w:pPr>
        <w:spacing w:line="460" w:lineRule="exact"/>
        <w:ind w:firstLine="360" w:firstLineChars="150"/>
        <w:rPr>
          <w:rFonts w:ascii="宋体" w:hAnsi="宋体"/>
          <w:bCs/>
          <w:sz w:val="24"/>
        </w:rPr>
      </w:pPr>
      <w:r>
        <w:rPr>
          <w:rFonts w:hint="eastAsia" w:ascii="宋体" w:hAnsi="宋体"/>
          <w:sz w:val="24"/>
        </w:rPr>
        <w:t>1、根据财政部、工业和信息化部制定的</w:t>
      </w:r>
      <w:r>
        <w:rPr>
          <w:rFonts w:hint="eastAsia" w:ascii="宋体" w:hAnsi="宋体" w:cs="宋体"/>
          <w:bCs/>
          <w:sz w:val="24"/>
        </w:rPr>
        <w:t>《政府采购促进中小企业发展管理办法》</w:t>
      </w:r>
      <w:r>
        <w:rPr>
          <w:rFonts w:hint="eastAsia" w:ascii="宋体" w:hAnsi="宋体" w:cs="仿宋"/>
          <w:kern w:val="0"/>
          <w:sz w:val="24"/>
        </w:rPr>
        <w:t>（财库</w:t>
      </w:r>
      <w:r>
        <w:rPr>
          <w:rFonts w:hint="eastAsia" w:ascii="宋体" w:hAnsi="宋体" w:cs="宋体"/>
          <w:kern w:val="0"/>
          <w:sz w:val="24"/>
          <w:lang w:val="en-US" w:eastAsia="zh-CN"/>
        </w:rPr>
        <w:t>[2020]</w:t>
      </w:r>
      <w:r>
        <w:rPr>
          <w:rFonts w:ascii="宋体" w:hAnsi="宋体" w:cs="仿宋"/>
          <w:kern w:val="0"/>
          <w:sz w:val="24"/>
        </w:rPr>
        <w:t>46</w:t>
      </w:r>
      <w:r>
        <w:rPr>
          <w:rFonts w:hint="eastAsia" w:ascii="宋体" w:hAnsi="宋体" w:cs="仿宋"/>
          <w:kern w:val="0"/>
          <w:sz w:val="24"/>
        </w:rPr>
        <w:t>号）</w:t>
      </w:r>
      <w:r>
        <w:rPr>
          <w:rFonts w:hint="eastAsia" w:ascii="宋体" w:hAnsi="宋体"/>
          <w:sz w:val="24"/>
        </w:rPr>
        <w:t>，对小型或微型企业的投标报价给予6%的扣除，并用扣除后的价格计算价格评分。</w:t>
      </w:r>
      <w:r>
        <w:rPr>
          <w:rFonts w:hint="eastAsia" w:ascii="宋体" w:hAnsi="宋体"/>
          <w:bCs/>
          <w:sz w:val="24"/>
        </w:rPr>
        <w:t>属于小型和微型企业的，响应文件中供应商必须提供的《中小企业声明函》，并在报价明细表中说明制造商情况。</w:t>
      </w:r>
    </w:p>
    <w:p>
      <w:pPr>
        <w:spacing w:line="460" w:lineRule="exact"/>
        <w:ind w:firstLine="360" w:firstLineChars="150"/>
        <w:rPr>
          <w:rFonts w:ascii="宋体" w:hAnsi="宋体"/>
          <w:sz w:val="24"/>
        </w:rPr>
      </w:pPr>
      <w:r>
        <w:rPr>
          <w:rFonts w:hint="eastAsia" w:ascii="宋体" w:hAnsi="宋体"/>
          <w:sz w:val="24"/>
        </w:rPr>
        <w:t>2、监狱企业参加投标【提供《监狱企业声明函》及其相关的充分的证明材料】，视为小型、微型企业，享受小微企业政策扶持。</w:t>
      </w:r>
    </w:p>
    <w:p>
      <w:pPr>
        <w:spacing w:line="460" w:lineRule="exact"/>
        <w:ind w:firstLine="360" w:firstLineChars="150"/>
        <w:rPr>
          <w:rFonts w:ascii="宋体" w:hAnsi="宋体"/>
          <w:sz w:val="24"/>
        </w:rPr>
      </w:pPr>
      <w:r>
        <w:rPr>
          <w:rFonts w:hint="eastAsia" w:ascii="宋体" w:hAnsi="宋体"/>
          <w:sz w:val="24"/>
        </w:rPr>
        <w:t>3、残疾人福利性单位参加投标【提供《残疾人福利性单位声明函》】，视为小型、微型企业，享受小微企业政策扶持。</w:t>
      </w:r>
    </w:p>
    <w:p>
      <w:pPr>
        <w:pStyle w:val="21"/>
        <w:ind w:firstLine="480" w:firstLineChars="200"/>
        <w:rPr>
          <w:rFonts w:hAnsi="宋体" w:cs="仿宋"/>
          <w:bCs/>
          <w:sz w:val="24"/>
          <w:szCs w:val="24"/>
        </w:rPr>
      </w:pPr>
      <w:r>
        <w:rPr>
          <w:rFonts w:hint="eastAsia" w:hAnsi="宋体" w:cs="仿宋"/>
          <w:bCs/>
          <w:sz w:val="24"/>
          <w:szCs w:val="24"/>
        </w:rPr>
        <w:t>此项由评审小组集体核实后统一评分。</w:t>
      </w:r>
    </w:p>
    <w:p>
      <w:pPr>
        <w:pStyle w:val="21"/>
        <w:ind w:firstLine="0"/>
        <w:outlineLvl w:val="2"/>
        <w:rPr>
          <w:rFonts w:hAnsi="宋体" w:cs="仿宋"/>
          <w:b/>
          <w:bCs/>
          <w:sz w:val="24"/>
        </w:rPr>
      </w:pPr>
      <w:r>
        <w:rPr>
          <w:rFonts w:hint="eastAsia" w:hAnsi="宋体" w:cs="仿宋"/>
          <w:b/>
          <w:bCs/>
          <w:sz w:val="24"/>
        </w:rPr>
        <w:t>（二）技术、商务、资信及其他分（</w:t>
      </w:r>
      <w:r>
        <w:rPr>
          <w:rFonts w:hint="eastAsia" w:hAnsi="宋体" w:cs="仿宋"/>
          <w:b/>
          <w:bCs/>
          <w:sz w:val="24"/>
          <w:lang w:val="en-US" w:eastAsia="zh-CN"/>
        </w:rPr>
        <w:t>9</w:t>
      </w:r>
      <w:r>
        <w:rPr>
          <w:rFonts w:hint="eastAsia" w:hAnsi="宋体" w:cs="仿宋"/>
          <w:b/>
          <w:bCs/>
          <w:sz w:val="24"/>
        </w:rPr>
        <w:t>0分）</w:t>
      </w:r>
    </w:p>
    <w:p>
      <w:pPr>
        <w:spacing w:line="500" w:lineRule="exact"/>
        <w:ind w:firstLine="480" w:firstLineChars="200"/>
        <w:rPr>
          <w:rFonts w:hAnsi="宋体" w:cs="仿宋"/>
          <w:sz w:val="24"/>
        </w:rPr>
      </w:pPr>
      <w:r>
        <w:rPr>
          <w:rFonts w:hint="eastAsia" w:hAnsi="宋体" w:cs="仿宋"/>
          <w:sz w:val="24"/>
        </w:rPr>
        <w:t>技术、商务、资信及其他分按照</w:t>
      </w:r>
      <w:r>
        <w:rPr>
          <w:rFonts w:hint="eastAsia" w:hAnsi="宋体" w:cs="仿宋"/>
          <w:sz w:val="24"/>
          <w:lang w:eastAsia="zh-CN"/>
        </w:rPr>
        <w:t>评标</w:t>
      </w:r>
      <w:r>
        <w:rPr>
          <w:rFonts w:hint="eastAsia" w:hAnsi="宋体" w:cs="仿宋"/>
          <w:sz w:val="24"/>
        </w:rPr>
        <w:t>小组成员的独立评分结果汇总数的算术平均分计算，计算公式为：</w:t>
      </w:r>
    </w:p>
    <w:p>
      <w:pPr>
        <w:spacing w:line="500" w:lineRule="exact"/>
        <w:ind w:firstLine="482" w:firstLineChars="200"/>
        <w:rPr>
          <w:rFonts w:hAnsi="宋体" w:cs="仿宋"/>
          <w:b/>
          <w:bCs/>
          <w:sz w:val="24"/>
        </w:rPr>
      </w:pPr>
      <w:r>
        <w:rPr>
          <w:rFonts w:hint="eastAsia" w:hAnsi="宋体" w:cs="仿宋"/>
          <w:b/>
          <w:bCs/>
          <w:sz w:val="24"/>
        </w:rPr>
        <w:t>技术、商务、资信及其他分=（</w:t>
      </w:r>
      <w:r>
        <w:rPr>
          <w:rFonts w:hint="eastAsia" w:hAnsi="宋体" w:cs="仿宋"/>
          <w:b/>
          <w:bCs/>
          <w:sz w:val="24"/>
          <w:lang w:eastAsia="zh-CN"/>
        </w:rPr>
        <w:t>评标</w:t>
      </w:r>
      <w:r>
        <w:rPr>
          <w:rFonts w:hint="eastAsia" w:hAnsi="宋体" w:cs="仿宋"/>
          <w:b/>
          <w:bCs/>
          <w:sz w:val="24"/>
        </w:rPr>
        <w:t>小组所有成员评分合计数）/（</w:t>
      </w:r>
      <w:r>
        <w:rPr>
          <w:rFonts w:hint="eastAsia" w:hAnsi="宋体" w:cs="仿宋"/>
          <w:b/>
          <w:bCs/>
          <w:sz w:val="24"/>
          <w:lang w:eastAsia="zh-CN"/>
        </w:rPr>
        <w:t>评标</w:t>
      </w:r>
      <w:r>
        <w:rPr>
          <w:rFonts w:hint="eastAsia" w:hAnsi="宋体" w:cs="仿宋"/>
          <w:b/>
          <w:bCs/>
          <w:sz w:val="24"/>
        </w:rPr>
        <w:t>小组组成人员数）</w:t>
      </w:r>
    </w:p>
    <w:p>
      <w:pPr>
        <w:spacing w:line="440" w:lineRule="exact"/>
      </w:pPr>
      <w:r>
        <w:rPr>
          <w:rFonts w:hint="eastAsia" w:ascii="宋体" w:hAnsi="宋体" w:cs="宋体"/>
          <w:b/>
          <w:sz w:val="24"/>
        </w:rPr>
        <w:t>附件：评分表格式（技术、商务、资信及其他分，共</w:t>
      </w:r>
      <w:r>
        <w:rPr>
          <w:rFonts w:hint="eastAsia" w:ascii="宋体" w:hAnsi="宋体" w:cs="宋体"/>
          <w:b/>
          <w:sz w:val="24"/>
          <w:lang w:val="en-US" w:eastAsia="zh-CN"/>
        </w:rPr>
        <w:t>90</w:t>
      </w:r>
      <w:r>
        <w:rPr>
          <w:rFonts w:hint="eastAsia" w:ascii="宋体" w:hAnsi="宋体" w:cs="宋体"/>
          <w:b/>
          <w:sz w:val="24"/>
        </w:rPr>
        <w:t>分）</w:t>
      </w:r>
    </w:p>
    <w:p/>
    <w:tbl>
      <w:tblPr>
        <w:tblStyle w:val="40"/>
        <w:tblW w:w="9817" w:type="dxa"/>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614"/>
        <w:gridCol w:w="6520"/>
        <w:gridCol w:w="938"/>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45" w:type="dxa"/>
            <w:vAlign w:val="center"/>
          </w:tcPr>
          <w:p>
            <w:pPr>
              <w:adjustRightInd w:val="0"/>
              <w:snapToGrid w:val="0"/>
              <w:spacing w:line="340" w:lineRule="exact"/>
              <w:jc w:val="center"/>
              <w:rPr>
                <w:rFonts w:ascii="宋体" w:hAnsi="宋体" w:eastAsia="宋体" w:cs="微软雅黑"/>
                <w:b/>
                <w:sz w:val="22"/>
                <w:szCs w:val="22"/>
              </w:rPr>
            </w:pPr>
            <w:bookmarkStart w:id="28" w:name="_Toc16549"/>
            <w:r>
              <w:rPr>
                <w:rFonts w:hint="eastAsia" w:ascii="宋体" w:hAnsi="宋体" w:eastAsia="宋体" w:cs="微软雅黑"/>
                <w:b/>
                <w:sz w:val="22"/>
                <w:szCs w:val="22"/>
              </w:rPr>
              <w:t>序号</w:t>
            </w:r>
          </w:p>
        </w:tc>
        <w:tc>
          <w:tcPr>
            <w:tcW w:w="1614" w:type="dxa"/>
            <w:vAlign w:val="center"/>
          </w:tcPr>
          <w:p>
            <w:pPr>
              <w:adjustRightInd w:val="0"/>
              <w:snapToGrid w:val="0"/>
              <w:spacing w:line="340" w:lineRule="exact"/>
              <w:ind w:firstLine="442" w:firstLineChars="200"/>
              <w:rPr>
                <w:rFonts w:ascii="宋体" w:hAnsi="宋体" w:eastAsia="宋体" w:cs="微软雅黑"/>
                <w:b/>
                <w:sz w:val="22"/>
                <w:szCs w:val="22"/>
              </w:rPr>
            </w:pPr>
            <w:r>
              <w:rPr>
                <w:rFonts w:hint="eastAsia" w:ascii="宋体" w:hAnsi="宋体" w:eastAsia="宋体" w:cs="微软雅黑"/>
                <w:b/>
                <w:sz w:val="22"/>
                <w:szCs w:val="22"/>
              </w:rPr>
              <w:t>评分内容</w:t>
            </w:r>
          </w:p>
        </w:tc>
        <w:tc>
          <w:tcPr>
            <w:tcW w:w="6520" w:type="dxa"/>
            <w:vAlign w:val="center"/>
          </w:tcPr>
          <w:p>
            <w:pPr>
              <w:adjustRightInd w:val="0"/>
              <w:snapToGrid w:val="0"/>
              <w:spacing w:line="340" w:lineRule="exact"/>
              <w:ind w:firstLine="442" w:firstLineChars="200"/>
              <w:jc w:val="center"/>
              <w:rPr>
                <w:rFonts w:ascii="宋体" w:hAnsi="宋体" w:eastAsia="宋体" w:cs="微软雅黑"/>
                <w:b/>
                <w:sz w:val="22"/>
                <w:szCs w:val="22"/>
              </w:rPr>
            </w:pPr>
            <w:r>
              <w:rPr>
                <w:rFonts w:hint="eastAsia" w:ascii="宋体" w:hAnsi="宋体" w:eastAsia="宋体" w:cs="微软雅黑"/>
                <w:b/>
                <w:sz w:val="22"/>
                <w:szCs w:val="22"/>
              </w:rPr>
              <w:t>评分标准</w:t>
            </w:r>
          </w:p>
        </w:tc>
        <w:tc>
          <w:tcPr>
            <w:tcW w:w="938" w:type="dxa"/>
            <w:vAlign w:val="center"/>
          </w:tcPr>
          <w:p>
            <w:pPr>
              <w:adjustRightInd w:val="0"/>
              <w:snapToGrid w:val="0"/>
              <w:spacing w:line="340" w:lineRule="exact"/>
              <w:jc w:val="center"/>
              <w:rPr>
                <w:rFonts w:ascii="宋体" w:hAnsi="宋体" w:eastAsia="宋体" w:cs="微软雅黑"/>
                <w:b/>
                <w:sz w:val="22"/>
                <w:szCs w:val="22"/>
              </w:rPr>
            </w:pPr>
            <w:r>
              <w:rPr>
                <w:rFonts w:hint="eastAsia" w:ascii="宋体" w:hAnsi="宋体" w:eastAsia="宋体" w:cs="微软雅黑"/>
                <w:b/>
                <w:sz w:val="22"/>
                <w:szCs w:val="22"/>
              </w:rPr>
              <w:t>分值</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45" w:type="dxa"/>
            <w:vAlign w:val="center"/>
          </w:tcPr>
          <w:p>
            <w:pPr>
              <w:adjustRightInd w:val="0"/>
              <w:snapToGrid w:val="0"/>
              <w:spacing w:line="340" w:lineRule="exact"/>
              <w:jc w:val="center"/>
              <w:rPr>
                <w:rFonts w:ascii="宋体" w:hAnsi="宋体" w:eastAsia="宋体" w:cs="微软雅黑"/>
                <w:b/>
                <w:sz w:val="22"/>
                <w:szCs w:val="22"/>
              </w:rPr>
            </w:pPr>
            <w:r>
              <w:rPr>
                <w:rFonts w:hint="eastAsia" w:ascii="宋体" w:hAnsi="宋体" w:eastAsia="宋体" w:cs="微软雅黑"/>
                <w:b/>
                <w:sz w:val="22"/>
                <w:szCs w:val="22"/>
              </w:rPr>
              <w:t>一</w:t>
            </w:r>
          </w:p>
        </w:tc>
        <w:tc>
          <w:tcPr>
            <w:tcW w:w="8134" w:type="dxa"/>
            <w:gridSpan w:val="2"/>
            <w:vAlign w:val="center"/>
          </w:tcPr>
          <w:p>
            <w:pPr>
              <w:adjustRightInd w:val="0"/>
              <w:snapToGrid w:val="0"/>
              <w:spacing w:line="340" w:lineRule="exact"/>
              <w:ind w:firstLine="442" w:firstLineChars="200"/>
              <w:jc w:val="center"/>
              <w:rPr>
                <w:rFonts w:ascii="宋体" w:hAnsi="宋体" w:eastAsia="宋体" w:cs="微软雅黑"/>
                <w:b/>
                <w:sz w:val="22"/>
                <w:szCs w:val="22"/>
              </w:rPr>
            </w:pPr>
            <w:r>
              <w:rPr>
                <w:rFonts w:hint="eastAsia" w:ascii="宋体" w:hAnsi="宋体" w:eastAsia="宋体" w:cs="微软雅黑"/>
                <w:b/>
                <w:sz w:val="22"/>
                <w:szCs w:val="22"/>
              </w:rPr>
              <w:t>技术分</w:t>
            </w:r>
          </w:p>
        </w:tc>
        <w:tc>
          <w:tcPr>
            <w:tcW w:w="938" w:type="dxa"/>
            <w:vAlign w:val="center"/>
          </w:tcPr>
          <w:p>
            <w:pPr>
              <w:adjustRightInd w:val="0"/>
              <w:snapToGrid w:val="0"/>
              <w:spacing w:line="340" w:lineRule="exact"/>
              <w:jc w:val="center"/>
              <w:rPr>
                <w:rFonts w:hint="default" w:ascii="宋体" w:hAnsi="宋体" w:eastAsia="宋体" w:cs="微软雅黑"/>
                <w:b/>
                <w:sz w:val="22"/>
                <w:szCs w:val="22"/>
                <w:lang w:val="en-US" w:eastAsia="zh-CN"/>
              </w:rPr>
            </w:pPr>
            <w:r>
              <w:rPr>
                <w:rFonts w:hint="eastAsia" w:ascii="宋体" w:hAnsi="宋体" w:cs="微软雅黑"/>
                <w:b/>
                <w:sz w:val="22"/>
                <w:szCs w:val="22"/>
                <w:lang w:val="en-US" w:eastAsia="zh-CN"/>
              </w:rPr>
              <w:t>51</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vAlign w:val="center"/>
          </w:tcPr>
          <w:p>
            <w:pPr>
              <w:adjustRightInd w:val="0"/>
              <w:snapToGrid w:val="0"/>
              <w:spacing w:line="340" w:lineRule="exact"/>
              <w:jc w:val="center"/>
              <w:rPr>
                <w:rFonts w:ascii="宋体" w:hAnsi="宋体" w:eastAsia="宋体" w:cs="微软雅黑"/>
                <w:bCs/>
                <w:sz w:val="22"/>
                <w:szCs w:val="22"/>
              </w:rPr>
            </w:pPr>
            <w:r>
              <w:rPr>
                <w:rFonts w:hint="eastAsia" w:ascii="宋体" w:hAnsi="宋体" w:eastAsia="宋体" w:cs="微软雅黑"/>
                <w:bCs/>
                <w:sz w:val="22"/>
                <w:szCs w:val="22"/>
              </w:rPr>
              <w:t>1</w:t>
            </w:r>
          </w:p>
        </w:tc>
        <w:tc>
          <w:tcPr>
            <w:tcW w:w="1614" w:type="dxa"/>
            <w:vAlign w:val="center"/>
          </w:tcPr>
          <w:p>
            <w:pPr>
              <w:adjustRightInd w:val="0"/>
              <w:spacing w:line="340" w:lineRule="exact"/>
              <w:jc w:val="center"/>
              <w:rPr>
                <w:rFonts w:hint="eastAsia" w:ascii="宋体" w:hAnsi="宋体" w:eastAsia="宋体" w:cs="微软雅黑"/>
                <w:sz w:val="22"/>
                <w:szCs w:val="22"/>
                <w:lang w:val="en-US" w:eastAsia="zh-CN"/>
              </w:rPr>
            </w:pPr>
            <w:r>
              <w:rPr>
                <w:rFonts w:hint="eastAsia" w:ascii="宋体" w:hAnsi="宋体" w:cs="Arial"/>
                <w:kern w:val="0"/>
                <w:sz w:val="22"/>
                <w:szCs w:val="22"/>
              </w:rPr>
              <w:t>项目具体实施方案（质量、安全、服务及承诺等）</w:t>
            </w:r>
          </w:p>
        </w:tc>
        <w:tc>
          <w:tcPr>
            <w:tcW w:w="6520" w:type="dxa"/>
            <w:vAlign w:val="center"/>
          </w:tcPr>
          <w:p>
            <w:pPr>
              <w:adjustRightInd w:val="0"/>
              <w:spacing w:line="340" w:lineRule="exact"/>
              <w:jc w:val="both"/>
              <w:rPr>
                <w:rFonts w:hint="default" w:ascii="宋体" w:hAnsi="宋体" w:eastAsia="宋体" w:cs="微软雅黑"/>
                <w:sz w:val="22"/>
                <w:szCs w:val="22"/>
                <w:lang w:val="en-US" w:eastAsia="zh-CN"/>
              </w:rPr>
            </w:pPr>
            <w:r>
              <w:rPr>
                <w:rFonts w:hint="eastAsia" w:ascii="宋体" w:hAnsi="宋体"/>
                <w:kern w:val="0"/>
                <w:sz w:val="22"/>
                <w:szCs w:val="22"/>
              </w:rPr>
              <w:t>根据投标人提供的</w:t>
            </w:r>
            <w:r>
              <w:rPr>
                <w:rFonts w:hint="eastAsia" w:ascii="宋体" w:hAnsi="宋体" w:cs="Arial"/>
                <w:kern w:val="0"/>
                <w:sz w:val="22"/>
                <w:szCs w:val="22"/>
              </w:rPr>
              <w:t>项目具体实施方案（含质量、安全、服务及承诺等）情况</w:t>
            </w:r>
            <w:r>
              <w:rPr>
                <w:rFonts w:hint="eastAsia" w:ascii="宋体" w:hAnsi="宋体"/>
                <w:kern w:val="0"/>
                <w:sz w:val="22"/>
                <w:szCs w:val="22"/>
              </w:rPr>
              <w:t>，综合比较打分：</w:t>
            </w:r>
            <w:r>
              <w:rPr>
                <w:rFonts w:hint="eastAsia" w:ascii="宋体" w:hAnsi="宋体" w:cs="Arial"/>
                <w:kern w:val="0"/>
                <w:sz w:val="22"/>
                <w:szCs w:val="22"/>
              </w:rPr>
              <w:t>具体实施方案</w:t>
            </w:r>
            <w:r>
              <w:rPr>
                <w:rFonts w:hint="eastAsia" w:ascii="宋体" w:hAnsi="宋体" w:cs="宋体"/>
                <w:sz w:val="22"/>
                <w:szCs w:val="22"/>
              </w:rPr>
              <w:t>科学、合理、</w:t>
            </w:r>
            <w:r>
              <w:rPr>
                <w:rFonts w:ascii="宋体" w:hAnsi="宋体" w:cs="宋体"/>
                <w:sz w:val="22"/>
                <w:szCs w:val="22"/>
              </w:rPr>
              <w:t>可行</w:t>
            </w:r>
            <w:r>
              <w:rPr>
                <w:rFonts w:hint="eastAsia" w:ascii="宋体" w:hAnsi="宋体" w:cs="宋体"/>
                <w:sz w:val="22"/>
                <w:szCs w:val="22"/>
                <w:lang w:eastAsia="zh-CN"/>
              </w:rPr>
              <w:t>的得</w:t>
            </w:r>
            <w:r>
              <w:rPr>
                <w:rFonts w:hint="eastAsia" w:ascii="宋体" w:hAnsi="宋体" w:cs="宋体"/>
                <w:sz w:val="22"/>
                <w:szCs w:val="22"/>
                <w:lang w:val="en-US" w:eastAsia="zh-CN"/>
              </w:rPr>
              <w:t>10.1-15分；</w:t>
            </w:r>
            <w:r>
              <w:rPr>
                <w:rFonts w:hint="eastAsia" w:ascii="宋体" w:hAnsi="宋体" w:cs="Arial"/>
                <w:kern w:val="0"/>
                <w:sz w:val="22"/>
                <w:szCs w:val="22"/>
              </w:rPr>
              <w:t>具体实施方案</w:t>
            </w:r>
            <w:r>
              <w:rPr>
                <w:rFonts w:hint="eastAsia" w:ascii="宋体" w:hAnsi="宋体" w:cs="宋体"/>
                <w:sz w:val="22"/>
                <w:szCs w:val="22"/>
              </w:rPr>
              <w:t>基本合理可行</w:t>
            </w:r>
            <w:r>
              <w:rPr>
                <w:rFonts w:hint="eastAsia" w:ascii="宋体" w:hAnsi="宋体" w:cs="宋体"/>
                <w:sz w:val="22"/>
                <w:szCs w:val="22"/>
                <w:lang w:eastAsia="zh-CN"/>
              </w:rPr>
              <w:t>的</w:t>
            </w:r>
            <w:r>
              <w:rPr>
                <w:rFonts w:hint="eastAsia" w:ascii="宋体" w:hAnsi="宋体" w:cs="宋体"/>
                <w:sz w:val="22"/>
                <w:szCs w:val="22"/>
                <w:lang w:val="en-US" w:eastAsia="zh-CN"/>
              </w:rPr>
              <w:t>5.1-10分；</w:t>
            </w:r>
            <w:r>
              <w:rPr>
                <w:rFonts w:hint="eastAsia" w:ascii="宋体" w:hAnsi="宋体" w:cs="Arial"/>
                <w:kern w:val="0"/>
                <w:sz w:val="22"/>
                <w:szCs w:val="22"/>
              </w:rPr>
              <w:t>具体实施方案</w:t>
            </w:r>
            <w:r>
              <w:rPr>
                <w:rFonts w:hint="eastAsia" w:ascii="宋体" w:hAnsi="宋体" w:cs="宋体"/>
                <w:sz w:val="22"/>
                <w:szCs w:val="22"/>
              </w:rPr>
              <w:t>不合理</w:t>
            </w:r>
            <w:r>
              <w:rPr>
                <w:rFonts w:hint="eastAsia" w:ascii="宋体" w:hAnsi="宋体" w:cs="宋体"/>
                <w:sz w:val="22"/>
                <w:szCs w:val="22"/>
                <w:lang w:eastAsia="zh-CN"/>
              </w:rPr>
              <w:t>的得</w:t>
            </w:r>
            <w:r>
              <w:rPr>
                <w:rFonts w:hint="eastAsia" w:ascii="宋体" w:hAnsi="宋体" w:cs="宋体"/>
                <w:sz w:val="22"/>
                <w:szCs w:val="22"/>
                <w:lang w:val="en-US" w:eastAsia="zh-CN"/>
              </w:rPr>
              <w:t>1-5分。</w:t>
            </w:r>
          </w:p>
        </w:tc>
        <w:tc>
          <w:tcPr>
            <w:tcW w:w="938" w:type="dxa"/>
            <w:vAlign w:val="center"/>
          </w:tcPr>
          <w:p>
            <w:pPr>
              <w:adjustRightInd w:val="0"/>
              <w:spacing w:line="340" w:lineRule="exact"/>
              <w:jc w:val="center"/>
              <w:rPr>
                <w:rFonts w:hint="default" w:ascii="宋体" w:hAnsi="宋体" w:eastAsia="宋体" w:cs="微软雅黑"/>
                <w:sz w:val="22"/>
                <w:szCs w:val="22"/>
                <w:lang w:val="en-US" w:eastAsia="zh-CN"/>
              </w:rPr>
            </w:pPr>
            <w:r>
              <w:rPr>
                <w:rFonts w:hint="eastAsia" w:ascii="宋体" w:hAnsi="宋体" w:cs="微软雅黑"/>
                <w:sz w:val="22"/>
                <w:szCs w:val="22"/>
                <w:lang w:val="en-US" w:eastAsia="zh-CN"/>
              </w:rPr>
              <w:t>15</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vMerge w:val="restart"/>
            <w:vAlign w:val="center"/>
          </w:tcPr>
          <w:p>
            <w:pPr>
              <w:adjustRightInd w:val="0"/>
              <w:spacing w:line="340" w:lineRule="exact"/>
              <w:jc w:val="center"/>
              <w:rPr>
                <w:rFonts w:hint="eastAsia" w:ascii="宋体" w:hAnsi="宋体" w:cs="Arial"/>
                <w:kern w:val="0"/>
                <w:sz w:val="22"/>
                <w:szCs w:val="22"/>
                <w:lang w:val="en-US" w:eastAsia="zh-CN"/>
              </w:rPr>
            </w:pPr>
            <w:r>
              <w:rPr>
                <w:rFonts w:hint="eastAsia" w:ascii="宋体" w:hAnsi="宋体" w:cs="Arial"/>
                <w:kern w:val="0"/>
                <w:sz w:val="22"/>
                <w:szCs w:val="22"/>
                <w:lang w:val="en-US" w:eastAsia="zh-CN"/>
              </w:rPr>
              <w:t>2</w:t>
            </w:r>
          </w:p>
        </w:tc>
        <w:tc>
          <w:tcPr>
            <w:tcW w:w="1614" w:type="dxa"/>
            <w:vMerge w:val="restart"/>
            <w:vAlign w:val="center"/>
          </w:tcPr>
          <w:p>
            <w:pPr>
              <w:adjustRightInd w:val="0"/>
              <w:spacing w:line="340" w:lineRule="exact"/>
              <w:jc w:val="center"/>
              <w:rPr>
                <w:rFonts w:hint="eastAsia" w:ascii="宋体" w:hAnsi="宋体" w:cs="Arial"/>
                <w:kern w:val="0"/>
                <w:sz w:val="22"/>
                <w:szCs w:val="22"/>
                <w:lang w:val="en-US" w:eastAsia="zh-CN"/>
              </w:rPr>
            </w:pPr>
            <w:r>
              <w:rPr>
                <w:rFonts w:hint="eastAsia" w:ascii="宋体" w:hAnsi="宋体" w:cs="Arial"/>
                <w:kern w:val="0"/>
                <w:sz w:val="22"/>
                <w:szCs w:val="22"/>
              </w:rPr>
              <w:t>针对本项目重点、难点分析及相应解决措施</w:t>
            </w:r>
          </w:p>
        </w:tc>
        <w:tc>
          <w:tcPr>
            <w:tcW w:w="6520" w:type="dxa"/>
            <w:vAlign w:val="center"/>
          </w:tcPr>
          <w:p>
            <w:pPr>
              <w:adjustRightInd w:val="0"/>
              <w:spacing w:line="340" w:lineRule="exact"/>
              <w:jc w:val="both"/>
              <w:rPr>
                <w:rFonts w:hint="default" w:ascii="宋体" w:hAnsi="宋体" w:eastAsia="宋体" w:cs="微软雅黑"/>
                <w:sz w:val="22"/>
                <w:szCs w:val="22"/>
                <w:lang w:val="en-US" w:eastAsia="zh-CN"/>
              </w:rPr>
            </w:pPr>
            <w:r>
              <w:rPr>
                <w:rFonts w:hint="eastAsia" w:ascii="宋体" w:hAnsi="宋体"/>
                <w:kern w:val="0"/>
                <w:sz w:val="22"/>
                <w:szCs w:val="22"/>
              </w:rPr>
              <w:t>根据投标人对</w:t>
            </w:r>
            <w:r>
              <w:rPr>
                <w:rFonts w:ascii="宋体" w:hAnsi="宋体" w:cs="Arial"/>
                <w:sz w:val="22"/>
                <w:szCs w:val="22"/>
              </w:rPr>
              <w:t>本项目</w:t>
            </w:r>
            <w:r>
              <w:rPr>
                <w:rFonts w:hint="eastAsia" w:ascii="宋体" w:hAnsi="宋体" w:cs="Arial"/>
                <w:kern w:val="0"/>
                <w:sz w:val="22"/>
                <w:szCs w:val="22"/>
              </w:rPr>
              <w:t>重点</w:t>
            </w:r>
            <w:r>
              <w:rPr>
                <w:rFonts w:ascii="宋体" w:hAnsi="宋体" w:cs="Arial"/>
                <w:sz w:val="22"/>
                <w:szCs w:val="22"/>
              </w:rPr>
              <w:t>和难点</w:t>
            </w:r>
            <w:r>
              <w:rPr>
                <w:rFonts w:hint="eastAsia" w:ascii="宋体" w:hAnsi="宋体"/>
                <w:kern w:val="0"/>
                <w:sz w:val="22"/>
                <w:szCs w:val="22"/>
              </w:rPr>
              <w:t>（含项目现状、存在的问题和拆违服务的难点、要点等问题）的</w:t>
            </w:r>
            <w:r>
              <w:rPr>
                <w:rFonts w:ascii="宋体" w:hAnsi="宋体" w:cs="Arial"/>
                <w:sz w:val="22"/>
                <w:szCs w:val="22"/>
              </w:rPr>
              <w:t>分析</w:t>
            </w:r>
            <w:r>
              <w:rPr>
                <w:rFonts w:hint="eastAsia" w:ascii="宋体" w:hAnsi="宋体" w:cs="Arial"/>
                <w:sz w:val="22"/>
                <w:szCs w:val="22"/>
              </w:rPr>
              <w:t>情况</w:t>
            </w:r>
            <w:r>
              <w:rPr>
                <w:rFonts w:hint="eastAsia" w:ascii="宋体" w:hAnsi="宋体"/>
                <w:kern w:val="0"/>
                <w:sz w:val="22"/>
                <w:szCs w:val="22"/>
              </w:rPr>
              <w:t>，综合比较打分：</w:t>
            </w:r>
            <w:r>
              <w:rPr>
                <w:rFonts w:hint="eastAsia" w:ascii="宋体" w:hAnsi="宋体" w:cs="Arial"/>
                <w:kern w:val="0"/>
                <w:sz w:val="22"/>
                <w:szCs w:val="22"/>
              </w:rPr>
              <w:t>重点</w:t>
            </w:r>
            <w:r>
              <w:rPr>
                <w:rFonts w:ascii="宋体" w:hAnsi="宋体" w:cs="Arial"/>
                <w:sz w:val="22"/>
                <w:szCs w:val="22"/>
              </w:rPr>
              <w:t>和难点分析</w:t>
            </w:r>
            <w:r>
              <w:rPr>
                <w:rFonts w:hint="eastAsia" w:ascii="宋体" w:hAnsi="宋体" w:cs="Arial"/>
                <w:sz w:val="22"/>
                <w:szCs w:val="22"/>
              </w:rPr>
              <w:t>全面、准确</w:t>
            </w:r>
            <w:r>
              <w:rPr>
                <w:rFonts w:hint="eastAsia" w:ascii="宋体" w:hAnsi="宋体" w:cs="Arial"/>
                <w:sz w:val="22"/>
                <w:szCs w:val="22"/>
                <w:lang w:eastAsia="zh-CN"/>
              </w:rPr>
              <w:t>的得</w:t>
            </w:r>
            <w:r>
              <w:rPr>
                <w:rFonts w:hint="eastAsia" w:ascii="宋体" w:hAnsi="宋体" w:cs="Arial"/>
                <w:sz w:val="22"/>
                <w:szCs w:val="22"/>
                <w:lang w:val="en-US" w:eastAsia="zh-CN"/>
              </w:rPr>
              <w:t>4.1-6分；</w:t>
            </w:r>
            <w:r>
              <w:rPr>
                <w:rFonts w:hint="eastAsia" w:ascii="宋体" w:hAnsi="宋体" w:cs="Arial"/>
                <w:kern w:val="0"/>
                <w:sz w:val="22"/>
                <w:szCs w:val="22"/>
              </w:rPr>
              <w:t>重点</w:t>
            </w:r>
            <w:r>
              <w:rPr>
                <w:rFonts w:ascii="宋体" w:hAnsi="宋体" w:cs="Arial"/>
                <w:sz w:val="22"/>
                <w:szCs w:val="22"/>
              </w:rPr>
              <w:t>和难点分析</w:t>
            </w:r>
            <w:r>
              <w:rPr>
                <w:rFonts w:hint="eastAsia" w:ascii="宋体" w:hAnsi="宋体" w:cs="Arial"/>
                <w:sz w:val="22"/>
                <w:szCs w:val="22"/>
              </w:rPr>
              <w:t>较为全面</w:t>
            </w:r>
            <w:r>
              <w:rPr>
                <w:rFonts w:hint="eastAsia" w:ascii="宋体" w:hAnsi="宋体" w:cs="Arial"/>
                <w:sz w:val="22"/>
                <w:szCs w:val="22"/>
                <w:lang w:eastAsia="zh-CN"/>
              </w:rPr>
              <w:t>的得</w:t>
            </w:r>
            <w:r>
              <w:rPr>
                <w:rFonts w:hint="eastAsia" w:ascii="宋体" w:hAnsi="宋体" w:cs="Arial"/>
                <w:sz w:val="22"/>
                <w:szCs w:val="22"/>
                <w:lang w:val="en-US" w:eastAsia="zh-CN"/>
              </w:rPr>
              <w:t>2.1-4分</w:t>
            </w:r>
            <w:r>
              <w:rPr>
                <w:rFonts w:hint="eastAsia" w:ascii="宋体" w:hAnsi="宋体" w:cs="宋体"/>
                <w:sz w:val="22"/>
                <w:szCs w:val="22"/>
              </w:rPr>
              <w:t>；</w:t>
            </w:r>
            <w:r>
              <w:rPr>
                <w:rFonts w:hint="eastAsia" w:ascii="宋体" w:hAnsi="宋体" w:cs="Arial"/>
                <w:kern w:val="0"/>
                <w:sz w:val="22"/>
                <w:szCs w:val="22"/>
              </w:rPr>
              <w:t>重点</w:t>
            </w:r>
            <w:r>
              <w:rPr>
                <w:rFonts w:ascii="宋体" w:hAnsi="宋体" w:cs="Arial"/>
                <w:sz w:val="22"/>
                <w:szCs w:val="22"/>
              </w:rPr>
              <w:t>和难点分析</w:t>
            </w:r>
            <w:r>
              <w:rPr>
                <w:rFonts w:hint="eastAsia" w:ascii="宋体" w:hAnsi="宋体" w:cs="Arial"/>
                <w:sz w:val="22"/>
                <w:szCs w:val="22"/>
              </w:rPr>
              <w:t>不全面</w:t>
            </w:r>
            <w:r>
              <w:rPr>
                <w:rFonts w:hint="eastAsia" w:ascii="宋体" w:hAnsi="宋体" w:cs="Arial"/>
                <w:sz w:val="22"/>
                <w:szCs w:val="22"/>
                <w:lang w:eastAsia="zh-CN"/>
              </w:rPr>
              <w:t>的得</w:t>
            </w:r>
            <w:r>
              <w:rPr>
                <w:rFonts w:hint="eastAsia" w:ascii="宋体" w:hAnsi="宋体" w:cs="Arial"/>
                <w:sz w:val="22"/>
                <w:szCs w:val="22"/>
                <w:lang w:val="en-US" w:eastAsia="zh-CN"/>
              </w:rPr>
              <w:t>0-2分。</w:t>
            </w:r>
          </w:p>
        </w:tc>
        <w:tc>
          <w:tcPr>
            <w:tcW w:w="938" w:type="dxa"/>
            <w:vAlign w:val="center"/>
          </w:tcPr>
          <w:p>
            <w:pPr>
              <w:adjustRightInd w:val="0"/>
              <w:spacing w:line="340" w:lineRule="exact"/>
              <w:jc w:val="center"/>
              <w:rPr>
                <w:rFonts w:hint="default" w:ascii="宋体" w:hAnsi="宋体" w:cs="微软雅黑"/>
                <w:sz w:val="22"/>
                <w:szCs w:val="22"/>
                <w:lang w:val="en-US" w:eastAsia="zh-CN"/>
              </w:rPr>
            </w:pPr>
            <w:r>
              <w:rPr>
                <w:rFonts w:hint="eastAsia" w:ascii="宋体" w:hAnsi="宋体" w:cs="微软雅黑"/>
                <w:sz w:val="22"/>
                <w:szCs w:val="22"/>
                <w:lang w:val="en-US" w:eastAsia="zh-CN"/>
              </w:rPr>
              <w:t>6</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vMerge w:val="continue"/>
            <w:vAlign w:val="center"/>
          </w:tcPr>
          <w:p>
            <w:pPr>
              <w:adjustRightInd w:val="0"/>
              <w:spacing w:line="340" w:lineRule="exact"/>
              <w:jc w:val="center"/>
              <w:rPr>
                <w:rFonts w:hint="eastAsia" w:ascii="宋体" w:hAnsi="宋体" w:cs="Arial"/>
                <w:kern w:val="0"/>
                <w:sz w:val="22"/>
                <w:szCs w:val="22"/>
                <w:lang w:val="en-US" w:eastAsia="zh-CN"/>
              </w:rPr>
            </w:pPr>
          </w:p>
        </w:tc>
        <w:tc>
          <w:tcPr>
            <w:tcW w:w="1614" w:type="dxa"/>
            <w:vMerge w:val="continue"/>
            <w:vAlign w:val="center"/>
          </w:tcPr>
          <w:p>
            <w:pPr>
              <w:adjustRightInd w:val="0"/>
              <w:spacing w:line="340" w:lineRule="exact"/>
              <w:jc w:val="center"/>
              <w:rPr>
                <w:rFonts w:hint="eastAsia" w:ascii="宋体" w:hAnsi="宋体" w:cs="Arial"/>
                <w:kern w:val="0"/>
                <w:sz w:val="22"/>
                <w:szCs w:val="22"/>
              </w:rPr>
            </w:pPr>
          </w:p>
        </w:tc>
        <w:tc>
          <w:tcPr>
            <w:tcW w:w="6520" w:type="dxa"/>
            <w:vAlign w:val="center"/>
          </w:tcPr>
          <w:p>
            <w:pPr>
              <w:adjustRightInd w:val="0"/>
              <w:spacing w:line="340" w:lineRule="exact"/>
              <w:jc w:val="both"/>
              <w:rPr>
                <w:rFonts w:hint="default" w:ascii="宋体" w:hAnsi="宋体" w:eastAsia="宋体"/>
                <w:kern w:val="0"/>
                <w:sz w:val="22"/>
                <w:szCs w:val="22"/>
                <w:lang w:val="en-US" w:eastAsia="zh-CN"/>
              </w:rPr>
            </w:pPr>
            <w:r>
              <w:rPr>
                <w:rFonts w:hint="eastAsia" w:ascii="宋体" w:hAnsi="宋体"/>
                <w:kern w:val="0"/>
                <w:sz w:val="22"/>
                <w:szCs w:val="22"/>
              </w:rPr>
              <w:t>根据投标人对</w:t>
            </w:r>
            <w:r>
              <w:rPr>
                <w:rFonts w:ascii="宋体" w:hAnsi="宋体" w:cs="Arial"/>
                <w:sz w:val="22"/>
                <w:szCs w:val="22"/>
              </w:rPr>
              <w:t>本项目</w:t>
            </w:r>
            <w:r>
              <w:rPr>
                <w:rFonts w:hint="eastAsia" w:ascii="宋体" w:hAnsi="宋体"/>
                <w:kern w:val="0"/>
                <w:sz w:val="22"/>
                <w:szCs w:val="22"/>
              </w:rPr>
              <w:t>重</w:t>
            </w:r>
            <w:r>
              <w:rPr>
                <w:rFonts w:ascii="宋体" w:hAnsi="宋体" w:cs="Arial"/>
                <w:sz w:val="22"/>
                <w:szCs w:val="22"/>
              </w:rPr>
              <w:t>点和难点</w:t>
            </w:r>
            <w:r>
              <w:rPr>
                <w:rFonts w:hint="eastAsia" w:ascii="宋体" w:hAnsi="宋体"/>
                <w:kern w:val="0"/>
                <w:sz w:val="22"/>
                <w:szCs w:val="22"/>
              </w:rPr>
              <w:t>的</w:t>
            </w:r>
            <w:r>
              <w:rPr>
                <w:rFonts w:hint="eastAsia" w:ascii="宋体" w:hAnsi="宋体" w:cs="Arial"/>
                <w:sz w:val="22"/>
                <w:szCs w:val="22"/>
              </w:rPr>
              <w:t>解决措施</w:t>
            </w:r>
            <w:r>
              <w:rPr>
                <w:rFonts w:hint="eastAsia" w:ascii="宋体" w:hAnsi="宋体"/>
                <w:kern w:val="0"/>
                <w:sz w:val="22"/>
                <w:szCs w:val="22"/>
              </w:rPr>
              <w:t>，综合比较打分：</w:t>
            </w:r>
            <w:r>
              <w:rPr>
                <w:rFonts w:hint="eastAsia" w:ascii="宋体" w:hAnsi="宋体" w:cs="Arial"/>
                <w:sz w:val="22"/>
                <w:szCs w:val="22"/>
              </w:rPr>
              <w:t>解决措施科学、合理</w:t>
            </w:r>
            <w:r>
              <w:rPr>
                <w:rFonts w:hint="eastAsia" w:ascii="宋体" w:hAnsi="宋体" w:cs="Arial"/>
                <w:sz w:val="22"/>
                <w:szCs w:val="22"/>
                <w:lang w:eastAsia="zh-CN"/>
              </w:rPr>
              <w:t>的得</w:t>
            </w:r>
            <w:r>
              <w:rPr>
                <w:rFonts w:hint="eastAsia" w:ascii="宋体" w:hAnsi="宋体" w:cs="Arial"/>
                <w:sz w:val="22"/>
                <w:szCs w:val="22"/>
                <w:lang w:val="en-US" w:eastAsia="zh-CN"/>
              </w:rPr>
              <w:t>4.1-6分；</w:t>
            </w:r>
            <w:r>
              <w:rPr>
                <w:rFonts w:hint="eastAsia" w:ascii="宋体" w:hAnsi="宋体" w:cs="Arial"/>
                <w:sz w:val="22"/>
                <w:szCs w:val="22"/>
              </w:rPr>
              <w:t>解决措施基本合理、有效</w:t>
            </w:r>
            <w:r>
              <w:rPr>
                <w:rFonts w:hint="eastAsia" w:ascii="宋体" w:hAnsi="宋体" w:cs="Arial"/>
                <w:sz w:val="22"/>
                <w:szCs w:val="22"/>
                <w:lang w:eastAsia="zh-CN"/>
              </w:rPr>
              <w:t>的得</w:t>
            </w:r>
            <w:r>
              <w:rPr>
                <w:rFonts w:hint="eastAsia" w:ascii="宋体" w:hAnsi="宋体" w:cs="Arial"/>
                <w:sz w:val="22"/>
                <w:szCs w:val="22"/>
                <w:lang w:val="en-US" w:eastAsia="zh-CN"/>
              </w:rPr>
              <w:t>2.1-4分</w:t>
            </w:r>
            <w:r>
              <w:rPr>
                <w:rFonts w:hint="eastAsia" w:ascii="宋体" w:hAnsi="宋体" w:cs="宋体"/>
                <w:sz w:val="22"/>
                <w:szCs w:val="22"/>
                <w:lang w:val="en-US" w:eastAsia="zh-CN"/>
              </w:rPr>
              <w:t>；</w:t>
            </w:r>
            <w:r>
              <w:rPr>
                <w:rFonts w:hint="eastAsia" w:ascii="宋体" w:hAnsi="宋体" w:cs="Arial"/>
                <w:sz w:val="22"/>
                <w:szCs w:val="22"/>
              </w:rPr>
              <w:t>解决措施不合理</w:t>
            </w:r>
            <w:r>
              <w:rPr>
                <w:rFonts w:hint="eastAsia" w:ascii="宋体" w:hAnsi="宋体" w:cs="Arial"/>
                <w:sz w:val="22"/>
                <w:szCs w:val="22"/>
                <w:lang w:eastAsia="zh-CN"/>
              </w:rPr>
              <w:t>的得</w:t>
            </w:r>
            <w:r>
              <w:rPr>
                <w:rFonts w:hint="eastAsia" w:ascii="宋体" w:hAnsi="宋体" w:cs="Arial"/>
                <w:sz w:val="22"/>
                <w:szCs w:val="22"/>
                <w:lang w:val="en-US" w:eastAsia="zh-CN"/>
              </w:rPr>
              <w:t>0-2分。</w:t>
            </w:r>
          </w:p>
        </w:tc>
        <w:tc>
          <w:tcPr>
            <w:tcW w:w="938" w:type="dxa"/>
            <w:vAlign w:val="center"/>
          </w:tcPr>
          <w:p>
            <w:pPr>
              <w:adjustRightInd w:val="0"/>
              <w:spacing w:line="340" w:lineRule="exact"/>
              <w:jc w:val="center"/>
              <w:rPr>
                <w:rFonts w:hint="default" w:ascii="宋体" w:hAnsi="宋体" w:cs="微软雅黑"/>
                <w:sz w:val="22"/>
                <w:szCs w:val="22"/>
                <w:lang w:val="en-US" w:eastAsia="zh-CN"/>
              </w:rPr>
            </w:pPr>
            <w:r>
              <w:rPr>
                <w:rFonts w:hint="eastAsia" w:ascii="宋体" w:hAnsi="宋体" w:cs="微软雅黑"/>
                <w:sz w:val="22"/>
                <w:szCs w:val="22"/>
                <w:lang w:val="en-US" w:eastAsia="zh-CN"/>
              </w:rPr>
              <w:t>6</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vAlign w:val="center"/>
          </w:tcPr>
          <w:p>
            <w:pPr>
              <w:adjustRightInd w:val="0"/>
              <w:snapToGrid w:val="0"/>
              <w:spacing w:line="340" w:lineRule="exact"/>
              <w:jc w:val="center"/>
              <w:rPr>
                <w:rFonts w:hint="eastAsia" w:ascii="宋体" w:hAnsi="宋体" w:eastAsia="宋体" w:cs="微软雅黑"/>
                <w:bCs/>
                <w:sz w:val="22"/>
                <w:szCs w:val="22"/>
                <w:lang w:val="en-US" w:eastAsia="zh-CN"/>
              </w:rPr>
            </w:pPr>
            <w:r>
              <w:rPr>
                <w:rFonts w:hint="eastAsia" w:ascii="宋体" w:hAnsi="宋体" w:cs="微软雅黑"/>
                <w:bCs/>
                <w:sz w:val="22"/>
                <w:szCs w:val="22"/>
                <w:lang w:val="en-US" w:eastAsia="zh-CN"/>
              </w:rPr>
              <w:t>3</w:t>
            </w:r>
          </w:p>
        </w:tc>
        <w:tc>
          <w:tcPr>
            <w:tcW w:w="1614" w:type="dxa"/>
            <w:vAlign w:val="center"/>
          </w:tcPr>
          <w:p>
            <w:pPr>
              <w:adjustRightInd w:val="0"/>
              <w:spacing w:line="340" w:lineRule="exact"/>
              <w:jc w:val="center"/>
              <w:rPr>
                <w:rFonts w:hint="eastAsia" w:ascii="宋体" w:hAnsi="宋体" w:cs="微软雅黑"/>
                <w:sz w:val="22"/>
                <w:szCs w:val="22"/>
                <w:lang w:val="en-US" w:eastAsia="zh-CN"/>
              </w:rPr>
            </w:pPr>
            <w:r>
              <w:rPr>
                <w:rFonts w:hint="eastAsia" w:ascii="宋体" w:hAnsi="宋体" w:cs="Arial"/>
                <w:kern w:val="0"/>
                <w:sz w:val="22"/>
                <w:szCs w:val="22"/>
              </w:rPr>
              <w:t>应急预案</w:t>
            </w:r>
          </w:p>
        </w:tc>
        <w:tc>
          <w:tcPr>
            <w:tcW w:w="6520" w:type="dxa"/>
            <w:vAlign w:val="center"/>
          </w:tcPr>
          <w:p>
            <w:pPr>
              <w:adjustRightInd w:val="0"/>
              <w:spacing w:line="340" w:lineRule="exact"/>
              <w:jc w:val="both"/>
              <w:rPr>
                <w:rFonts w:hint="eastAsia" w:ascii="宋体" w:hAnsi="宋体" w:eastAsia="宋体" w:cs="微软雅黑"/>
                <w:sz w:val="22"/>
                <w:szCs w:val="22"/>
              </w:rPr>
            </w:pPr>
            <w:r>
              <w:rPr>
                <w:rFonts w:hint="eastAsia" w:ascii="宋体" w:hAnsi="宋体"/>
                <w:kern w:val="0"/>
                <w:sz w:val="22"/>
                <w:szCs w:val="22"/>
              </w:rPr>
              <w:t>根据投标人提供的</w:t>
            </w:r>
            <w:r>
              <w:rPr>
                <w:rFonts w:hint="eastAsia" w:ascii="宋体" w:hAnsi="宋体" w:cs="Arial"/>
                <w:kern w:val="0"/>
                <w:sz w:val="22"/>
                <w:szCs w:val="22"/>
              </w:rPr>
              <w:t>应急预案情况</w:t>
            </w:r>
            <w:r>
              <w:rPr>
                <w:rFonts w:hint="eastAsia" w:ascii="宋体" w:hAnsi="宋体"/>
                <w:kern w:val="0"/>
                <w:sz w:val="22"/>
                <w:szCs w:val="22"/>
              </w:rPr>
              <w:t>，综合比较打分：</w:t>
            </w:r>
            <w:r>
              <w:rPr>
                <w:rFonts w:hint="eastAsia" w:ascii="宋体" w:hAnsi="宋体" w:cs="Arial"/>
                <w:kern w:val="0"/>
                <w:sz w:val="22"/>
                <w:szCs w:val="22"/>
              </w:rPr>
              <w:t>应急预案</w:t>
            </w:r>
            <w:r>
              <w:rPr>
                <w:rFonts w:hint="eastAsia" w:ascii="宋体" w:hAnsi="宋体" w:cs="宋体"/>
                <w:sz w:val="22"/>
                <w:szCs w:val="22"/>
              </w:rPr>
              <w:t>科学、合理、有效</w:t>
            </w:r>
            <w:r>
              <w:rPr>
                <w:rFonts w:hint="eastAsia" w:ascii="宋体" w:hAnsi="宋体" w:cs="宋体"/>
                <w:sz w:val="22"/>
                <w:szCs w:val="22"/>
                <w:lang w:eastAsia="zh-CN"/>
              </w:rPr>
              <w:t>的得</w:t>
            </w:r>
            <w:r>
              <w:rPr>
                <w:rFonts w:hint="eastAsia" w:ascii="宋体" w:hAnsi="宋体" w:cs="宋体"/>
                <w:sz w:val="22"/>
                <w:szCs w:val="22"/>
                <w:lang w:val="en-US" w:eastAsia="zh-CN"/>
              </w:rPr>
              <w:t>4.1-6分</w:t>
            </w:r>
            <w:r>
              <w:rPr>
                <w:rFonts w:hint="eastAsia" w:ascii="宋体" w:hAnsi="宋体" w:cs="宋体"/>
                <w:sz w:val="22"/>
                <w:szCs w:val="22"/>
              </w:rPr>
              <w:t>；</w:t>
            </w:r>
            <w:r>
              <w:rPr>
                <w:rFonts w:hint="eastAsia" w:ascii="宋体" w:hAnsi="宋体" w:cs="Arial"/>
                <w:kern w:val="0"/>
                <w:sz w:val="22"/>
                <w:szCs w:val="22"/>
              </w:rPr>
              <w:t>应急预案</w:t>
            </w:r>
            <w:r>
              <w:rPr>
                <w:rFonts w:hint="eastAsia" w:ascii="宋体" w:hAnsi="宋体" w:cs="宋体"/>
                <w:sz w:val="22"/>
                <w:szCs w:val="22"/>
              </w:rPr>
              <w:t>基本合理、有效</w:t>
            </w:r>
            <w:r>
              <w:rPr>
                <w:rFonts w:hint="eastAsia" w:ascii="宋体" w:hAnsi="宋体" w:cs="宋体"/>
                <w:sz w:val="22"/>
                <w:szCs w:val="22"/>
                <w:lang w:eastAsia="zh-CN"/>
              </w:rPr>
              <w:t>的得</w:t>
            </w:r>
            <w:r>
              <w:rPr>
                <w:rFonts w:hint="eastAsia" w:ascii="宋体" w:hAnsi="宋体" w:cs="宋体"/>
                <w:sz w:val="22"/>
                <w:szCs w:val="22"/>
                <w:lang w:val="en-US" w:eastAsia="zh-CN"/>
              </w:rPr>
              <w:t>2.1-4分</w:t>
            </w:r>
            <w:r>
              <w:rPr>
                <w:rFonts w:hint="eastAsia" w:ascii="宋体" w:hAnsi="宋体" w:cs="宋体"/>
                <w:sz w:val="22"/>
                <w:szCs w:val="22"/>
              </w:rPr>
              <w:t>；</w:t>
            </w:r>
            <w:r>
              <w:rPr>
                <w:rFonts w:hint="eastAsia" w:ascii="宋体" w:hAnsi="宋体" w:cs="Arial"/>
                <w:kern w:val="0"/>
                <w:sz w:val="22"/>
                <w:szCs w:val="22"/>
              </w:rPr>
              <w:t>应急预案</w:t>
            </w:r>
            <w:r>
              <w:rPr>
                <w:rFonts w:hint="eastAsia" w:ascii="宋体" w:hAnsi="宋体" w:cs="宋体"/>
                <w:sz w:val="22"/>
                <w:szCs w:val="22"/>
              </w:rPr>
              <w:t>不合理</w:t>
            </w:r>
            <w:r>
              <w:rPr>
                <w:rFonts w:hint="eastAsia" w:ascii="宋体" w:hAnsi="宋体" w:cs="宋体"/>
                <w:sz w:val="22"/>
                <w:szCs w:val="22"/>
                <w:lang w:eastAsia="zh-CN"/>
              </w:rPr>
              <w:t>的得</w:t>
            </w:r>
            <w:r>
              <w:rPr>
                <w:rFonts w:hint="eastAsia" w:ascii="宋体" w:hAnsi="宋体" w:cs="宋体"/>
                <w:sz w:val="22"/>
                <w:szCs w:val="22"/>
                <w:lang w:val="en-US" w:eastAsia="zh-CN"/>
              </w:rPr>
              <w:t>0-2分</w:t>
            </w:r>
            <w:r>
              <w:rPr>
                <w:rFonts w:hint="eastAsia" w:ascii="宋体" w:hAnsi="宋体" w:cs="宋体"/>
                <w:sz w:val="22"/>
                <w:szCs w:val="22"/>
              </w:rPr>
              <w:t>。</w:t>
            </w:r>
          </w:p>
        </w:tc>
        <w:tc>
          <w:tcPr>
            <w:tcW w:w="938" w:type="dxa"/>
            <w:vAlign w:val="center"/>
          </w:tcPr>
          <w:p>
            <w:pPr>
              <w:adjustRightInd w:val="0"/>
              <w:spacing w:line="340" w:lineRule="exact"/>
              <w:jc w:val="center"/>
              <w:rPr>
                <w:rFonts w:hint="default" w:ascii="宋体" w:hAnsi="宋体" w:cs="微软雅黑"/>
                <w:sz w:val="22"/>
                <w:szCs w:val="22"/>
                <w:lang w:val="en-US" w:eastAsia="zh-CN"/>
              </w:rPr>
            </w:pPr>
            <w:r>
              <w:rPr>
                <w:rFonts w:hint="eastAsia" w:ascii="宋体" w:hAnsi="宋体" w:cs="微软雅黑"/>
                <w:sz w:val="22"/>
                <w:szCs w:val="22"/>
                <w:lang w:val="en-US" w:eastAsia="zh-CN"/>
              </w:rPr>
              <w:t>6</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vAlign w:val="center"/>
          </w:tcPr>
          <w:p>
            <w:pPr>
              <w:adjustRightInd w:val="0"/>
              <w:snapToGrid w:val="0"/>
              <w:spacing w:line="340" w:lineRule="exact"/>
              <w:jc w:val="center"/>
              <w:rPr>
                <w:rFonts w:hint="default" w:ascii="宋体" w:hAnsi="宋体" w:cs="微软雅黑"/>
                <w:bCs/>
                <w:sz w:val="22"/>
                <w:szCs w:val="22"/>
                <w:lang w:val="en-US" w:eastAsia="zh-CN"/>
              </w:rPr>
            </w:pPr>
            <w:r>
              <w:rPr>
                <w:rFonts w:hint="eastAsia" w:ascii="宋体" w:hAnsi="宋体" w:cs="微软雅黑"/>
                <w:bCs/>
                <w:sz w:val="22"/>
                <w:szCs w:val="22"/>
                <w:lang w:val="en-US" w:eastAsia="zh-CN"/>
              </w:rPr>
              <w:t>4</w:t>
            </w:r>
          </w:p>
        </w:tc>
        <w:tc>
          <w:tcPr>
            <w:tcW w:w="1614" w:type="dxa"/>
            <w:vAlign w:val="center"/>
          </w:tcPr>
          <w:p>
            <w:pPr>
              <w:adjustRightInd w:val="0"/>
              <w:spacing w:line="340" w:lineRule="exact"/>
              <w:jc w:val="center"/>
              <w:rPr>
                <w:rFonts w:hint="eastAsia" w:ascii="宋体" w:hAnsi="宋体" w:cs="Arial"/>
                <w:kern w:val="0"/>
                <w:sz w:val="22"/>
                <w:szCs w:val="22"/>
              </w:rPr>
            </w:pPr>
            <w:r>
              <w:rPr>
                <w:rFonts w:hint="eastAsia" w:ascii="宋体" w:hAnsi="宋体" w:cs="Arial"/>
                <w:kern w:val="0"/>
                <w:sz w:val="22"/>
                <w:szCs w:val="22"/>
              </w:rPr>
              <w:t>各项管理规章制度及考核</w:t>
            </w:r>
          </w:p>
        </w:tc>
        <w:tc>
          <w:tcPr>
            <w:tcW w:w="6520" w:type="dxa"/>
            <w:vAlign w:val="center"/>
          </w:tcPr>
          <w:p>
            <w:pPr>
              <w:adjustRightInd w:val="0"/>
              <w:spacing w:line="340" w:lineRule="exact"/>
              <w:jc w:val="both"/>
              <w:rPr>
                <w:rFonts w:hint="eastAsia" w:ascii="宋体" w:hAnsi="宋体"/>
                <w:kern w:val="0"/>
                <w:sz w:val="22"/>
                <w:szCs w:val="22"/>
              </w:rPr>
            </w:pPr>
            <w:r>
              <w:rPr>
                <w:rFonts w:hint="eastAsia" w:ascii="宋体" w:hAnsi="宋体"/>
                <w:kern w:val="0"/>
                <w:sz w:val="22"/>
                <w:szCs w:val="22"/>
              </w:rPr>
              <w:t>根据投标人提供的</w:t>
            </w:r>
            <w:r>
              <w:rPr>
                <w:rFonts w:ascii="宋体" w:hAnsi="宋体" w:cs="Arial"/>
                <w:sz w:val="22"/>
                <w:szCs w:val="22"/>
              </w:rPr>
              <w:t>管理规章制度</w:t>
            </w:r>
            <w:r>
              <w:rPr>
                <w:rFonts w:hint="eastAsia" w:ascii="宋体" w:hAnsi="宋体" w:cs="Arial"/>
                <w:sz w:val="22"/>
                <w:szCs w:val="22"/>
              </w:rPr>
              <w:t>（含</w:t>
            </w:r>
            <w:r>
              <w:rPr>
                <w:rFonts w:hint="eastAsia" w:ascii="宋体" w:hAnsi="宋体"/>
                <w:kern w:val="0"/>
                <w:sz w:val="22"/>
                <w:szCs w:val="22"/>
              </w:rPr>
              <w:t>各项公众制度、内部岗位责任制度、管理运作制度、考核制度及标准等</w:t>
            </w:r>
            <w:r>
              <w:rPr>
                <w:rFonts w:hint="eastAsia" w:ascii="宋体" w:hAnsi="宋体" w:cs="Arial"/>
                <w:sz w:val="22"/>
                <w:szCs w:val="22"/>
              </w:rPr>
              <w:t>）情况，综合比较打分：</w:t>
            </w:r>
            <w:r>
              <w:rPr>
                <w:rFonts w:ascii="宋体" w:hAnsi="宋体"/>
                <w:kern w:val="0"/>
                <w:sz w:val="22"/>
                <w:szCs w:val="22"/>
              </w:rPr>
              <w:t>管理规章制度</w:t>
            </w:r>
            <w:r>
              <w:rPr>
                <w:rFonts w:hint="eastAsia" w:ascii="宋体" w:hAnsi="宋体"/>
                <w:kern w:val="0"/>
                <w:sz w:val="22"/>
                <w:szCs w:val="22"/>
              </w:rPr>
              <w:t>全面、科学、合理、可行</w:t>
            </w:r>
            <w:r>
              <w:rPr>
                <w:rFonts w:hint="eastAsia" w:ascii="宋体" w:hAnsi="宋体"/>
                <w:kern w:val="0"/>
                <w:sz w:val="22"/>
                <w:szCs w:val="22"/>
                <w:lang w:eastAsia="zh-CN"/>
              </w:rPr>
              <w:t>的得</w:t>
            </w:r>
            <w:r>
              <w:rPr>
                <w:rFonts w:hint="eastAsia" w:ascii="宋体" w:hAnsi="宋体" w:cs="宋体"/>
                <w:sz w:val="22"/>
                <w:szCs w:val="22"/>
                <w:lang w:val="en-US" w:eastAsia="zh-CN"/>
              </w:rPr>
              <w:t>4.1-6分</w:t>
            </w:r>
            <w:r>
              <w:rPr>
                <w:rFonts w:hint="eastAsia" w:ascii="宋体" w:hAnsi="宋体"/>
                <w:kern w:val="0"/>
                <w:sz w:val="22"/>
                <w:szCs w:val="22"/>
              </w:rPr>
              <w:t>；</w:t>
            </w:r>
            <w:r>
              <w:rPr>
                <w:rFonts w:ascii="宋体" w:hAnsi="宋体"/>
                <w:kern w:val="0"/>
                <w:sz w:val="22"/>
                <w:szCs w:val="22"/>
              </w:rPr>
              <w:t>管理规章制度</w:t>
            </w:r>
            <w:r>
              <w:rPr>
                <w:rFonts w:hint="eastAsia" w:ascii="宋体" w:hAnsi="宋体"/>
                <w:kern w:val="0"/>
                <w:sz w:val="22"/>
                <w:szCs w:val="22"/>
              </w:rPr>
              <w:t>较为全面、合理</w:t>
            </w:r>
            <w:r>
              <w:rPr>
                <w:rFonts w:hint="eastAsia" w:ascii="宋体" w:hAnsi="宋体"/>
                <w:kern w:val="0"/>
                <w:sz w:val="22"/>
                <w:szCs w:val="22"/>
                <w:lang w:eastAsia="zh-CN"/>
              </w:rPr>
              <w:t>的得</w:t>
            </w:r>
            <w:r>
              <w:rPr>
                <w:rFonts w:hint="eastAsia" w:ascii="宋体" w:hAnsi="宋体"/>
                <w:kern w:val="0"/>
                <w:sz w:val="22"/>
                <w:szCs w:val="22"/>
                <w:lang w:val="en-US" w:eastAsia="zh-CN"/>
              </w:rPr>
              <w:t>2.1-4分</w:t>
            </w:r>
            <w:r>
              <w:rPr>
                <w:rFonts w:hint="eastAsia" w:ascii="宋体" w:hAnsi="宋体"/>
                <w:kern w:val="0"/>
                <w:sz w:val="22"/>
                <w:szCs w:val="22"/>
              </w:rPr>
              <w:t>；</w:t>
            </w:r>
            <w:r>
              <w:rPr>
                <w:rFonts w:ascii="宋体" w:hAnsi="宋体"/>
                <w:kern w:val="0"/>
                <w:sz w:val="22"/>
                <w:szCs w:val="22"/>
              </w:rPr>
              <w:t>管理规章制度</w:t>
            </w:r>
            <w:r>
              <w:rPr>
                <w:rFonts w:hint="eastAsia" w:ascii="宋体" w:hAnsi="宋体"/>
                <w:kern w:val="0"/>
                <w:sz w:val="22"/>
                <w:szCs w:val="22"/>
              </w:rPr>
              <w:t>不全面，不能满足项目需求</w:t>
            </w:r>
            <w:r>
              <w:rPr>
                <w:rFonts w:hint="eastAsia" w:ascii="宋体" w:hAnsi="宋体"/>
                <w:kern w:val="0"/>
                <w:sz w:val="22"/>
                <w:szCs w:val="22"/>
                <w:lang w:eastAsia="zh-CN"/>
              </w:rPr>
              <w:t>的得</w:t>
            </w:r>
            <w:r>
              <w:rPr>
                <w:rFonts w:hint="eastAsia" w:ascii="宋体" w:hAnsi="宋体"/>
                <w:kern w:val="0"/>
                <w:sz w:val="22"/>
                <w:szCs w:val="22"/>
                <w:lang w:val="en-US" w:eastAsia="zh-CN"/>
              </w:rPr>
              <w:t>0-2分</w:t>
            </w:r>
            <w:r>
              <w:rPr>
                <w:rFonts w:hint="eastAsia" w:ascii="宋体" w:hAnsi="宋体"/>
                <w:kern w:val="0"/>
                <w:sz w:val="22"/>
                <w:szCs w:val="22"/>
              </w:rPr>
              <w:t>。</w:t>
            </w:r>
          </w:p>
        </w:tc>
        <w:tc>
          <w:tcPr>
            <w:tcW w:w="938" w:type="dxa"/>
            <w:vAlign w:val="center"/>
          </w:tcPr>
          <w:p>
            <w:pPr>
              <w:adjustRightInd w:val="0"/>
              <w:spacing w:line="340" w:lineRule="exact"/>
              <w:jc w:val="center"/>
              <w:rPr>
                <w:rFonts w:hint="default" w:ascii="宋体" w:hAnsi="宋体" w:cs="微软雅黑"/>
                <w:sz w:val="22"/>
                <w:szCs w:val="22"/>
                <w:lang w:val="en-US" w:eastAsia="zh-CN"/>
              </w:rPr>
            </w:pPr>
            <w:r>
              <w:rPr>
                <w:rFonts w:hint="eastAsia" w:ascii="宋体" w:hAnsi="宋体" w:cs="微软雅黑"/>
                <w:sz w:val="22"/>
                <w:szCs w:val="22"/>
                <w:lang w:val="en-US" w:eastAsia="zh-CN"/>
              </w:rPr>
              <w:t>6</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745" w:type="dxa"/>
            <w:vAlign w:val="center"/>
          </w:tcPr>
          <w:p>
            <w:pPr>
              <w:adjustRightInd w:val="0"/>
              <w:snapToGrid w:val="0"/>
              <w:spacing w:line="340" w:lineRule="exact"/>
              <w:jc w:val="center"/>
              <w:rPr>
                <w:rFonts w:hint="eastAsia" w:ascii="宋体" w:hAnsi="宋体" w:eastAsia="宋体" w:cs="微软雅黑"/>
                <w:bCs/>
                <w:color w:val="auto"/>
                <w:sz w:val="22"/>
                <w:szCs w:val="22"/>
                <w:lang w:val="en-US" w:eastAsia="zh-CN"/>
              </w:rPr>
            </w:pPr>
            <w:r>
              <w:rPr>
                <w:rFonts w:hint="eastAsia" w:ascii="宋体" w:hAnsi="宋体" w:cs="微软雅黑"/>
                <w:bCs/>
                <w:color w:val="auto"/>
                <w:sz w:val="22"/>
                <w:szCs w:val="22"/>
                <w:lang w:val="en-US" w:eastAsia="zh-CN"/>
              </w:rPr>
              <w:t>5</w:t>
            </w:r>
          </w:p>
        </w:tc>
        <w:tc>
          <w:tcPr>
            <w:tcW w:w="1614" w:type="dxa"/>
            <w:vAlign w:val="center"/>
          </w:tcPr>
          <w:p>
            <w:pPr>
              <w:adjustRightInd w:val="0"/>
              <w:spacing w:line="340" w:lineRule="exact"/>
              <w:jc w:val="center"/>
              <w:rPr>
                <w:rFonts w:hint="eastAsia" w:ascii="宋体" w:hAnsi="宋体" w:eastAsia="宋体" w:cs="微软雅黑"/>
                <w:color w:val="auto"/>
                <w:kern w:val="2"/>
                <w:sz w:val="22"/>
                <w:szCs w:val="22"/>
                <w:lang w:val="en-US" w:eastAsia="zh-CN" w:bidi="ar-SA"/>
              </w:rPr>
            </w:pPr>
            <w:r>
              <w:rPr>
                <w:rFonts w:hint="eastAsia" w:ascii="宋体" w:hAnsi="宋体" w:cs="微软雅黑"/>
                <w:color w:val="auto"/>
                <w:sz w:val="22"/>
                <w:szCs w:val="22"/>
                <w:lang w:eastAsia="zh-CN"/>
              </w:rPr>
              <w:t>人员配备</w:t>
            </w:r>
          </w:p>
        </w:tc>
        <w:tc>
          <w:tcPr>
            <w:tcW w:w="6520" w:type="dxa"/>
            <w:vAlign w:val="center"/>
          </w:tcPr>
          <w:p>
            <w:pPr>
              <w:adjustRightInd w:val="0"/>
              <w:spacing w:line="340" w:lineRule="exact"/>
              <w:jc w:val="both"/>
              <w:rPr>
                <w:rFonts w:hint="eastAsia" w:ascii="宋体" w:hAnsi="宋体" w:eastAsia="宋体" w:cs="微软雅黑"/>
                <w:color w:val="auto"/>
                <w:kern w:val="2"/>
                <w:sz w:val="22"/>
                <w:szCs w:val="22"/>
                <w:lang w:val="en-US" w:eastAsia="zh-CN" w:bidi="ar-SA"/>
              </w:rPr>
            </w:pPr>
            <w:r>
              <w:rPr>
                <w:rFonts w:hint="eastAsia" w:ascii="宋体" w:hAnsi="宋体" w:eastAsia="宋体" w:cs="微软雅黑"/>
                <w:color w:val="auto"/>
                <w:sz w:val="22"/>
                <w:szCs w:val="22"/>
              </w:rPr>
              <w:t>涉及整改任务的人员配置及统筹安排</w:t>
            </w:r>
            <w:r>
              <w:rPr>
                <w:rFonts w:hint="eastAsia" w:ascii="宋体" w:hAnsi="宋体" w:cs="微软雅黑"/>
                <w:color w:val="auto"/>
                <w:sz w:val="22"/>
                <w:szCs w:val="22"/>
                <w:lang w:eastAsia="zh-CN"/>
              </w:rPr>
              <w:t>，人员安排合理充分的得</w:t>
            </w:r>
            <w:r>
              <w:rPr>
                <w:rFonts w:hint="eastAsia" w:ascii="宋体" w:hAnsi="宋体" w:cs="微软雅黑"/>
                <w:color w:val="auto"/>
                <w:sz w:val="22"/>
                <w:szCs w:val="22"/>
                <w:lang w:val="en-US" w:eastAsia="zh-CN"/>
              </w:rPr>
              <w:t>4.1-6，合理且基本满足项目要求的得2.1-4分，有欠缺的得0-2分。</w:t>
            </w:r>
          </w:p>
        </w:tc>
        <w:tc>
          <w:tcPr>
            <w:tcW w:w="938" w:type="dxa"/>
            <w:vAlign w:val="center"/>
          </w:tcPr>
          <w:p>
            <w:pPr>
              <w:adjustRightInd w:val="0"/>
              <w:spacing w:line="340" w:lineRule="exact"/>
              <w:jc w:val="center"/>
              <w:rPr>
                <w:rFonts w:hint="default" w:ascii="宋体" w:hAnsi="宋体" w:eastAsia="宋体" w:cs="微软雅黑"/>
                <w:color w:val="auto"/>
                <w:kern w:val="2"/>
                <w:sz w:val="22"/>
                <w:szCs w:val="22"/>
                <w:lang w:val="en-US" w:eastAsia="zh-CN" w:bidi="ar-SA"/>
              </w:rPr>
            </w:pPr>
            <w:r>
              <w:rPr>
                <w:rFonts w:hint="eastAsia" w:ascii="宋体" w:hAnsi="宋体" w:cs="微软雅黑"/>
                <w:color w:val="auto"/>
                <w:sz w:val="22"/>
                <w:szCs w:val="22"/>
                <w:lang w:val="en-US" w:eastAsia="zh-CN"/>
              </w:rPr>
              <w:t>6</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vAlign w:val="center"/>
          </w:tcPr>
          <w:p>
            <w:pPr>
              <w:adjustRightInd w:val="0"/>
              <w:snapToGrid w:val="0"/>
              <w:spacing w:line="340" w:lineRule="exact"/>
              <w:jc w:val="center"/>
              <w:rPr>
                <w:rFonts w:hint="eastAsia" w:ascii="宋体" w:hAnsi="宋体" w:eastAsia="宋体" w:cs="微软雅黑"/>
                <w:bCs/>
                <w:sz w:val="22"/>
                <w:szCs w:val="22"/>
                <w:lang w:eastAsia="zh-CN"/>
              </w:rPr>
            </w:pPr>
            <w:r>
              <w:rPr>
                <w:rFonts w:hint="eastAsia" w:ascii="宋体" w:hAnsi="宋体" w:cs="微软雅黑"/>
                <w:bCs/>
                <w:sz w:val="22"/>
                <w:szCs w:val="22"/>
                <w:lang w:val="en-US" w:eastAsia="zh-CN"/>
              </w:rPr>
              <w:t>6</w:t>
            </w:r>
          </w:p>
        </w:tc>
        <w:tc>
          <w:tcPr>
            <w:tcW w:w="1614" w:type="dxa"/>
            <w:vAlign w:val="center"/>
          </w:tcPr>
          <w:p>
            <w:pPr>
              <w:adjustRightInd w:val="0"/>
              <w:spacing w:line="340" w:lineRule="exact"/>
              <w:jc w:val="center"/>
              <w:rPr>
                <w:rFonts w:hint="eastAsia" w:ascii="宋体" w:hAnsi="宋体" w:eastAsia="宋体" w:cs="微软雅黑"/>
                <w:sz w:val="22"/>
                <w:szCs w:val="22"/>
              </w:rPr>
            </w:pPr>
            <w:r>
              <w:rPr>
                <w:rFonts w:hint="eastAsia" w:ascii="宋体" w:hAnsi="宋体" w:cs="Arial"/>
                <w:kern w:val="0"/>
                <w:sz w:val="22"/>
                <w:szCs w:val="22"/>
              </w:rPr>
              <w:t>投标人投入本项目设备情况</w:t>
            </w:r>
          </w:p>
        </w:tc>
        <w:tc>
          <w:tcPr>
            <w:tcW w:w="6520" w:type="dxa"/>
          </w:tcPr>
          <w:p>
            <w:pPr>
              <w:adjustRightInd w:val="0"/>
              <w:spacing w:line="340" w:lineRule="exact"/>
              <w:jc w:val="both"/>
              <w:rPr>
                <w:rFonts w:hint="eastAsia" w:ascii="宋体" w:hAnsi="宋体" w:eastAsia="宋体" w:cs="微软雅黑"/>
                <w:color w:val="auto"/>
                <w:sz w:val="22"/>
                <w:szCs w:val="22"/>
              </w:rPr>
            </w:pPr>
            <w:r>
              <w:rPr>
                <w:rFonts w:hint="eastAsia" w:ascii="宋体" w:hAnsi="宋体" w:eastAsia="宋体" w:cs="微软雅黑"/>
                <w:color w:val="auto"/>
                <w:sz w:val="22"/>
                <w:szCs w:val="22"/>
              </w:rPr>
              <w:t>根据投标人投入本项目设备（含设备运输工具）情况，综合比较打分：拆违设备设备种类齐全、数量丰富</w:t>
            </w:r>
            <w:r>
              <w:rPr>
                <w:rFonts w:hint="eastAsia" w:ascii="宋体" w:hAnsi="宋体" w:eastAsia="宋体" w:cs="微软雅黑"/>
                <w:color w:val="auto"/>
                <w:sz w:val="22"/>
                <w:szCs w:val="22"/>
                <w:lang w:eastAsia="zh-CN"/>
              </w:rPr>
              <w:t>的得</w:t>
            </w:r>
            <w:r>
              <w:rPr>
                <w:rFonts w:hint="eastAsia" w:ascii="宋体" w:hAnsi="宋体" w:eastAsia="宋体" w:cs="微软雅黑"/>
                <w:color w:val="auto"/>
                <w:sz w:val="22"/>
                <w:szCs w:val="22"/>
                <w:lang w:val="en-US" w:eastAsia="zh-CN"/>
              </w:rPr>
              <w:t>4.1-6分；</w:t>
            </w:r>
            <w:r>
              <w:rPr>
                <w:rFonts w:hint="eastAsia" w:ascii="宋体" w:hAnsi="宋体" w:eastAsia="宋体" w:cs="微软雅黑"/>
                <w:color w:val="auto"/>
                <w:sz w:val="22"/>
                <w:szCs w:val="22"/>
              </w:rPr>
              <w:t>主要拆违设备种类齐全、能满足项目需求</w:t>
            </w:r>
            <w:r>
              <w:rPr>
                <w:rFonts w:hint="eastAsia" w:ascii="宋体" w:hAnsi="宋体" w:eastAsia="宋体" w:cs="微软雅黑"/>
                <w:color w:val="auto"/>
                <w:sz w:val="22"/>
                <w:szCs w:val="22"/>
                <w:lang w:eastAsia="zh-CN"/>
              </w:rPr>
              <w:t>的得</w:t>
            </w:r>
            <w:r>
              <w:rPr>
                <w:rFonts w:hint="eastAsia" w:ascii="宋体" w:hAnsi="宋体" w:eastAsia="宋体" w:cs="微软雅黑"/>
                <w:color w:val="auto"/>
                <w:sz w:val="22"/>
                <w:szCs w:val="22"/>
                <w:lang w:val="en-US" w:eastAsia="zh-CN"/>
              </w:rPr>
              <w:t>2.1-4分</w:t>
            </w:r>
            <w:r>
              <w:rPr>
                <w:rFonts w:hint="eastAsia" w:ascii="宋体" w:hAnsi="宋体" w:eastAsia="宋体" w:cs="微软雅黑"/>
                <w:color w:val="auto"/>
                <w:sz w:val="22"/>
                <w:szCs w:val="22"/>
              </w:rPr>
              <w:t>；设备种类较少，不能或不能完全满足项目需求</w:t>
            </w:r>
            <w:r>
              <w:rPr>
                <w:rFonts w:hint="eastAsia" w:ascii="宋体" w:hAnsi="宋体" w:eastAsia="宋体" w:cs="微软雅黑"/>
                <w:color w:val="auto"/>
                <w:sz w:val="22"/>
                <w:szCs w:val="22"/>
                <w:lang w:eastAsia="zh-CN"/>
              </w:rPr>
              <w:t>的得</w:t>
            </w:r>
            <w:r>
              <w:rPr>
                <w:rFonts w:hint="eastAsia" w:ascii="宋体" w:hAnsi="宋体" w:eastAsia="宋体" w:cs="微软雅黑"/>
                <w:color w:val="auto"/>
                <w:sz w:val="22"/>
                <w:szCs w:val="22"/>
                <w:lang w:val="en-US" w:eastAsia="zh-CN"/>
              </w:rPr>
              <w:t>0-2分</w:t>
            </w:r>
            <w:r>
              <w:rPr>
                <w:rFonts w:hint="eastAsia" w:ascii="宋体" w:hAnsi="宋体" w:eastAsia="宋体" w:cs="微软雅黑"/>
                <w:color w:val="auto"/>
                <w:sz w:val="22"/>
                <w:szCs w:val="22"/>
              </w:rPr>
              <w:t>。</w:t>
            </w:r>
          </w:p>
          <w:p>
            <w:pPr>
              <w:adjustRightInd w:val="0"/>
              <w:spacing w:line="340" w:lineRule="exact"/>
              <w:jc w:val="both"/>
              <w:rPr>
                <w:rFonts w:hint="eastAsia" w:eastAsia="宋体"/>
                <w:lang w:eastAsia="zh-CN"/>
              </w:rPr>
            </w:pPr>
            <w:r>
              <w:rPr>
                <w:rFonts w:hint="eastAsia" w:ascii="宋体" w:hAnsi="宋体" w:cs="微软雅黑"/>
                <w:b/>
                <w:bCs/>
                <w:color w:val="auto"/>
                <w:sz w:val="22"/>
                <w:szCs w:val="22"/>
                <w:lang w:val="en-US" w:eastAsia="zh-CN"/>
              </w:rPr>
              <w:t>设备为</w:t>
            </w:r>
            <w:r>
              <w:rPr>
                <w:rFonts w:hint="eastAsia" w:ascii="宋体" w:hAnsi="宋体" w:eastAsia="宋体" w:cs="微软雅黑"/>
                <w:b/>
                <w:bCs/>
                <w:color w:val="auto"/>
                <w:sz w:val="22"/>
                <w:szCs w:val="22"/>
                <w:lang w:val="en-US" w:eastAsia="zh-CN"/>
              </w:rPr>
              <w:t>供应商自有的需</w:t>
            </w:r>
            <w:r>
              <w:rPr>
                <w:rFonts w:hint="eastAsia" w:ascii="宋体" w:hAnsi="宋体" w:cs="微软雅黑"/>
                <w:b/>
                <w:bCs/>
                <w:color w:val="auto"/>
                <w:sz w:val="22"/>
                <w:szCs w:val="22"/>
                <w:lang w:val="en-US" w:eastAsia="zh-CN"/>
              </w:rPr>
              <w:t>提供</w:t>
            </w:r>
            <w:r>
              <w:rPr>
                <w:rFonts w:hint="eastAsia" w:ascii="宋体" w:hAnsi="宋体" w:eastAsia="宋体" w:cs="微软雅黑"/>
                <w:b/>
                <w:bCs/>
                <w:color w:val="auto"/>
                <w:sz w:val="22"/>
                <w:szCs w:val="22"/>
                <w:lang w:val="en-US" w:eastAsia="zh-CN"/>
              </w:rPr>
              <w:t>购置发票复印件且所注明的单位应与供应商一致，否则不得分。供应商通过租赁手段获得使用权的需租赁协议的复印件</w:t>
            </w:r>
            <w:r>
              <w:rPr>
                <w:rFonts w:hint="eastAsia" w:ascii="宋体" w:hAnsi="宋体" w:cs="微软雅黑"/>
                <w:b/>
                <w:bCs/>
                <w:color w:val="auto"/>
                <w:sz w:val="22"/>
                <w:szCs w:val="22"/>
                <w:lang w:val="en-US" w:eastAsia="zh-CN"/>
              </w:rPr>
              <w:t>和租赁发票</w:t>
            </w:r>
            <w:r>
              <w:rPr>
                <w:rFonts w:hint="eastAsia" w:ascii="宋体" w:hAnsi="宋体" w:eastAsia="宋体" w:cs="微软雅黑"/>
                <w:b/>
                <w:bCs/>
                <w:color w:val="auto"/>
                <w:sz w:val="22"/>
                <w:szCs w:val="22"/>
                <w:lang w:val="en-US" w:eastAsia="zh-CN"/>
              </w:rPr>
              <w:t>。</w:t>
            </w:r>
          </w:p>
        </w:tc>
        <w:tc>
          <w:tcPr>
            <w:tcW w:w="938" w:type="dxa"/>
            <w:vAlign w:val="center"/>
          </w:tcPr>
          <w:p>
            <w:pPr>
              <w:widowControl/>
              <w:adjustRightInd w:val="0"/>
              <w:spacing w:line="340" w:lineRule="exact"/>
              <w:jc w:val="center"/>
              <w:rPr>
                <w:rFonts w:hint="default" w:ascii="宋体" w:hAnsi="宋体" w:eastAsia="宋体" w:cs="微软雅黑"/>
                <w:kern w:val="0"/>
                <w:sz w:val="22"/>
                <w:szCs w:val="22"/>
                <w:shd w:val="clear" w:color="auto" w:fill="FBFDFE"/>
                <w:lang w:val="en-US" w:eastAsia="zh-CN"/>
              </w:rPr>
            </w:pPr>
            <w:r>
              <w:rPr>
                <w:rFonts w:hint="eastAsia" w:ascii="宋体" w:hAnsi="宋体" w:cs="微软雅黑"/>
                <w:kern w:val="0"/>
                <w:sz w:val="22"/>
                <w:szCs w:val="22"/>
                <w:shd w:val="clear" w:color="auto" w:fill="FBFDFE"/>
                <w:lang w:val="en-US" w:eastAsia="zh-CN"/>
              </w:rPr>
              <w:t>6</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45" w:type="dxa"/>
            <w:vAlign w:val="center"/>
          </w:tcPr>
          <w:p>
            <w:pPr>
              <w:adjustRightInd w:val="0"/>
              <w:snapToGrid w:val="0"/>
              <w:spacing w:line="340" w:lineRule="exact"/>
              <w:jc w:val="center"/>
              <w:rPr>
                <w:rFonts w:ascii="宋体" w:hAnsi="宋体" w:eastAsia="宋体" w:cs="微软雅黑"/>
                <w:b/>
                <w:bCs/>
                <w:sz w:val="22"/>
                <w:szCs w:val="22"/>
              </w:rPr>
            </w:pPr>
            <w:r>
              <w:rPr>
                <w:rFonts w:hint="eastAsia" w:ascii="宋体" w:hAnsi="宋体" w:eastAsia="宋体" w:cs="微软雅黑"/>
                <w:b/>
                <w:bCs/>
                <w:sz w:val="22"/>
                <w:szCs w:val="22"/>
              </w:rPr>
              <w:t>二</w:t>
            </w:r>
          </w:p>
        </w:tc>
        <w:tc>
          <w:tcPr>
            <w:tcW w:w="8134" w:type="dxa"/>
            <w:gridSpan w:val="2"/>
            <w:vAlign w:val="center"/>
          </w:tcPr>
          <w:p>
            <w:pPr>
              <w:snapToGrid w:val="0"/>
              <w:spacing w:line="360" w:lineRule="exact"/>
              <w:ind w:firstLine="442" w:firstLineChars="200"/>
              <w:jc w:val="center"/>
              <w:rPr>
                <w:rFonts w:ascii="宋体" w:hAnsi="宋体" w:eastAsia="宋体" w:cs="微软雅黑"/>
                <w:b/>
                <w:sz w:val="22"/>
                <w:szCs w:val="22"/>
                <w:shd w:val="clear" w:color="auto" w:fill="FBFDFE"/>
              </w:rPr>
            </w:pPr>
            <w:r>
              <w:rPr>
                <w:rFonts w:hint="eastAsia" w:ascii="宋体" w:hAnsi="宋体" w:eastAsia="宋体" w:cs="微软雅黑"/>
                <w:b/>
                <w:sz w:val="22"/>
                <w:szCs w:val="22"/>
                <w:shd w:val="clear" w:color="auto" w:fill="FBFDFE"/>
              </w:rPr>
              <w:t>商务及资信分</w:t>
            </w:r>
          </w:p>
        </w:tc>
        <w:tc>
          <w:tcPr>
            <w:tcW w:w="938" w:type="dxa"/>
            <w:vAlign w:val="center"/>
          </w:tcPr>
          <w:p>
            <w:pPr>
              <w:adjustRightInd w:val="0"/>
              <w:snapToGrid w:val="0"/>
              <w:spacing w:line="340" w:lineRule="exact"/>
              <w:jc w:val="center"/>
              <w:rPr>
                <w:rFonts w:hint="default" w:ascii="宋体" w:hAnsi="宋体" w:eastAsia="宋体" w:cs="微软雅黑"/>
                <w:b/>
                <w:sz w:val="22"/>
                <w:szCs w:val="22"/>
                <w:shd w:val="clear" w:color="auto" w:fill="FBFDFE"/>
                <w:lang w:val="en-US" w:eastAsia="zh-CN"/>
              </w:rPr>
            </w:pPr>
            <w:r>
              <w:rPr>
                <w:rFonts w:hint="eastAsia" w:ascii="宋体" w:hAnsi="宋体" w:cs="微软雅黑"/>
                <w:b/>
                <w:sz w:val="22"/>
                <w:szCs w:val="22"/>
                <w:shd w:val="clear" w:color="auto" w:fill="FBFDFE"/>
                <w:lang w:val="en-US" w:eastAsia="zh-CN"/>
              </w:rPr>
              <w:t>39</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5" w:type="dxa"/>
            <w:vMerge w:val="restart"/>
            <w:vAlign w:val="center"/>
          </w:tcPr>
          <w:p>
            <w:pPr>
              <w:adjustRightInd w:val="0"/>
              <w:snapToGrid w:val="0"/>
              <w:spacing w:line="340" w:lineRule="exact"/>
              <w:jc w:val="center"/>
              <w:rPr>
                <w:rFonts w:hint="default" w:ascii="宋体" w:hAnsi="宋体" w:eastAsia="宋体" w:cs="微软雅黑"/>
                <w:bCs/>
                <w:sz w:val="22"/>
                <w:szCs w:val="22"/>
                <w:lang w:val="en-US" w:eastAsia="zh-CN"/>
              </w:rPr>
            </w:pPr>
            <w:r>
              <w:rPr>
                <w:rFonts w:hint="eastAsia" w:ascii="宋体" w:hAnsi="宋体" w:cs="微软雅黑"/>
                <w:bCs/>
                <w:sz w:val="22"/>
                <w:szCs w:val="22"/>
                <w:lang w:val="en-US" w:eastAsia="zh-CN"/>
              </w:rPr>
              <w:t>7</w:t>
            </w:r>
          </w:p>
        </w:tc>
        <w:tc>
          <w:tcPr>
            <w:tcW w:w="1614" w:type="dxa"/>
            <w:vMerge w:val="restart"/>
            <w:vAlign w:val="center"/>
          </w:tcPr>
          <w:p>
            <w:pPr>
              <w:adjustRightInd w:val="0"/>
              <w:spacing w:line="340" w:lineRule="exact"/>
              <w:jc w:val="center"/>
              <w:rPr>
                <w:rFonts w:hint="eastAsia" w:ascii="宋体" w:hAnsi="宋体" w:eastAsia="宋体" w:cs="微软雅黑"/>
                <w:bCs/>
                <w:sz w:val="22"/>
                <w:szCs w:val="22"/>
                <w:lang w:eastAsia="zh-CN"/>
              </w:rPr>
            </w:pPr>
            <w:r>
              <w:rPr>
                <w:rFonts w:hint="eastAsia" w:ascii="宋体" w:hAnsi="宋体" w:cs="微软雅黑"/>
                <w:bCs/>
                <w:sz w:val="22"/>
                <w:szCs w:val="22"/>
                <w:lang w:eastAsia="zh-CN"/>
              </w:rPr>
              <w:t>服务承诺</w:t>
            </w:r>
          </w:p>
        </w:tc>
        <w:tc>
          <w:tcPr>
            <w:tcW w:w="6520" w:type="dxa"/>
            <w:vAlign w:val="center"/>
          </w:tcPr>
          <w:p>
            <w:pPr>
              <w:widowControl/>
              <w:spacing w:line="360" w:lineRule="exact"/>
              <w:jc w:val="left"/>
              <w:rPr>
                <w:rFonts w:hint="eastAsia" w:ascii="宋体" w:hAnsi="宋体" w:eastAsia="宋体" w:cs="微软雅黑"/>
                <w:kern w:val="0"/>
                <w:sz w:val="22"/>
                <w:szCs w:val="22"/>
              </w:rPr>
            </w:pPr>
            <w:r>
              <w:rPr>
                <w:rFonts w:hint="eastAsia" w:ascii="宋体" w:hAnsi="宋体" w:eastAsia="宋体" w:cs="微软雅黑"/>
                <w:kern w:val="0"/>
                <w:sz w:val="22"/>
                <w:szCs w:val="22"/>
                <w:lang w:eastAsia="zh-CN"/>
              </w:rPr>
              <w:t>在接到业主电话后需在30分钟内即到现场响应到位，需提供响应服务承诺，</w:t>
            </w:r>
            <w:r>
              <w:rPr>
                <w:rFonts w:hint="eastAsia" w:ascii="宋体" w:hAnsi="宋体" w:cs="微软雅黑"/>
                <w:kern w:val="0"/>
                <w:sz w:val="22"/>
                <w:szCs w:val="22"/>
                <w:lang w:eastAsia="zh-CN"/>
              </w:rPr>
              <w:t>满足得</w:t>
            </w:r>
            <w:r>
              <w:rPr>
                <w:rFonts w:hint="eastAsia" w:ascii="宋体" w:hAnsi="宋体" w:cs="微软雅黑"/>
                <w:kern w:val="0"/>
                <w:sz w:val="22"/>
                <w:szCs w:val="22"/>
                <w:lang w:val="en-US" w:eastAsia="zh-CN"/>
              </w:rPr>
              <w:t>3分，未提供承诺或承诺</w:t>
            </w:r>
            <w:r>
              <w:rPr>
                <w:rFonts w:hint="eastAsia" w:ascii="宋体" w:hAnsi="宋体" w:eastAsia="宋体" w:cs="微软雅黑"/>
                <w:kern w:val="0"/>
                <w:sz w:val="22"/>
                <w:szCs w:val="22"/>
                <w:lang w:eastAsia="zh-CN"/>
              </w:rPr>
              <w:t>不满足</w:t>
            </w:r>
            <w:r>
              <w:rPr>
                <w:rFonts w:hint="eastAsia" w:ascii="宋体" w:hAnsi="宋体" w:cs="微软雅黑"/>
                <w:kern w:val="0"/>
                <w:sz w:val="22"/>
                <w:szCs w:val="22"/>
                <w:lang w:eastAsia="zh-CN"/>
              </w:rPr>
              <w:t>的</w:t>
            </w:r>
            <w:r>
              <w:rPr>
                <w:rFonts w:hint="eastAsia" w:ascii="宋体" w:hAnsi="宋体" w:eastAsia="宋体" w:cs="微软雅黑"/>
                <w:kern w:val="0"/>
                <w:sz w:val="22"/>
                <w:szCs w:val="22"/>
                <w:lang w:eastAsia="zh-CN"/>
              </w:rPr>
              <w:t>不得分</w:t>
            </w:r>
            <w:r>
              <w:rPr>
                <w:rFonts w:hint="eastAsia" w:ascii="宋体" w:hAnsi="宋体" w:cs="微软雅黑"/>
                <w:kern w:val="0"/>
                <w:sz w:val="22"/>
                <w:szCs w:val="22"/>
                <w:lang w:eastAsia="zh-CN"/>
              </w:rPr>
              <w:t>。</w:t>
            </w:r>
          </w:p>
        </w:tc>
        <w:tc>
          <w:tcPr>
            <w:tcW w:w="938" w:type="dxa"/>
            <w:vAlign w:val="center"/>
          </w:tcPr>
          <w:p>
            <w:pPr>
              <w:adjustRightInd w:val="0"/>
              <w:snapToGrid w:val="0"/>
              <w:spacing w:line="340" w:lineRule="exact"/>
              <w:jc w:val="center"/>
              <w:rPr>
                <w:rFonts w:hint="eastAsia" w:ascii="宋体" w:hAnsi="宋体" w:eastAsia="宋体" w:cs="微软雅黑"/>
                <w:sz w:val="22"/>
                <w:szCs w:val="22"/>
                <w:lang w:val="en-US" w:eastAsia="zh-CN"/>
              </w:rPr>
            </w:pPr>
            <w:r>
              <w:rPr>
                <w:rFonts w:hint="eastAsia" w:ascii="宋体" w:hAnsi="宋体" w:cs="微软雅黑"/>
                <w:sz w:val="22"/>
                <w:szCs w:val="22"/>
                <w:lang w:val="en-US" w:eastAsia="zh-CN"/>
              </w:rPr>
              <w:t>3</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5" w:type="dxa"/>
            <w:vMerge w:val="continue"/>
            <w:vAlign w:val="center"/>
          </w:tcPr>
          <w:p>
            <w:pPr>
              <w:adjustRightInd w:val="0"/>
              <w:snapToGrid w:val="0"/>
              <w:spacing w:line="340" w:lineRule="exact"/>
              <w:jc w:val="center"/>
              <w:rPr>
                <w:rFonts w:hint="eastAsia" w:ascii="宋体" w:hAnsi="宋体" w:eastAsia="宋体" w:cs="微软雅黑"/>
                <w:bCs/>
                <w:sz w:val="22"/>
                <w:szCs w:val="22"/>
                <w:lang w:eastAsia="zh-CN"/>
              </w:rPr>
            </w:pPr>
          </w:p>
        </w:tc>
        <w:tc>
          <w:tcPr>
            <w:tcW w:w="1614" w:type="dxa"/>
            <w:vMerge w:val="continue"/>
            <w:vAlign w:val="center"/>
          </w:tcPr>
          <w:p>
            <w:pPr>
              <w:adjustRightInd w:val="0"/>
              <w:spacing w:line="340" w:lineRule="exact"/>
              <w:jc w:val="center"/>
              <w:rPr>
                <w:rFonts w:hint="eastAsia" w:ascii="宋体" w:hAnsi="宋体" w:cs="微软雅黑"/>
                <w:bCs/>
                <w:sz w:val="22"/>
                <w:szCs w:val="22"/>
                <w:lang w:eastAsia="zh-CN"/>
              </w:rPr>
            </w:pPr>
          </w:p>
        </w:tc>
        <w:tc>
          <w:tcPr>
            <w:tcW w:w="6520" w:type="dxa"/>
            <w:vAlign w:val="center"/>
          </w:tcPr>
          <w:p>
            <w:pPr>
              <w:widowControl/>
              <w:spacing w:line="360" w:lineRule="exact"/>
              <w:jc w:val="left"/>
              <w:rPr>
                <w:rFonts w:hint="default" w:ascii="宋体" w:hAnsi="宋体" w:eastAsia="宋体" w:cs="微软雅黑"/>
                <w:kern w:val="0"/>
                <w:sz w:val="22"/>
                <w:szCs w:val="22"/>
                <w:lang w:val="en-US" w:eastAsia="zh-CN"/>
              </w:rPr>
            </w:pPr>
            <w:r>
              <w:rPr>
                <w:rFonts w:hint="eastAsia" w:ascii="宋体" w:hAnsi="宋体" w:cs="微软雅黑"/>
                <w:kern w:val="0"/>
                <w:sz w:val="22"/>
                <w:szCs w:val="22"/>
                <w:lang w:eastAsia="zh-CN"/>
              </w:rPr>
              <w:t>投标人</w:t>
            </w:r>
            <w:r>
              <w:rPr>
                <w:rFonts w:hint="eastAsia" w:ascii="宋体" w:hAnsi="宋体" w:eastAsia="宋体" w:cs="微软雅黑"/>
                <w:kern w:val="0"/>
                <w:sz w:val="22"/>
                <w:szCs w:val="22"/>
                <w:lang w:eastAsia="zh-CN"/>
              </w:rPr>
              <w:t>承诺在施工过程中发生的任何人员伤亡等意外事件，均有</w:t>
            </w:r>
            <w:r>
              <w:rPr>
                <w:rFonts w:hint="eastAsia" w:ascii="宋体" w:hAnsi="宋体" w:cs="微软雅黑"/>
                <w:kern w:val="0"/>
                <w:sz w:val="22"/>
                <w:szCs w:val="22"/>
                <w:lang w:eastAsia="zh-CN"/>
              </w:rPr>
              <w:t>投标人</w:t>
            </w:r>
            <w:r>
              <w:rPr>
                <w:rFonts w:hint="eastAsia" w:ascii="宋体" w:hAnsi="宋体" w:eastAsia="宋体" w:cs="微软雅黑"/>
                <w:kern w:val="0"/>
                <w:sz w:val="22"/>
                <w:szCs w:val="22"/>
                <w:lang w:eastAsia="zh-CN"/>
              </w:rPr>
              <w:t>全权负责（提供书面承诺书，并由法定代表人签字，加盖公章，格式自拟）</w:t>
            </w:r>
            <w:r>
              <w:rPr>
                <w:rFonts w:hint="eastAsia" w:ascii="宋体" w:hAnsi="宋体" w:cs="微软雅黑"/>
                <w:kern w:val="0"/>
                <w:sz w:val="22"/>
                <w:szCs w:val="22"/>
                <w:lang w:eastAsia="zh-CN"/>
              </w:rPr>
              <w:t>，提供的得</w:t>
            </w:r>
            <w:r>
              <w:rPr>
                <w:rFonts w:hint="eastAsia" w:ascii="宋体" w:hAnsi="宋体" w:cs="微软雅黑"/>
                <w:kern w:val="0"/>
                <w:sz w:val="22"/>
                <w:szCs w:val="22"/>
                <w:lang w:val="en-US" w:eastAsia="zh-CN"/>
              </w:rPr>
              <w:t>3分，未提供承诺或承诺</w:t>
            </w:r>
            <w:r>
              <w:rPr>
                <w:rFonts w:hint="eastAsia" w:ascii="宋体" w:hAnsi="宋体" w:eastAsia="宋体" w:cs="微软雅黑"/>
                <w:kern w:val="0"/>
                <w:sz w:val="22"/>
                <w:szCs w:val="22"/>
                <w:lang w:eastAsia="zh-CN"/>
              </w:rPr>
              <w:t>不满足</w:t>
            </w:r>
            <w:r>
              <w:rPr>
                <w:rFonts w:hint="eastAsia" w:ascii="宋体" w:hAnsi="宋体" w:cs="微软雅黑"/>
                <w:kern w:val="0"/>
                <w:sz w:val="22"/>
                <w:szCs w:val="22"/>
                <w:lang w:eastAsia="zh-CN"/>
              </w:rPr>
              <w:t>的</w:t>
            </w:r>
            <w:r>
              <w:rPr>
                <w:rFonts w:hint="eastAsia" w:ascii="宋体" w:hAnsi="宋体" w:cs="微软雅黑"/>
                <w:kern w:val="0"/>
                <w:sz w:val="22"/>
                <w:szCs w:val="22"/>
                <w:lang w:val="en-US" w:eastAsia="zh-CN"/>
              </w:rPr>
              <w:t>不得分。</w:t>
            </w:r>
          </w:p>
        </w:tc>
        <w:tc>
          <w:tcPr>
            <w:tcW w:w="938" w:type="dxa"/>
            <w:vAlign w:val="center"/>
          </w:tcPr>
          <w:p>
            <w:pPr>
              <w:adjustRightInd w:val="0"/>
              <w:snapToGrid w:val="0"/>
              <w:spacing w:line="340" w:lineRule="exact"/>
              <w:jc w:val="center"/>
              <w:rPr>
                <w:rFonts w:hint="default" w:ascii="宋体" w:hAnsi="宋体" w:cs="微软雅黑"/>
                <w:sz w:val="22"/>
                <w:szCs w:val="22"/>
                <w:lang w:val="en-US" w:eastAsia="zh-CN"/>
              </w:rPr>
            </w:pPr>
            <w:r>
              <w:rPr>
                <w:rFonts w:hint="eastAsia" w:ascii="宋体" w:hAnsi="宋体" w:cs="微软雅黑"/>
                <w:sz w:val="22"/>
                <w:szCs w:val="22"/>
                <w:lang w:val="en-US" w:eastAsia="zh-CN"/>
              </w:rPr>
              <w:t>3</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5" w:type="dxa"/>
            <w:vMerge w:val="continue"/>
            <w:vAlign w:val="center"/>
          </w:tcPr>
          <w:p>
            <w:pPr>
              <w:adjustRightInd w:val="0"/>
              <w:snapToGrid w:val="0"/>
              <w:spacing w:line="340" w:lineRule="exact"/>
              <w:jc w:val="center"/>
              <w:rPr>
                <w:rFonts w:hint="eastAsia" w:ascii="宋体" w:hAnsi="宋体" w:eastAsia="宋体" w:cs="微软雅黑"/>
                <w:bCs/>
                <w:sz w:val="22"/>
                <w:szCs w:val="22"/>
                <w:lang w:eastAsia="zh-CN"/>
              </w:rPr>
            </w:pPr>
          </w:p>
        </w:tc>
        <w:tc>
          <w:tcPr>
            <w:tcW w:w="1614" w:type="dxa"/>
            <w:vMerge w:val="continue"/>
            <w:vAlign w:val="center"/>
          </w:tcPr>
          <w:p>
            <w:pPr>
              <w:adjustRightInd w:val="0"/>
              <w:spacing w:line="340" w:lineRule="exact"/>
              <w:jc w:val="center"/>
              <w:rPr>
                <w:rFonts w:hint="eastAsia" w:ascii="宋体" w:hAnsi="宋体" w:cs="微软雅黑"/>
                <w:bCs/>
                <w:sz w:val="22"/>
                <w:szCs w:val="22"/>
                <w:lang w:eastAsia="zh-CN"/>
              </w:rPr>
            </w:pPr>
          </w:p>
        </w:tc>
        <w:tc>
          <w:tcPr>
            <w:tcW w:w="6520" w:type="dxa"/>
            <w:vAlign w:val="center"/>
          </w:tcPr>
          <w:p>
            <w:pPr>
              <w:widowControl/>
              <w:spacing w:line="360" w:lineRule="exact"/>
              <w:jc w:val="left"/>
              <w:rPr>
                <w:rFonts w:hint="eastAsia" w:ascii="宋体" w:hAnsi="宋体" w:cs="微软雅黑"/>
                <w:kern w:val="0"/>
                <w:sz w:val="22"/>
                <w:szCs w:val="22"/>
                <w:lang w:eastAsia="zh-CN"/>
              </w:rPr>
            </w:pPr>
            <w:r>
              <w:rPr>
                <w:rFonts w:hint="eastAsia" w:ascii="宋体" w:hAnsi="宋体" w:cs="微软雅黑"/>
                <w:kern w:val="0"/>
                <w:sz w:val="22"/>
                <w:szCs w:val="22"/>
                <w:lang w:eastAsia="zh-CN"/>
              </w:rPr>
              <w:t>根据投标人提供的各种优惠服务承诺以及与采购人的配合进行综合评审。（</w:t>
            </w:r>
            <w:r>
              <w:rPr>
                <w:rFonts w:hint="eastAsia" w:ascii="宋体" w:hAnsi="宋体" w:cs="微软雅黑"/>
                <w:kern w:val="0"/>
                <w:sz w:val="22"/>
                <w:szCs w:val="22"/>
                <w:lang w:val="en-US" w:eastAsia="zh-CN"/>
              </w:rPr>
              <w:t>0-6分</w:t>
            </w:r>
            <w:r>
              <w:rPr>
                <w:rFonts w:hint="eastAsia" w:ascii="宋体" w:hAnsi="宋体" w:cs="微软雅黑"/>
                <w:kern w:val="0"/>
                <w:sz w:val="22"/>
                <w:szCs w:val="22"/>
                <w:lang w:eastAsia="zh-CN"/>
              </w:rPr>
              <w:t>）</w:t>
            </w:r>
          </w:p>
        </w:tc>
        <w:tc>
          <w:tcPr>
            <w:tcW w:w="938" w:type="dxa"/>
            <w:vAlign w:val="center"/>
          </w:tcPr>
          <w:p>
            <w:pPr>
              <w:adjustRightInd w:val="0"/>
              <w:snapToGrid w:val="0"/>
              <w:spacing w:line="340" w:lineRule="exact"/>
              <w:jc w:val="center"/>
              <w:rPr>
                <w:rFonts w:hint="default" w:ascii="宋体" w:hAnsi="宋体" w:cs="微软雅黑"/>
                <w:sz w:val="22"/>
                <w:szCs w:val="22"/>
                <w:lang w:val="en-US" w:eastAsia="zh-CN"/>
              </w:rPr>
            </w:pPr>
            <w:r>
              <w:rPr>
                <w:rFonts w:hint="eastAsia" w:ascii="宋体" w:hAnsi="宋体" w:cs="微软雅黑"/>
                <w:sz w:val="22"/>
                <w:szCs w:val="22"/>
                <w:lang w:val="en-US" w:eastAsia="zh-CN"/>
              </w:rPr>
              <w:t>6</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5" w:type="dxa"/>
            <w:vAlign w:val="center"/>
          </w:tcPr>
          <w:p>
            <w:pPr>
              <w:adjustRightInd w:val="0"/>
              <w:snapToGrid w:val="0"/>
              <w:spacing w:line="340" w:lineRule="exact"/>
              <w:jc w:val="center"/>
              <w:rPr>
                <w:rFonts w:hint="eastAsia" w:ascii="宋体" w:hAnsi="宋体" w:eastAsia="宋体" w:cs="微软雅黑"/>
                <w:bCs/>
                <w:kern w:val="2"/>
                <w:sz w:val="22"/>
                <w:szCs w:val="22"/>
                <w:lang w:val="en-US" w:eastAsia="zh-CN" w:bidi="ar-SA"/>
              </w:rPr>
            </w:pPr>
            <w:r>
              <w:rPr>
                <w:rFonts w:hint="eastAsia" w:ascii="宋体" w:hAnsi="宋体" w:cs="微软雅黑"/>
                <w:bCs/>
                <w:sz w:val="22"/>
                <w:szCs w:val="22"/>
                <w:lang w:val="en-US" w:eastAsia="zh-CN"/>
              </w:rPr>
              <w:t>8</w:t>
            </w:r>
          </w:p>
        </w:tc>
        <w:tc>
          <w:tcPr>
            <w:tcW w:w="1614" w:type="dxa"/>
            <w:vAlign w:val="center"/>
          </w:tcPr>
          <w:p>
            <w:pPr>
              <w:adjustRightInd w:val="0"/>
              <w:spacing w:line="340" w:lineRule="exact"/>
              <w:jc w:val="center"/>
              <w:rPr>
                <w:rFonts w:hint="eastAsia" w:ascii="宋体" w:hAnsi="宋体" w:eastAsia="宋体" w:cs="微软雅黑"/>
                <w:bCs/>
                <w:kern w:val="2"/>
                <w:sz w:val="22"/>
                <w:szCs w:val="22"/>
                <w:lang w:val="en-US" w:eastAsia="zh-CN" w:bidi="ar-SA"/>
              </w:rPr>
            </w:pPr>
            <w:r>
              <w:rPr>
                <w:rFonts w:hint="eastAsia" w:ascii="宋体" w:hAnsi="宋体" w:eastAsia="宋体" w:cs="微软雅黑"/>
                <w:bCs/>
                <w:sz w:val="22"/>
                <w:szCs w:val="22"/>
              </w:rPr>
              <w:t>企业业绩</w:t>
            </w:r>
          </w:p>
        </w:tc>
        <w:tc>
          <w:tcPr>
            <w:tcW w:w="6520" w:type="dxa"/>
            <w:vAlign w:val="center"/>
          </w:tcPr>
          <w:p>
            <w:pPr>
              <w:widowControl/>
              <w:spacing w:line="360" w:lineRule="exact"/>
              <w:jc w:val="left"/>
              <w:rPr>
                <w:rFonts w:hint="eastAsia" w:eastAsia="宋体"/>
                <w:color w:val="auto"/>
                <w:lang w:val="en-US" w:eastAsia="zh-CN"/>
              </w:rPr>
            </w:pPr>
            <w:r>
              <w:rPr>
                <w:rFonts w:hint="eastAsia" w:ascii="宋体" w:hAnsi="宋体" w:eastAsia="宋体" w:cs="微软雅黑"/>
                <w:color w:val="auto"/>
                <w:kern w:val="0"/>
                <w:sz w:val="22"/>
                <w:szCs w:val="22"/>
                <w:lang w:eastAsia="zh-CN"/>
              </w:rPr>
              <w:t>投标人提供</w:t>
            </w:r>
            <w:r>
              <w:rPr>
                <w:rFonts w:hint="eastAsia" w:ascii="宋体" w:hAnsi="宋体" w:cs="微软雅黑"/>
                <w:color w:val="auto"/>
                <w:kern w:val="0"/>
                <w:sz w:val="22"/>
                <w:szCs w:val="22"/>
                <w:lang w:val="en-US" w:eastAsia="zh-CN"/>
              </w:rPr>
              <w:t>2019</w:t>
            </w:r>
            <w:r>
              <w:rPr>
                <w:rFonts w:hint="eastAsia" w:ascii="宋体" w:hAnsi="宋体" w:eastAsia="宋体" w:cs="微软雅黑"/>
                <w:color w:val="auto"/>
                <w:kern w:val="0"/>
                <w:sz w:val="22"/>
                <w:szCs w:val="22"/>
              </w:rPr>
              <w:t>年1月1日至今</w:t>
            </w:r>
            <w:r>
              <w:rPr>
                <w:rFonts w:hint="eastAsia" w:ascii="宋体" w:hAnsi="宋体" w:eastAsia="宋体" w:cs="微软雅黑"/>
                <w:color w:val="auto"/>
                <w:kern w:val="0"/>
                <w:sz w:val="22"/>
                <w:szCs w:val="22"/>
                <w:lang w:eastAsia="zh-CN"/>
              </w:rPr>
              <w:t>同类项目合同业绩</w:t>
            </w:r>
            <w:r>
              <w:rPr>
                <w:rFonts w:hint="eastAsia" w:ascii="宋体" w:hAnsi="宋体" w:cs="微软雅黑"/>
                <w:color w:val="auto"/>
                <w:kern w:val="0"/>
                <w:sz w:val="22"/>
                <w:szCs w:val="22"/>
                <w:lang w:eastAsia="zh-CN"/>
              </w:rPr>
              <w:t>（需体现拆除或整治等相关内容）</w:t>
            </w:r>
            <w:r>
              <w:rPr>
                <w:rFonts w:hint="eastAsia" w:ascii="宋体" w:hAnsi="宋体" w:eastAsia="宋体" w:cs="微软雅黑"/>
                <w:color w:val="auto"/>
                <w:kern w:val="0"/>
                <w:sz w:val="22"/>
                <w:szCs w:val="22"/>
              </w:rPr>
              <w:t>，每个得1分，最多得5分。</w:t>
            </w:r>
            <w:r>
              <w:rPr>
                <w:rFonts w:hint="eastAsia" w:ascii="宋体" w:hAnsi="宋体" w:cs="微软雅黑"/>
                <w:color w:val="auto"/>
                <w:kern w:val="0"/>
                <w:sz w:val="22"/>
                <w:szCs w:val="22"/>
                <w:lang w:eastAsia="zh-CN"/>
              </w:rPr>
              <w:t>（</w:t>
            </w:r>
            <w:r>
              <w:rPr>
                <w:rFonts w:hint="eastAsia" w:ascii="宋体" w:hAnsi="宋体" w:eastAsia="宋体" w:cs="微软雅黑"/>
                <w:color w:val="auto"/>
                <w:kern w:val="0"/>
                <w:sz w:val="22"/>
                <w:szCs w:val="22"/>
              </w:rPr>
              <w:t>业绩需提供</w:t>
            </w:r>
            <w:r>
              <w:rPr>
                <w:rFonts w:hint="eastAsia" w:ascii="宋体" w:hAnsi="宋体" w:cs="微软雅黑"/>
                <w:color w:val="auto"/>
                <w:kern w:val="0"/>
                <w:sz w:val="22"/>
                <w:szCs w:val="22"/>
                <w:lang w:eastAsia="zh-CN"/>
              </w:rPr>
              <w:t>公开项目中标网址、中标通知书、合同等复印件，</w:t>
            </w:r>
            <w:r>
              <w:rPr>
                <w:rFonts w:hint="eastAsia" w:ascii="宋体" w:hAnsi="宋体" w:eastAsia="宋体" w:cs="微软雅黑"/>
                <w:color w:val="auto"/>
                <w:kern w:val="0"/>
                <w:sz w:val="22"/>
                <w:szCs w:val="22"/>
              </w:rPr>
              <w:t>否则评分不予认可</w:t>
            </w:r>
            <w:r>
              <w:rPr>
                <w:rFonts w:hint="eastAsia" w:ascii="宋体" w:hAnsi="宋体" w:cs="微软雅黑"/>
                <w:color w:val="auto"/>
                <w:kern w:val="0"/>
                <w:sz w:val="22"/>
                <w:szCs w:val="22"/>
                <w:lang w:eastAsia="zh-CN"/>
              </w:rPr>
              <w:t>。）</w:t>
            </w:r>
          </w:p>
        </w:tc>
        <w:tc>
          <w:tcPr>
            <w:tcW w:w="938" w:type="dxa"/>
            <w:vAlign w:val="center"/>
          </w:tcPr>
          <w:p>
            <w:pPr>
              <w:adjustRightInd w:val="0"/>
              <w:snapToGrid w:val="0"/>
              <w:spacing w:line="340" w:lineRule="exact"/>
              <w:jc w:val="center"/>
              <w:rPr>
                <w:rFonts w:hint="eastAsia" w:ascii="宋体" w:hAnsi="宋体" w:eastAsia="宋体" w:cs="微软雅黑"/>
                <w:kern w:val="2"/>
                <w:sz w:val="22"/>
                <w:szCs w:val="22"/>
                <w:lang w:val="en-US" w:eastAsia="zh-CN" w:bidi="ar-SA"/>
              </w:rPr>
            </w:pPr>
            <w:r>
              <w:rPr>
                <w:rFonts w:hint="eastAsia" w:ascii="宋体" w:hAnsi="宋体" w:eastAsia="宋体" w:cs="微软雅黑"/>
                <w:sz w:val="22"/>
                <w:szCs w:val="22"/>
              </w:rPr>
              <w:t>5</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745" w:type="dxa"/>
            <w:vAlign w:val="center"/>
          </w:tcPr>
          <w:p>
            <w:pPr>
              <w:adjustRightInd w:val="0"/>
              <w:snapToGrid w:val="0"/>
              <w:spacing w:line="340" w:lineRule="exact"/>
              <w:jc w:val="center"/>
              <w:rPr>
                <w:rFonts w:hint="default" w:ascii="宋体" w:hAnsi="宋体" w:eastAsia="宋体" w:cs="微软雅黑"/>
                <w:bCs/>
                <w:sz w:val="22"/>
                <w:szCs w:val="22"/>
                <w:lang w:val="en-US" w:eastAsia="zh-CN"/>
              </w:rPr>
            </w:pPr>
            <w:r>
              <w:rPr>
                <w:rFonts w:hint="eastAsia" w:ascii="宋体" w:hAnsi="宋体" w:cs="微软雅黑"/>
                <w:bCs/>
                <w:sz w:val="22"/>
                <w:szCs w:val="22"/>
                <w:lang w:val="en-US" w:eastAsia="zh-CN"/>
              </w:rPr>
              <w:t>9</w:t>
            </w:r>
          </w:p>
        </w:tc>
        <w:tc>
          <w:tcPr>
            <w:tcW w:w="1614" w:type="dxa"/>
            <w:vAlign w:val="center"/>
          </w:tcPr>
          <w:p>
            <w:pPr>
              <w:adjustRightInd w:val="0"/>
              <w:spacing w:line="340" w:lineRule="exact"/>
              <w:jc w:val="center"/>
              <w:rPr>
                <w:rFonts w:ascii="宋体" w:hAnsi="宋体" w:eastAsia="宋体" w:cs="微软雅黑"/>
                <w:bCs/>
                <w:sz w:val="22"/>
                <w:szCs w:val="22"/>
              </w:rPr>
            </w:pPr>
            <w:r>
              <w:rPr>
                <w:rFonts w:hint="eastAsia" w:ascii="宋体" w:hAnsi="宋体" w:eastAsia="宋体" w:cs="微软雅黑"/>
                <w:bCs/>
                <w:sz w:val="22"/>
                <w:szCs w:val="22"/>
              </w:rPr>
              <w:t>权威认证</w:t>
            </w:r>
          </w:p>
        </w:tc>
        <w:tc>
          <w:tcPr>
            <w:tcW w:w="6520" w:type="dxa"/>
            <w:vAlign w:val="center"/>
          </w:tcPr>
          <w:p>
            <w:pPr>
              <w:widowControl/>
              <w:spacing w:line="360" w:lineRule="exact"/>
              <w:jc w:val="left"/>
              <w:rPr>
                <w:rFonts w:ascii="宋体" w:hAnsi="宋体" w:eastAsia="宋体" w:cs="微软雅黑"/>
                <w:color w:val="auto"/>
                <w:kern w:val="0"/>
                <w:sz w:val="22"/>
                <w:szCs w:val="22"/>
              </w:rPr>
            </w:pPr>
            <w:r>
              <w:rPr>
                <w:rFonts w:hint="eastAsia" w:ascii="宋体" w:hAnsi="宋体" w:eastAsia="宋体" w:cs="微软雅黑"/>
                <w:color w:val="auto"/>
                <w:kern w:val="0"/>
                <w:sz w:val="22"/>
                <w:szCs w:val="22"/>
              </w:rPr>
              <w:t>投标人具备有效</w:t>
            </w:r>
            <w:r>
              <w:rPr>
                <w:rFonts w:hint="eastAsia" w:ascii="宋体" w:hAnsi="宋体" w:cs="微软雅黑"/>
                <w:color w:val="auto"/>
                <w:kern w:val="0"/>
                <w:sz w:val="22"/>
                <w:szCs w:val="22"/>
                <w:lang w:eastAsia="zh-CN"/>
              </w:rPr>
              <w:t>的</w:t>
            </w:r>
            <w:r>
              <w:rPr>
                <w:rFonts w:hint="eastAsia" w:ascii="宋体" w:hAnsi="宋体" w:eastAsia="宋体" w:cs="微软雅黑"/>
                <w:color w:val="auto"/>
                <w:kern w:val="0"/>
                <w:sz w:val="22"/>
                <w:szCs w:val="22"/>
              </w:rPr>
              <w:t>质量管理体系认证证书、环境管理体系认证证书、职业健康体系认证证书的</w:t>
            </w:r>
            <w:r>
              <w:rPr>
                <w:rFonts w:hint="eastAsia" w:ascii="宋体" w:hAnsi="宋体" w:cs="微软雅黑"/>
                <w:color w:val="auto"/>
                <w:kern w:val="0"/>
                <w:sz w:val="22"/>
                <w:szCs w:val="22"/>
                <w:lang w:eastAsia="zh-CN"/>
              </w:rPr>
              <w:t>，每个</w:t>
            </w:r>
            <w:r>
              <w:rPr>
                <w:rFonts w:hint="eastAsia" w:ascii="宋体" w:hAnsi="宋体" w:eastAsia="宋体" w:cs="微软雅黑"/>
                <w:color w:val="auto"/>
                <w:kern w:val="0"/>
                <w:sz w:val="22"/>
                <w:szCs w:val="22"/>
              </w:rPr>
              <w:t>得</w:t>
            </w:r>
            <w:r>
              <w:rPr>
                <w:rFonts w:hint="eastAsia" w:ascii="宋体" w:hAnsi="宋体" w:cs="微软雅黑"/>
                <w:color w:val="auto"/>
                <w:kern w:val="0"/>
                <w:sz w:val="22"/>
                <w:szCs w:val="22"/>
                <w:lang w:val="en-US" w:eastAsia="zh-CN"/>
              </w:rPr>
              <w:t>2</w:t>
            </w:r>
            <w:r>
              <w:rPr>
                <w:rFonts w:hint="eastAsia" w:ascii="宋体" w:hAnsi="宋体" w:eastAsia="宋体" w:cs="微软雅黑"/>
                <w:color w:val="auto"/>
                <w:kern w:val="0"/>
                <w:sz w:val="22"/>
                <w:szCs w:val="22"/>
              </w:rPr>
              <w:t>分，</w:t>
            </w:r>
            <w:r>
              <w:rPr>
                <w:rFonts w:hint="eastAsia" w:ascii="宋体" w:hAnsi="宋体" w:cs="微软雅黑"/>
                <w:color w:val="auto"/>
                <w:kern w:val="0"/>
                <w:sz w:val="22"/>
                <w:szCs w:val="22"/>
                <w:lang w:eastAsia="zh-CN"/>
              </w:rPr>
              <w:t>共</w:t>
            </w:r>
            <w:r>
              <w:rPr>
                <w:rFonts w:hint="eastAsia" w:ascii="宋体" w:hAnsi="宋体" w:cs="微软雅黑"/>
                <w:color w:val="auto"/>
                <w:kern w:val="0"/>
                <w:sz w:val="22"/>
                <w:szCs w:val="22"/>
                <w:lang w:val="en-US" w:eastAsia="zh-CN"/>
              </w:rPr>
              <w:t>6分。</w:t>
            </w:r>
            <w:r>
              <w:rPr>
                <w:rFonts w:hint="eastAsia" w:ascii="宋体" w:hAnsi="宋体" w:eastAsia="宋体" w:cs="微软雅黑"/>
                <w:color w:val="auto"/>
                <w:kern w:val="0"/>
                <w:sz w:val="22"/>
                <w:szCs w:val="22"/>
              </w:rPr>
              <w:t>(提供证书复印件加盖公章)</w:t>
            </w:r>
          </w:p>
        </w:tc>
        <w:tc>
          <w:tcPr>
            <w:tcW w:w="938" w:type="dxa"/>
            <w:vAlign w:val="center"/>
          </w:tcPr>
          <w:p>
            <w:pPr>
              <w:adjustRightInd w:val="0"/>
              <w:snapToGrid w:val="0"/>
              <w:spacing w:line="340" w:lineRule="exact"/>
              <w:jc w:val="center"/>
              <w:rPr>
                <w:rFonts w:hint="default" w:ascii="宋体" w:hAnsi="宋体" w:eastAsia="宋体" w:cs="微软雅黑"/>
                <w:sz w:val="22"/>
                <w:szCs w:val="22"/>
                <w:lang w:val="en-US" w:eastAsia="zh-CN"/>
              </w:rPr>
            </w:pPr>
            <w:r>
              <w:rPr>
                <w:rFonts w:hint="eastAsia" w:ascii="宋体" w:hAnsi="宋体" w:cs="微软雅黑"/>
                <w:sz w:val="22"/>
                <w:szCs w:val="22"/>
                <w:lang w:val="en-US" w:eastAsia="zh-CN"/>
              </w:rPr>
              <w:t>6</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745" w:type="dxa"/>
            <w:vMerge w:val="restart"/>
            <w:vAlign w:val="center"/>
          </w:tcPr>
          <w:p>
            <w:pPr>
              <w:adjustRightInd w:val="0"/>
              <w:snapToGrid w:val="0"/>
              <w:spacing w:line="340" w:lineRule="exact"/>
              <w:jc w:val="center"/>
              <w:rPr>
                <w:rFonts w:hint="default" w:ascii="宋体" w:hAnsi="宋体" w:cs="微软雅黑"/>
                <w:bCs/>
                <w:sz w:val="22"/>
                <w:szCs w:val="22"/>
                <w:lang w:val="en-US" w:eastAsia="zh-CN"/>
              </w:rPr>
            </w:pPr>
            <w:r>
              <w:rPr>
                <w:rFonts w:hint="eastAsia" w:ascii="宋体" w:hAnsi="宋体" w:cs="微软雅黑"/>
                <w:bCs/>
                <w:sz w:val="22"/>
                <w:szCs w:val="22"/>
                <w:lang w:val="en-US" w:eastAsia="zh-CN"/>
              </w:rPr>
              <w:t>10</w:t>
            </w:r>
          </w:p>
        </w:tc>
        <w:tc>
          <w:tcPr>
            <w:tcW w:w="1614" w:type="dxa"/>
            <w:vMerge w:val="restart"/>
            <w:vAlign w:val="center"/>
          </w:tcPr>
          <w:p>
            <w:pPr>
              <w:adjustRightInd w:val="0"/>
              <w:spacing w:line="340" w:lineRule="exact"/>
              <w:jc w:val="center"/>
              <w:rPr>
                <w:rFonts w:hint="eastAsia" w:ascii="宋体" w:hAnsi="宋体" w:eastAsia="宋体" w:cs="微软雅黑"/>
                <w:bCs/>
                <w:sz w:val="22"/>
                <w:szCs w:val="22"/>
                <w:lang w:eastAsia="zh-CN"/>
              </w:rPr>
            </w:pPr>
            <w:r>
              <w:rPr>
                <w:rFonts w:hint="eastAsia" w:ascii="宋体" w:hAnsi="宋体" w:cs="微软雅黑"/>
                <w:bCs/>
                <w:sz w:val="22"/>
                <w:szCs w:val="22"/>
                <w:lang w:eastAsia="zh-CN"/>
              </w:rPr>
              <w:t>企业实力</w:t>
            </w:r>
          </w:p>
        </w:tc>
        <w:tc>
          <w:tcPr>
            <w:tcW w:w="6520" w:type="dxa"/>
            <w:vAlign w:val="center"/>
          </w:tcPr>
          <w:p>
            <w:pPr>
              <w:widowControl/>
              <w:spacing w:line="360" w:lineRule="exact"/>
              <w:jc w:val="left"/>
              <w:rPr>
                <w:rFonts w:hint="default"/>
                <w:color w:val="auto"/>
                <w:lang w:val="en-US" w:eastAsia="zh-CN"/>
              </w:rPr>
            </w:pPr>
            <w:bookmarkStart w:id="30" w:name="_GoBack"/>
            <w:r>
              <w:rPr>
                <w:rFonts w:hint="eastAsia" w:ascii="宋体" w:hAnsi="宋体" w:eastAsia="宋体" w:cs="微软雅黑"/>
                <w:color w:val="auto"/>
                <w:kern w:val="0"/>
                <w:sz w:val="22"/>
                <w:szCs w:val="22"/>
                <w:highlight w:val="yellow"/>
              </w:rPr>
              <w:t>项目管理配备人员中配备项目技术负责人、施工员、质量员、材料员、资料员、专职安全生产管理人员（C证）</w:t>
            </w:r>
            <w:r>
              <w:rPr>
                <w:rFonts w:hint="eastAsia" w:ascii="宋体" w:hAnsi="宋体" w:cs="微软雅黑"/>
                <w:color w:val="auto"/>
                <w:kern w:val="0"/>
                <w:sz w:val="22"/>
                <w:szCs w:val="22"/>
                <w:highlight w:val="yellow"/>
                <w:lang w:eastAsia="zh-CN"/>
              </w:rPr>
              <w:t>，以上人员每人得</w:t>
            </w:r>
            <w:r>
              <w:rPr>
                <w:rFonts w:hint="eastAsia" w:ascii="宋体" w:hAnsi="宋体" w:cs="微软雅黑"/>
                <w:color w:val="auto"/>
                <w:kern w:val="0"/>
                <w:sz w:val="22"/>
                <w:szCs w:val="22"/>
                <w:highlight w:val="yellow"/>
                <w:lang w:val="en-US" w:eastAsia="zh-CN"/>
              </w:rPr>
              <w:t>0.5分，最高</w:t>
            </w:r>
            <w:r>
              <w:rPr>
                <w:rFonts w:hint="eastAsia" w:ascii="宋体" w:hAnsi="宋体" w:eastAsia="宋体" w:cs="微软雅黑"/>
                <w:color w:val="auto"/>
                <w:kern w:val="0"/>
                <w:sz w:val="22"/>
                <w:szCs w:val="22"/>
                <w:highlight w:val="yellow"/>
              </w:rPr>
              <w:t>得</w:t>
            </w:r>
            <w:r>
              <w:rPr>
                <w:rFonts w:hint="eastAsia" w:ascii="宋体" w:hAnsi="宋体" w:cs="微软雅黑"/>
                <w:color w:val="auto"/>
                <w:kern w:val="0"/>
                <w:sz w:val="22"/>
                <w:szCs w:val="22"/>
                <w:highlight w:val="yellow"/>
                <w:lang w:val="en-US" w:eastAsia="zh-CN"/>
              </w:rPr>
              <w:t>4</w:t>
            </w:r>
            <w:r>
              <w:rPr>
                <w:rFonts w:hint="eastAsia" w:ascii="宋体" w:hAnsi="宋体" w:eastAsia="宋体" w:cs="微软雅黑"/>
                <w:color w:val="auto"/>
                <w:kern w:val="0"/>
                <w:sz w:val="22"/>
                <w:szCs w:val="22"/>
                <w:highlight w:val="yellow"/>
              </w:rPr>
              <w:t>分（需提供相应人员上岗证、安全生产考核合格证等复印件）</w:t>
            </w:r>
            <w:r>
              <w:rPr>
                <w:rFonts w:hint="eastAsia" w:ascii="宋体" w:hAnsi="宋体" w:eastAsia="宋体" w:cs="微软雅黑"/>
                <w:color w:val="auto"/>
                <w:kern w:val="0"/>
                <w:sz w:val="22"/>
                <w:szCs w:val="22"/>
                <w:highlight w:val="yellow"/>
                <w:lang w:eastAsia="zh-CN"/>
              </w:rPr>
              <w:t>。</w:t>
            </w:r>
            <w:bookmarkEnd w:id="30"/>
          </w:p>
        </w:tc>
        <w:tc>
          <w:tcPr>
            <w:tcW w:w="938" w:type="dxa"/>
            <w:vAlign w:val="center"/>
          </w:tcPr>
          <w:p>
            <w:pPr>
              <w:adjustRightInd w:val="0"/>
              <w:snapToGrid w:val="0"/>
              <w:spacing w:line="340" w:lineRule="exact"/>
              <w:jc w:val="center"/>
              <w:rPr>
                <w:rFonts w:hint="default" w:ascii="宋体" w:hAnsi="宋体" w:cs="微软雅黑"/>
                <w:sz w:val="22"/>
                <w:szCs w:val="22"/>
                <w:lang w:val="en-US" w:eastAsia="zh-CN"/>
              </w:rPr>
            </w:pPr>
            <w:r>
              <w:rPr>
                <w:rFonts w:hint="eastAsia" w:ascii="宋体" w:hAnsi="宋体" w:cs="微软雅黑"/>
                <w:sz w:val="22"/>
                <w:szCs w:val="22"/>
                <w:lang w:val="en-US" w:eastAsia="zh-CN"/>
              </w:rPr>
              <w:t>4</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745" w:type="dxa"/>
            <w:vMerge w:val="continue"/>
            <w:vAlign w:val="center"/>
          </w:tcPr>
          <w:p>
            <w:pPr>
              <w:adjustRightInd w:val="0"/>
              <w:snapToGrid w:val="0"/>
              <w:spacing w:line="340" w:lineRule="exact"/>
              <w:jc w:val="center"/>
              <w:rPr>
                <w:rFonts w:hint="eastAsia" w:ascii="宋体" w:hAnsi="宋体" w:cs="微软雅黑"/>
                <w:bCs/>
                <w:sz w:val="22"/>
                <w:szCs w:val="22"/>
                <w:lang w:val="en-US" w:eastAsia="zh-CN"/>
              </w:rPr>
            </w:pPr>
          </w:p>
        </w:tc>
        <w:tc>
          <w:tcPr>
            <w:tcW w:w="1614" w:type="dxa"/>
            <w:vMerge w:val="continue"/>
            <w:vAlign w:val="center"/>
          </w:tcPr>
          <w:p>
            <w:pPr>
              <w:adjustRightInd w:val="0"/>
              <w:spacing w:line="340" w:lineRule="exact"/>
              <w:jc w:val="center"/>
              <w:rPr>
                <w:rFonts w:hint="eastAsia" w:ascii="宋体" w:hAnsi="宋体" w:cs="微软雅黑"/>
                <w:bCs/>
                <w:sz w:val="22"/>
                <w:szCs w:val="22"/>
                <w:lang w:eastAsia="zh-CN"/>
              </w:rPr>
            </w:pPr>
          </w:p>
        </w:tc>
        <w:tc>
          <w:tcPr>
            <w:tcW w:w="6520" w:type="dxa"/>
            <w:vAlign w:val="center"/>
          </w:tcPr>
          <w:p>
            <w:pPr>
              <w:widowControl/>
              <w:spacing w:line="360" w:lineRule="exact"/>
              <w:jc w:val="left"/>
              <w:rPr>
                <w:rFonts w:hint="eastAsia" w:ascii="宋体" w:hAnsi="宋体" w:eastAsia="宋体" w:cs="微软雅黑"/>
                <w:color w:val="auto"/>
                <w:kern w:val="0"/>
                <w:sz w:val="22"/>
                <w:szCs w:val="22"/>
                <w:lang w:val="en-US" w:eastAsia="zh-CN"/>
              </w:rPr>
            </w:pPr>
            <w:r>
              <w:rPr>
                <w:rFonts w:hint="eastAsia" w:ascii="宋体" w:hAnsi="宋体" w:eastAsia="宋体" w:cs="微软雅黑"/>
                <w:color w:val="auto"/>
                <w:kern w:val="0"/>
                <w:sz w:val="22"/>
                <w:szCs w:val="22"/>
                <w:lang w:val="en-US" w:eastAsia="zh-CN"/>
              </w:rPr>
              <w:t>拟派团队成员中具备特种作业操作证（高处作业等）的，每个得</w:t>
            </w:r>
            <w:r>
              <w:rPr>
                <w:rFonts w:hint="eastAsia" w:ascii="宋体" w:hAnsi="宋体" w:cs="微软雅黑"/>
                <w:color w:val="auto"/>
                <w:kern w:val="0"/>
                <w:sz w:val="22"/>
                <w:szCs w:val="22"/>
                <w:lang w:val="en-US" w:eastAsia="zh-CN"/>
              </w:rPr>
              <w:t>4</w:t>
            </w:r>
            <w:r>
              <w:rPr>
                <w:rFonts w:hint="eastAsia" w:ascii="宋体" w:hAnsi="宋体" w:eastAsia="宋体" w:cs="微软雅黑"/>
                <w:color w:val="auto"/>
                <w:kern w:val="0"/>
                <w:sz w:val="22"/>
                <w:szCs w:val="22"/>
                <w:lang w:val="en-US" w:eastAsia="zh-CN"/>
              </w:rPr>
              <w:t>分，最高得</w:t>
            </w:r>
            <w:r>
              <w:rPr>
                <w:rFonts w:hint="eastAsia" w:ascii="宋体" w:hAnsi="宋体" w:cs="微软雅黑"/>
                <w:color w:val="auto"/>
                <w:kern w:val="0"/>
                <w:sz w:val="22"/>
                <w:szCs w:val="22"/>
                <w:lang w:val="en-US" w:eastAsia="zh-CN"/>
              </w:rPr>
              <w:t>8</w:t>
            </w:r>
            <w:r>
              <w:rPr>
                <w:rFonts w:hint="eastAsia" w:ascii="宋体" w:hAnsi="宋体" w:eastAsia="宋体" w:cs="微软雅黑"/>
                <w:color w:val="auto"/>
                <w:kern w:val="0"/>
                <w:sz w:val="22"/>
                <w:szCs w:val="22"/>
                <w:lang w:val="en-US" w:eastAsia="zh-CN"/>
              </w:rPr>
              <w:t>分</w:t>
            </w:r>
            <w:r>
              <w:rPr>
                <w:rFonts w:hint="eastAsia" w:ascii="宋体" w:hAnsi="宋体" w:cs="微软雅黑"/>
                <w:color w:val="auto"/>
                <w:kern w:val="0"/>
                <w:sz w:val="22"/>
                <w:szCs w:val="22"/>
                <w:lang w:val="en-US" w:eastAsia="zh-CN"/>
              </w:rPr>
              <w:t>（需提供相关证书复印件、“特种作业操作证及安全生产知识和管理能力考核合格信息查询平台”查询截图（网址http://cx.mem.gov.cn/）、人员近三个月中任何一个月的社保证明，以上资料加盖单位公章，缺一不可，否则不予认可。</w:t>
            </w:r>
          </w:p>
        </w:tc>
        <w:tc>
          <w:tcPr>
            <w:tcW w:w="938" w:type="dxa"/>
            <w:vAlign w:val="center"/>
          </w:tcPr>
          <w:p>
            <w:pPr>
              <w:adjustRightInd w:val="0"/>
              <w:snapToGrid w:val="0"/>
              <w:spacing w:line="340" w:lineRule="exact"/>
              <w:jc w:val="center"/>
              <w:rPr>
                <w:rFonts w:hint="default" w:ascii="宋体" w:hAnsi="宋体" w:cs="微软雅黑"/>
                <w:sz w:val="22"/>
                <w:szCs w:val="22"/>
                <w:lang w:val="en-US" w:eastAsia="zh-CN"/>
              </w:rPr>
            </w:pPr>
            <w:r>
              <w:rPr>
                <w:rFonts w:hint="eastAsia" w:ascii="宋体" w:hAnsi="宋体" w:cs="微软雅黑"/>
                <w:sz w:val="22"/>
                <w:szCs w:val="22"/>
                <w:lang w:val="en-US" w:eastAsia="zh-CN"/>
              </w:rPr>
              <w:t>8</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45" w:type="dxa"/>
            <w:vMerge w:val="continue"/>
            <w:vAlign w:val="center"/>
          </w:tcPr>
          <w:p>
            <w:pPr>
              <w:adjustRightInd w:val="0"/>
              <w:snapToGrid w:val="0"/>
              <w:spacing w:line="340" w:lineRule="exact"/>
              <w:jc w:val="center"/>
              <w:rPr>
                <w:rFonts w:hint="eastAsia" w:ascii="宋体" w:hAnsi="宋体" w:cs="微软雅黑"/>
                <w:bCs/>
                <w:sz w:val="22"/>
                <w:szCs w:val="22"/>
                <w:lang w:val="en-US" w:eastAsia="zh-CN"/>
              </w:rPr>
            </w:pPr>
          </w:p>
        </w:tc>
        <w:tc>
          <w:tcPr>
            <w:tcW w:w="1614" w:type="dxa"/>
            <w:vMerge w:val="continue"/>
            <w:vAlign w:val="center"/>
          </w:tcPr>
          <w:p>
            <w:pPr>
              <w:adjustRightInd w:val="0"/>
              <w:spacing w:line="340" w:lineRule="exact"/>
              <w:jc w:val="center"/>
              <w:rPr>
                <w:rFonts w:hint="eastAsia" w:ascii="宋体" w:hAnsi="宋体" w:cs="微软雅黑"/>
                <w:bCs/>
                <w:sz w:val="22"/>
                <w:szCs w:val="22"/>
                <w:lang w:eastAsia="zh-CN"/>
              </w:rPr>
            </w:pPr>
          </w:p>
        </w:tc>
        <w:tc>
          <w:tcPr>
            <w:tcW w:w="6520" w:type="dxa"/>
            <w:vAlign w:val="center"/>
          </w:tcPr>
          <w:p>
            <w:pPr>
              <w:widowControl/>
              <w:spacing w:line="360" w:lineRule="exact"/>
              <w:jc w:val="left"/>
              <w:rPr>
                <w:rFonts w:hint="eastAsia" w:ascii="宋体" w:hAnsi="宋体" w:eastAsia="宋体" w:cs="微软雅黑"/>
                <w:kern w:val="0"/>
                <w:sz w:val="22"/>
                <w:szCs w:val="22"/>
                <w:lang w:eastAsia="zh-CN"/>
              </w:rPr>
            </w:pPr>
            <w:r>
              <w:rPr>
                <w:rFonts w:hint="eastAsia" w:ascii="宋体" w:hAnsi="宋体" w:cs="微软雅黑"/>
                <w:kern w:val="0"/>
                <w:sz w:val="22"/>
                <w:szCs w:val="22"/>
                <w:lang w:eastAsia="zh-CN"/>
              </w:rPr>
              <w:t>投标人</w:t>
            </w:r>
            <w:r>
              <w:rPr>
                <w:rFonts w:hint="eastAsia" w:ascii="宋体" w:hAnsi="宋体" w:eastAsia="宋体" w:cs="微软雅黑"/>
                <w:kern w:val="0"/>
                <w:sz w:val="22"/>
                <w:szCs w:val="22"/>
              </w:rPr>
              <w:t>具有安全生产许可证的得</w:t>
            </w:r>
            <w:r>
              <w:rPr>
                <w:rFonts w:hint="eastAsia" w:ascii="宋体" w:hAnsi="宋体" w:cs="微软雅黑"/>
                <w:kern w:val="0"/>
                <w:sz w:val="22"/>
                <w:szCs w:val="22"/>
                <w:lang w:val="en-US" w:eastAsia="zh-CN"/>
              </w:rPr>
              <w:t>2</w:t>
            </w:r>
            <w:r>
              <w:rPr>
                <w:rFonts w:hint="eastAsia" w:ascii="宋体" w:hAnsi="宋体" w:eastAsia="宋体" w:cs="微软雅黑"/>
                <w:kern w:val="0"/>
                <w:sz w:val="22"/>
                <w:szCs w:val="22"/>
              </w:rPr>
              <w:t>分</w:t>
            </w:r>
            <w:r>
              <w:rPr>
                <w:rFonts w:hint="eastAsia" w:ascii="宋体" w:hAnsi="宋体" w:cs="微软雅黑"/>
                <w:kern w:val="0"/>
                <w:sz w:val="22"/>
                <w:szCs w:val="22"/>
                <w:lang w:eastAsia="zh-CN"/>
              </w:rPr>
              <w:t>（需提供证书复印件加盖公章）</w:t>
            </w:r>
          </w:p>
        </w:tc>
        <w:tc>
          <w:tcPr>
            <w:tcW w:w="938" w:type="dxa"/>
            <w:vAlign w:val="center"/>
          </w:tcPr>
          <w:p>
            <w:pPr>
              <w:adjustRightInd w:val="0"/>
              <w:snapToGrid w:val="0"/>
              <w:spacing w:line="340" w:lineRule="exact"/>
              <w:jc w:val="center"/>
              <w:rPr>
                <w:rFonts w:hint="default" w:ascii="宋体" w:hAnsi="宋体" w:cs="微软雅黑"/>
                <w:sz w:val="22"/>
                <w:szCs w:val="22"/>
                <w:lang w:val="en-US" w:eastAsia="zh-CN"/>
              </w:rPr>
            </w:pPr>
            <w:r>
              <w:rPr>
                <w:rFonts w:hint="eastAsia" w:ascii="宋体" w:hAnsi="宋体" w:cs="微软雅黑"/>
                <w:sz w:val="22"/>
                <w:szCs w:val="22"/>
                <w:lang w:val="en-US" w:eastAsia="zh-CN"/>
              </w:rPr>
              <w:t>2</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745" w:type="dxa"/>
            <w:vAlign w:val="center"/>
          </w:tcPr>
          <w:p>
            <w:pPr>
              <w:adjustRightInd w:val="0"/>
              <w:snapToGrid w:val="0"/>
              <w:spacing w:line="340" w:lineRule="exact"/>
              <w:jc w:val="center"/>
              <w:rPr>
                <w:rFonts w:hint="default" w:ascii="宋体" w:hAnsi="宋体" w:eastAsia="宋体" w:cs="微软雅黑"/>
                <w:bCs/>
                <w:sz w:val="22"/>
                <w:szCs w:val="22"/>
                <w:lang w:val="en-US" w:eastAsia="zh-CN"/>
              </w:rPr>
            </w:pPr>
            <w:r>
              <w:rPr>
                <w:rFonts w:hint="eastAsia" w:ascii="宋体" w:hAnsi="宋体" w:cs="微软雅黑"/>
                <w:bCs/>
                <w:sz w:val="22"/>
                <w:szCs w:val="22"/>
                <w:lang w:val="en-US" w:eastAsia="zh-CN"/>
              </w:rPr>
              <w:t>11</w:t>
            </w:r>
          </w:p>
        </w:tc>
        <w:tc>
          <w:tcPr>
            <w:tcW w:w="1614" w:type="dxa"/>
            <w:vAlign w:val="center"/>
          </w:tcPr>
          <w:p>
            <w:pPr>
              <w:adjustRightInd w:val="0"/>
              <w:spacing w:line="340" w:lineRule="exact"/>
              <w:jc w:val="center"/>
              <w:rPr>
                <w:rFonts w:hint="eastAsia" w:ascii="宋体" w:hAnsi="宋体" w:eastAsia="宋体" w:cs="微软雅黑"/>
                <w:bCs/>
                <w:sz w:val="22"/>
                <w:szCs w:val="22"/>
              </w:rPr>
            </w:pPr>
            <w:r>
              <w:rPr>
                <w:rFonts w:hint="eastAsia" w:ascii="宋体" w:hAnsi="宋体" w:eastAsia="宋体" w:cs="微软雅黑"/>
                <w:bCs/>
                <w:sz w:val="22"/>
                <w:szCs w:val="22"/>
              </w:rPr>
              <w:t>投标文件质量</w:t>
            </w:r>
          </w:p>
        </w:tc>
        <w:tc>
          <w:tcPr>
            <w:tcW w:w="6520" w:type="dxa"/>
            <w:vAlign w:val="center"/>
          </w:tcPr>
          <w:p>
            <w:pPr>
              <w:snapToGrid w:val="0"/>
              <w:spacing w:line="360" w:lineRule="exact"/>
              <w:jc w:val="left"/>
              <w:rPr>
                <w:rFonts w:ascii="宋体" w:hAnsi="宋体" w:eastAsia="宋体" w:cs="微软雅黑"/>
                <w:sz w:val="22"/>
                <w:szCs w:val="22"/>
                <w:shd w:val="clear" w:color="auto" w:fill="FBFDFE"/>
              </w:rPr>
            </w:pPr>
            <w:r>
              <w:rPr>
                <w:rFonts w:hint="eastAsia" w:ascii="宋体" w:hAnsi="宋体" w:eastAsia="宋体" w:cs="微软雅黑"/>
                <w:sz w:val="22"/>
                <w:szCs w:val="22"/>
              </w:rPr>
              <w:t>投标文件编制完整，格式规范、符合招标文件要求的，得</w:t>
            </w:r>
            <w:r>
              <w:rPr>
                <w:rFonts w:hint="eastAsia" w:ascii="宋体" w:hAnsi="宋体" w:cs="微软雅黑"/>
                <w:sz w:val="22"/>
                <w:szCs w:val="22"/>
                <w:lang w:val="en-US" w:eastAsia="zh-CN"/>
              </w:rPr>
              <w:t>2</w:t>
            </w:r>
            <w:r>
              <w:rPr>
                <w:rFonts w:hint="eastAsia" w:ascii="宋体" w:hAnsi="宋体" w:eastAsia="宋体" w:cs="微软雅黑"/>
                <w:sz w:val="22"/>
                <w:szCs w:val="22"/>
              </w:rPr>
              <w:t>分；投标文件有关内容前后矛盾、与招标文件要求不一致等，评标委员会允许且需要通过询标等程序进行澄清的，该项不得分；投标文件存在其他错漏的，每项（次）扣 0.5 分，扣完该项得分为止。</w:t>
            </w:r>
          </w:p>
        </w:tc>
        <w:tc>
          <w:tcPr>
            <w:tcW w:w="938" w:type="dxa"/>
            <w:vAlign w:val="center"/>
          </w:tcPr>
          <w:p>
            <w:pPr>
              <w:adjustRightInd w:val="0"/>
              <w:snapToGrid w:val="0"/>
              <w:spacing w:line="340" w:lineRule="exact"/>
              <w:jc w:val="center"/>
              <w:rPr>
                <w:rFonts w:hint="eastAsia" w:ascii="宋体" w:hAnsi="宋体" w:eastAsia="宋体" w:cs="微软雅黑"/>
                <w:sz w:val="22"/>
                <w:szCs w:val="22"/>
                <w:shd w:val="clear" w:color="auto" w:fill="FBFDFE"/>
                <w:lang w:eastAsia="zh-CN"/>
              </w:rPr>
            </w:pPr>
            <w:r>
              <w:rPr>
                <w:rFonts w:hint="eastAsia" w:ascii="宋体" w:hAnsi="宋体" w:cs="微软雅黑"/>
                <w:sz w:val="22"/>
                <w:szCs w:val="22"/>
                <w:lang w:val="en-US" w:eastAsia="zh-CN"/>
              </w:rPr>
              <w:t>2</w:t>
            </w:r>
          </w:p>
        </w:tc>
      </w:tr>
    </w:tbl>
    <w:p>
      <w:pPr>
        <w:rPr>
          <w:rFonts w:hint="eastAsia"/>
        </w:rPr>
      </w:pPr>
    </w:p>
    <w:p>
      <w:pPr>
        <w:rPr>
          <w:rFonts w:hint="eastAsia" w:ascii="宋体" w:hAnsi="宋体" w:cs="仿宋"/>
          <w:b/>
          <w:sz w:val="36"/>
          <w:szCs w:val="36"/>
        </w:rPr>
      </w:pPr>
    </w:p>
    <w:p>
      <w:pPr>
        <w:pStyle w:val="20"/>
        <w:rPr>
          <w:rFonts w:hint="eastAsia" w:ascii="宋体" w:hAnsi="宋体" w:cs="仿宋"/>
          <w:b/>
          <w:sz w:val="36"/>
          <w:szCs w:val="36"/>
        </w:rPr>
      </w:pPr>
    </w:p>
    <w:p>
      <w:pPr>
        <w:rPr>
          <w:rFonts w:hint="eastAsia" w:ascii="宋体" w:hAnsi="宋体" w:cs="仿宋"/>
          <w:b/>
          <w:sz w:val="36"/>
          <w:szCs w:val="36"/>
        </w:rPr>
      </w:pPr>
    </w:p>
    <w:p>
      <w:pPr>
        <w:pStyle w:val="20"/>
        <w:rPr>
          <w:rFonts w:hint="eastAsia" w:ascii="宋体" w:hAnsi="宋体" w:cs="仿宋"/>
          <w:b/>
          <w:sz w:val="36"/>
          <w:szCs w:val="36"/>
        </w:rPr>
      </w:pPr>
    </w:p>
    <w:p>
      <w:pPr>
        <w:rPr>
          <w:rFonts w:hint="eastAsia" w:ascii="宋体" w:hAnsi="宋体" w:cs="仿宋"/>
          <w:b/>
          <w:sz w:val="36"/>
          <w:szCs w:val="36"/>
        </w:rPr>
      </w:pPr>
    </w:p>
    <w:p>
      <w:pPr>
        <w:pStyle w:val="20"/>
        <w:rPr>
          <w:rFonts w:hint="eastAsia" w:ascii="宋体" w:hAnsi="宋体" w:cs="仿宋"/>
          <w:b/>
          <w:sz w:val="36"/>
          <w:szCs w:val="36"/>
        </w:rPr>
      </w:pPr>
    </w:p>
    <w:p>
      <w:pPr>
        <w:rPr>
          <w:rFonts w:hint="eastAsia"/>
        </w:rPr>
      </w:pPr>
    </w:p>
    <w:p>
      <w:pPr>
        <w:pStyle w:val="19"/>
        <w:rPr>
          <w:rFonts w:hint="eastAsia"/>
        </w:rPr>
      </w:pPr>
    </w:p>
    <w:p>
      <w:pPr>
        <w:spacing w:line="360" w:lineRule="auto"/>
        <w:jc w:val="center"/>
        <w:rPr>
          <w:rFonts w:ascii="宋体" w:hAnsi="宋体" w:cs="仿宋"/>
          <w:sz w:val="24"/>
        </w:rPr>
      </w:pPr>
      <w:r>
        <w:rPr>
          <w:rFonts w:hint="eastAsia" w:ascii="宋体" w:hAnsi="宋体" w:cs="仿宋"/>
          <w:b/>
          <w:sz w:val="36"/>
          <w:szCs w:val="36"/>
        </w:rPr>
        <w:t>第五章  合同主要条款</w:t>
      </w:r>
      <w:bookmarkEnd w:id="28"/>
    </w:p>
    <w:p>
      <w:pPr>
        <w:snapToGrid w:val="0"/>
        <w:spacing w:before="120" w:beforeLines="50" w:after="120" w:afterLines="50"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sz w:val="24"/>
        </w:rPr>
        <w:t>浙江省政府采购合同指引（服务）</w:t>
      </w:r>
    </w:p>
    <w:p>
      <w:pPr>
        <w:pStyle w:val="27"/>
        <w:spacing w:before="120" w:after="12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                                     项目编号：</w:t>
      </w:r>
    </w:p>
    <w:p>
      <w:pPr>
        <w:pStyle w:val="27"/>
        <w:spacing w:before="120" w:after="12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甲方：（买方）</w:t>
      </w:r>
    </w:p>
    <w:p>
      <w:pPr>
        <w:pStyle w:val="27"/>
        <w:spacing w:before="120" w:after="12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乙方：（卖方）</w:t>
      </w:r>
    </w:p>
    <w:p>
      <w:pPr>
        <w:pStyle w:val="27"/>
        <w:spacing w:before="120" w:after="120"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 xml:space="preserve">甲、乙双方根据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的结果，签署本合同。</w:t>
      </w:r>
    </w:p>
    <w:p>
      <w:pPr>
        <w:pStyle w:val="27"/>
        <w:spacing w:before="120" w:after="120"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一、服务内容</w:t>
      </w:r>
    </w:p>
    <w:p>
      <w:pPr>
        <w:pStyle w:val="27"/>
        <w:spacing w:before="120" w:after="120"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二、合同金额</w:t>
      </w:r>
    </w:p>
    <w:p>
      <w:pPr>
        <w:pStyle w:val="27"/>
        <w:spacing w:before="120" w:after="120" w:line="360" w:lineRule="auto"/>
        <w:ind w:firstLine="42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本合同金额为（大写）：____________________________________元（￥_______________元）人民币。</w:t>
      </w:r>
    </w:p>
    <w:p>
      <w:pPr>
        <w:pStyle w:val="27"/>
        <w:spacing w:before="120" w:after="120"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三、技术资料</w:t>
      </w:r>
    </w:p>
    <w:p>
      <w:pPr>
        <w:pStyle w:val="27"/>
        <w:spacing w:before="120" w:after="120" w:line="360" w:lineRule="auto"/>
        <w:ind w:left="41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乙方应按招标文件规定的时间向甲方提供有关技术资料。</w:t>
      </w:r>
    </w:p>
    <w:p>
      <w:pPr>
        <w:pStyle w:val="27"/>
        <w:spacing w:before="120" w:after="120" w:line="360" w:lineRule="auto"/>
        <w:ind w:firstLine="42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7"/>
        <w:spacing w:before="120" w:after="120" w:line="360" w:lineRule="auto"/>
        <w:ind w:left="411" w:hanging="412" w:hangingChars="171"/>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sz w:val="24"/>
          <w:szCs w:val="24"/>
        </w:rPr>
        <w:t>四、知识产权</w:t>
      </w:r>
    </w:p>
    <w:p>
      <w:pPr>
        <w:pStyle w:val="27"/>
        <w:spacing w:before="120" w:after="120" w:line="360" w:lineRule="auto"/>
        <w:ind w:left="410" w:firstLine="0"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val="0"/>
          <w:bCs/>
          <w:sz w:val="24"/>
          <w:szCs w:val="24"/>
        </w:rPr>
        <w:t>乙方应保证提供服务过程中不会侵犯任何第三方的知识产权。</w:t>
      </w:r>
    </w:p>
    <w:p>
      <w:pPr>
        <w:pStyle w:val="27"/>
        <w:spacing w:before="120" w:after="120" w:line="360" w:lineRule="auto"/>
        <w:ind w:left="408" w:hanging="410" w:hangingChars="17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五、履约保证金</w:t>
      </w:r>
    </w:p>
    <w:p>
      <w:pPr>
        <w:pStyle w:val="27"/>
        <w:spacing w:before="120" w:after="120" w:line="360" w:lineRule="auto"/>
        <w:ind w:left="408"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乙方交纳人民币</w:t>
      </w:r>
      <w:r>
        <w:rPr>
          <w:rFonts w:hint="eastAsia" w:asciiTheme="minorEastAsia" w:hAnsiTheme="minorEastAsia" w:eastAsiaTheme="minorEastAsia" w:cstheme="minorEastAsia"/>
          <w:b/>
          <w:sz w:val="24"/>
          <w:szCs w:val="24"/>
          <w:u w:val="single"/>
        </w:rPr>
        <w:t xml:space="preserve">           </w:t>
      </w:r>
      <w:r>
        <w:rPr>
          <w:rFonts w:hint="eastAsia" w:asciiTheme="minorEastAsia" w:hAnsiTheme="minorEastAsia" w:eastAsiaTheme="minorEastAsia" w:cstheme="minorEastAsia"/>
          <w:sz w:val="24"/>
          <w:szCs w:val="24"/>
        </w:rPr>
        <w:t>元作为本合同的履约保证金。</w:t>
      </w:r>
    </w:p>
    <w:p>
      <w:pPr>
        <w:snapToGrid w:val="0"/>
        <w:spacing w:before="120" w:beforeLines="50" w:after="120" w:afterLines="50"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六、转包或分包</w:t>
      </w:r>
    </w:p>
    <w:p>
      <w:pPr>
        <w:snapToGrid w:val="0"/>
        <w:spacing w:before="120" w:beforeLines="50" w:after="120" w:afterLines="50" w:line="360" w:lineRule="auto"/>
        <w:ind w:firstLine="420" w:firstLineChars="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本合同范围的服务，应由乙方直接供应，不得转让他人供应；</w:t>
      </w:r>
    </w:p>
    <w:p>
      <w:pPr>
        <w:snapToGrid w:val="0"/>
        <w:spacing w:before="120" w:beforeLines="50" w:after="120" w:afterLines="50" w:line="360" w:lineRule="auto"/>
        <w:ind w:firstLine="420" w:firstLineChars="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除非得到甲方的书面同意，乙方不得将本合同范围的服务全部或部分分包给他人供应；</w:t>
      </w:r>
    </w:p>
    <w:p>
      <w:pPr>
        <w:snapToGrid w:val="0"/>
        <w:spacing w:before="120" w:beforeLines="50" w:after="120" w:afterLines="50" w:line="360" w:lineRule="auto"/>
        <w:ind w:firstLine="420" w:firstLineChars="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如有转让和未经甲方同意的分包行为，甲方有权解除合同，没收履约保证金并追究乙方的违约责任。</w:t>
      </w:r>
    </w:p>
    <w:p>
      <w:pPr>
        <w:pStyle w:val="27"/>
        <w:spacing w:before="120" w:after="12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七、服务质量保证期和服务质量保证金(选用)</w:t>
      </w:r>
    </w:p>
    <w:p>
      <w:pPr>
        <w:pStyle w:val="27"/>
        <w:spacing w:before="120" w:after="120" w:line="360" w:lineRule="auto"/>
        <w:ind w:left="41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服务质量保证期</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年。（自验收合格之日起计）</w:t>
      </w:r>
    </w:p>
    <w:p>
      <w:pPr>
        <w:pStyle w:val="27"/>
        <w:spacing w:before="120" w:after="120" w:line="360" w:lineRule="auto"/>
        <w:ind w:firstLine="42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服务质量保证金</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元。（履约保证金在中标投标人按合同约定验收合格后自行转为质保金）</w:t>
      </w:r>
    </w:p>
    <w:p>
      <w:pPr>
        <w:pStyle w:val="27"/>
        <w:spacing w:before="120" w:after="120"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八、合同履行时间、履行方式及履行地点</w:t>
      </w:r>
    </w:p>
    <w:p>
      <w:pPr>
        <w:pStyle w:val="27"/>
        <w:spacing w:before="120" w:after="120" w:line="360" w:lineRule="auto"/>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sz w:val="24"/>
          <w:szCs w:val="24"/>
          <w:lang w:val="en-US" w:eastAsia="zh-CN"/>
        </w:rPr>
        <w:tab/>
      </w:r>
      <w:r>
        <w:rPr>
          <w:rFonts w:hint="eastAsia" w:asciiTheme="minorEastAsia" w:hAnsiTheme="minorEastAsia" w:eastAsiaTheme="minorEastAsia" w:cstheme="minorEastAsia"/>
          <w:bCs/>
          <w:sz w:val="24"/>
          <w:szCs w:val="24"/>
          <w:lang w:val="en-US" w:eastAsia="zh-CN"/>
        </w:rPr>
        <w:t>1、</w:t>
      </w:r>
      <w:r>
        <w:rPr>
          <w:rFonts w:hint="eastAsia" w:asciiTheme="minorEastAsia" w:hAnsiTheme="minorEastAsia" w:eastAsiaTheme="minorEastAsia" w:cstheme="minorEastAsia"/>
          <w:sz w:val="24"/>
          <w:szCs w:val="24"/>
        </w:rPr>
        <w:t>履行时间</w:t>
      </w:r>
      <w:r>
        <w:rPr>
          <w:rFonts w:hint="eastAsia" w:asciiTheme="minorEastAsia" w:hAnsiTheme="minorEastAsia" w:eastAsiaTheme="minorEastAsia" w:cstheme="minorEastAsia"/>
          <w:bCs/>
          <w:sz w:val="24"/>
          <w:szCs w:val="24"/>
        </w:rPr>
        <w:t>：</w:t>
      </w:r>
    </w:p>
    <w:p>
      <w:pPr>
        <w:pStyle w:val="27"/>
        <w:spacing w:before="120" w:after="120" w:line="360" w:lineRule="auto"/>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lang w:val="en-US" w:eastAsia="zh-CN"/>
        </w:rPr>
        <w:tab/>
      </w:r>
      <w:r>
        <w:rPr>
          <w:rFonts w:hint="eastAsia" w:asciiTheme="minorEastAsia" w:hAnsiTheme="minorEastAsia" w:eastAsiaTheme="minorEastAsia" w:cstheme="minorEastAsia"/>
          <w:bCs/>
          <w:color w:val="000000"/>
          <w:sz w:val="24"/>
          <w:szCs w:val="24"/>
          <w:lang w:val="en-US" w:eastAsia="zh-CN"/>
        </w:rPr>
        <w:t>2、</w:t>
      </w:r>
      <w:r>
        <w:rPr>
          <w:rFonts w:hint="eastAsia" w:asciiTheme="minorEastAsia" w:hAnsiTheme="minorEastAsia" w:eastAsiaTheme="minorEastAsia" w:cstheme="minorEastAsia"/>
          <w:sz w:val="24"/>
          <w:szCs w:val="24"/>
        </w:rPr>
        <w:t>履行方式</w:t>
      </w:r>
      <w:r>
        <w:rPr>
          <w:rFonts w:hint="eastAsia" w:asciiTheme="minorEastAsia" w:hAnsiTheme="minorEastAsia" w:eastAsiaTheme="minorEastAsia" w:cstheme="minorEastAsia"/>
          <w:bCs/>
          <w:color w:val="000000"/>
          <w:sz w:val="24"/>
          <w:szCs w:val="24"/>
        </w:rPr>
        <w:t>：</w:t>
      </w:r>
    </w:p>
    <w:p>
      <w:pPr>
        <w:pStyle w:val="27"/>
        <w:spacing w:before="120" w:after="120" w:line="360" w:lineRule="auto"/>
        <w:ind w:firstLine="420" w:firstLineChars="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履行地点</w:t>
      </w:r>
      <w:r>
        <w:rPr>
          <w:rFonts w:hint="eastAsia" w:asciiTheme="minorEastAsia" w:hAnsiTheme="minorEastAsia" w:eastAsiaTheme="minorEastAsia" w:cstheme="minorEastAsia"/>
          <w:bCs/>
          <w:color w:val="000000"/>
          <w:sz w:val="24"/>
          <w:szCs w:val="24"/>
        </w:rPr>
        <w:t>：</w:t>
      </w:r>
    </w:p>
    <w:p>
      <w:pPr>
        <w:pStyle w:val="27"/>
        <w:spacing w:before="120" w:after="120"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九、款项支付</w:t>
      </w:r>
    </w:p>
    <w:p>
      <w:pPr>
        <w:spacing w:line="460" w:lineRule="exact"/>
        <w:ind w:firstLine="482" w:firstLineChars="200"/>
        <w:rPr>
          <w:rFonts w:ascii="宋体" w:hAnsi="宋体"/>
          <w:color w:val="FF0000"/>
          <w:sz w:val="24"/>
        </w:rPr>
      </w:pPr>
      <w:r>
        <w:rPr>
          <w:rFonts w:hint="eastAsia" w:ascii="宋体" w:hAnsi="宋体"/>
          <w:b/>
          <w:color w:val="FF0000"/>
          <w:sz w:val="24"/>
        </w:rPr>
        <w:t>在疫情期间，根据省财政厅《关于坚决打赢疫情防控阻击战进一步做好政府采购资金支持企业发展工作的通知》（浙财采监【2020】3号）要求，制定如以下付款方式，由供应商自主选择确定：</w:t>
      </w:r>
    </w:p>
    <w:p>
      <w:pPr>
        <w:spacing w:line="440" w:lineRule="exact"/>
        <w:ind w:firstLine="482" w:firstLineChars="200"/>
        <w:rPr>
          <w:rFonts w:hint="eastAsia" w:asciiTheme="minorEastAsia" w:hAnsiTheme="minorEastAsia" w:eastAsiaTheme="minorEastAsia" w:cstheme="minorEastAsia"/>
          <w:b/>
          <w:bCs/>
          <w:color w:val="FF0000"/>
          <w:sz w:val="24"/>
          <w:szCs w:val="24"/>
          <w:highlight w:val="yellow"/>
          <w:lang w:val="zh-CN"/>
        </w:rPr>
      </w:pPr>
      <w:r>
        <w:rPr>
          <w:rFonts w:hint="eastAsia" w:asciiTheme="minorEastAsia" w:hAnsiTheme="minorEastAsia" w:eastAsiaTheme="minorEastAsia" w:cstheme="minorEastAsia"/>
          <w:b/>
          <w:bCs/>
          <w:color w:val="FF0000"/>
          <w:sz w:val="24"/>
          <w:szCs w:val="24"/>
          <w:highlight w:val="yellow"/>
          <w:lang w:val="zh-CN" w:eastAsia="zh-CN"/>
        </w:rPr>
        <w:t>采购人自采购合同生效及具备实施条件后15日内支付合同价的</w:t>
      </w:r>
      <w:r>
        <w:rPr>
          <w:rFonts w:hint="eastAsia" w:asciiTheme="minorEastAsia" w:hAnsiTheme="minorEastAsia" w:eastAsiaTheme="minorEastAsia" w:cstheme="minorEastAsia"/>
          <w:b/>
          <w:bCs/>
          <w:color w:val="FF0000"/>
          <w:sz w:val="24"/>
          <w:szCs w:val="24"/>
          <w:highlight w:val="yellow"/>
          <w:lang w:val="en-US" w:eastAsia="zh-CN"/>
        </w:rPr>
        <w:t>10%作为预付款，</w:t>
      </w:r>
      <w:r>
        <w:rPr>
          <w:rFonts w:hint="eastAsia" w:asciiTheme="minorEastAsia" w:hAnsiTheme="minorEastAsia" w:eastAsiaTheme="minorEastAsia" w:cstheme="minorEastAsia"/>
          <w:b/>
          <w:bCs/>
          <w:color w:val="FF0000"/>
          <w:sz w:val="24"/>
          <w:szCs w:val="24"/>
          <w:highlight w:val="yellow"/>
          <w:lang w:val="zh-CN"/>
        </w:rPr>
        <w:t>每</w:t>
      </w:r>
      <w:r>
        <w:rPr>
          <w:rFonts w:hint="eastAsia" w:asciiTheme="minorEastAsia" w:hAnsiTheme="minorEastAsia" w:eastAsiaTheme="minorEastAsia" w:cstheme="minorEastAsia"/>
          <w:b/>
          <w:bCs/>
          <w:color w:val="FF0000"/>
          <w:sz w:val="24"/>
          <w:szCs w:val="24"/>
          <w:highlight w:val="yellow"/>
          <w:lang w:val="zh-CN" w:eastAsia="zh-CN"/>
        </w:rPr>
        <w:t>次整改</w:t>
      </w:r>
      <w:r>
        <w:rPr>
          <w:rFonts w:hint="eastAsia" w:asciiTheme="minorEastAsia" w:hAnsiTheme="minorEastAsia" w:eastAsiaTheme="minorEastAsia" w:cstheme="minorEastAsia"/>
          <w:b/>
          <w:bCs/>
          <w:color w:val="FF0000"/>
          <w:sz w:val="24"/>
          <w:szCs w:val="24"/>
          <w:highlight w:val="yellow"/>
          <w:lang w:val="zh-CN"/>
        </w:rPr>
        <w:t>完成后，由承包人将实际整改的数量书面报至采购人签认，</w:t>
      </w:r>
      <w:r>
        <w:rPr>
          <w:rFonts w:hint="eastAsia" w:asciiTheme="minorEastAsia" w:hAnsiTheme="minorEastAsia" w:eastAsiaTheme="minorEastAsia" w:cstheme="minorEastAsia"/>
          <w:b/>
          <w:bCs/>
          <w:color w:val="FF0000"/>
          <w:sz w:val="24"/>
          <w:szCs w:val="24"/>
          <w:highlight w:val="yellow"/>
          <w:lang w:val="zh-CN" w:eastAsia="zh-CN"/>
        </w:rPr>
        <w:t>合同履约完成后付至</w:t>
      </w:r>
      <w:r>
        <w:rPr>
          <w:rFonts w:hint="eastAsia" w:asciiTheme="minorEastAsia" w:hAnsiTheme="minorEastAsia" w:eastAsiaTheme="minorEastAsia" w:cstheme="minorEastAsia"/>
          <w:b/>
          <w:bCs/>
          <w:color w:val="FF0000"/>
          <w:sz w:val="24"/>
          <w:szCs w:val="24"/>
          <w:highlight w:val="yellow"/>
          <w:lang w:val="en-US" w:eastAsia="zh-CN"/>
        </w:rPr>
        <w:t>70%</w:t>
      </w:r>
      <w:r>
        <w:rPr>
          <w:rFonts w:hint="eastAsia" w:asciiTheme="minorEastAsia" w:hAnsiTheme="minorEastAsia" w:eastAsiaTheme="minorEastAsia" w:cstheme="minorEastAsia"/>
          <w:b/>
          <w:bCs/>
          <w:color w:val="FF0000"/>
          <w:sz w:val="24"/>
          <w:szCs w:val="24"/>
          <w:highlight w:val="yellow"/>
          <w:lang w:val="zh-CN"/>
        </w:rPr>
        <w:t>，结算价经审计后付至审定价的</w:t>
      </w:r>
      <w:r>
        <w:rPr>
          <w:rFonts w:hint="eastAsia" w:asciiTheme="minorEastAsia" w:hAnsiTheme="minorEastAsia" w:eastAsiaTheme="minorEastAsia" w:cstheme="minorEastAsia"/>
          <w:b/>
          <w:bCs/>
          <w:color w:val="FF0000"/>
          <w:sz w:val="24"/>
          <w:szCs w:val="24"/>
          <w:highlight w:val="yellow"/>
          <w:lang w:val="en-US" w:eastAsia="zh-CN"/>
        </w:rPr>
        <w:t>95</w:t>
      </w:r>
      <w:r>
        <w:rPr>
          <w:rFonts w:hint="eastAsia" w:asciiTheme="minorEastAsia" w:hAnsiTheme="minorEastAsia" w:eastAsiaTheme="minorEastAsia" w:cstheme="minorEastAsia"/>
          <w:b/>
          <w:bCs/>
          <w:color w:val="FF0000"/>
          <w:sz w:val="24"/>
          <w:szCs w:val="24"/>
          <w:highlight w:val="yellow"/>
          <w:lang w:val="zh-CN"/>
        </w:rPr>
        <w:t>%，余款待质保期后付清。</w:t>
      </w:r>
    </w:p>
    <w:p>
      <w:pPr>
        <w:spacing w:line="440" w:lineRule="exact"/>
        <w:ind w:firstLine="482" w:firstLineChars="200"/>
        <w:rPr>
          <w:rFonts w:ascii="宋体" w:hAnsi="宋体"/>
          <w:b/>
          <w:color w:val="FF0000"/>
          <w:sz w:val="24"/>
        </w:rPr>
      </w:pPr>
      <w:r>
        <w:rPr>
          <w:rFonts w:hint="eastAsia" w:ascii="宋体" w:hAnsi="宋体"/>
          <w:b/>
          <w:color w:val="FF0000"/>
          <w:sz w:val="24"/>
        </w:rPr>
        <w:t>在签订合同时，供应商明确表示无需预付款或者主动要求降低预付款比例的，采购合同可不适用前述规定。</w:t>
      </w:r>
    </w:p>
    <w:p>
      <w:pPr>
        <w:spacing w:line="460" w:lineRule="exact"/>
        <w:ind w:firstLine="482" w:firstLineChars="200"/>
        <w:rPr>
          <w:rFonts w:hint="eastAsia" w:asciiTheme="minorEastAsia" w:hAnsiTheme="minorEastAsia" w:eastAsiaTheme="minorEastAsia" w:cstheme="minorEastAsia"/>
          <w:bCs/>
          <w:color w:val="FF0000"/>
          <w:sz w:val="24"/>
          <w:szCs w:val="24"/>
          <w:lang w:val="en-US" w:eastAsia="zh-CN"/>
        </w:rPr>
      </w:pPr>
      <w:r>
        <w:rPr>
          <w:rFonts w:hint="eastAsia" w:ascii="宋体" w:hAnsi="宋体"/>
          <w:b/>
          <w:color w:val="FF0000"/>
          <w:sz w:val="24"/>
        </w:rPr>
        <w:t>采购人在向供应商支付预付款之前，有权要求供应商向采购人提供与预付款金额相对应的担保措施，担保措施可以是银行、保险公司等金融机构出具的预付款保函或其他担保措施。</w:t>
      </w:r>
    </w:p>
    <w:p>
      <w:pPr>
        <w:snapToGrid w:val="0"/>
        <w:spacing w:before="120" w:beforeLines="50" w:after="120" w:afterLines="50"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十、税费</w:t>
      </w:r>
    </w:p>
    <w:p>
      <w:pPr>
        <w:snapToGrid w:val="0"/>
        <w:spacing w:before="120" w:beforeLines="50" w:after="120" w:afterLines="50" w:line="360" w:lineRule="auto"/>
        <w:ind w:firstLine="420" w:firstLineChars="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本合同执行中相关的一切税费均由乙方负担。</w:t>
      </w:r>
    </w:p>
    <w:p>
      <w:pPr>
        <w:pStyle w:val="27"/>
        <w:spacing w:before="120" w:after="120" w:line="360" w:lineRule="auto"/>
        <w:ind w:left="411" w:hanging="412" w:hangingChars="17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十一、质量保证及后续服务</w:t>
      </w:r>
    </w:p>
    <w:p>
      <w:pPr>
        <w:pStyle w:val="27"/>
        <w:spacing w:before="120" w:after="120" w:line="360" w:lineRule="auto"/>
        <w:ind w:left="410" w:hanging="410" w:hangingChars="17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乙方应按招标文件规定向甲方提供服务。</w:t>
      </w:r>
    </w:p>
    <w:p>
      <w:pPr>
        <w:pStyle w:val="27"/>
        <w:spacing w:before="120" w:after="120" w:line="360" w:lineRule="auto"/>
        <w:ind w:firstLine="42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乙方提供的服务成果在服务质量保证期内发生故障，乙方应负责免费提供后续服务。对达不到要求者，根据实际情况，经双方协商，可按以下办法处理：</w:t>
      </w:r>
    </w:p>
    <w:p>
      <w:pPr>
        <w:pStyle w:val="27"/>
        <w:spacing w:before="120" w:after="12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重做：由乙方承担所发生的全部费用。</w:t>
      </w:r>
    </w:p>
    <w:p>
      <w:pPr>
        <w:pStyle w:val="27"/>
        <w:spacing w:before="120" w:after="12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贬值处理：由甲乙双方合议定价。</w:t>
      </w:r>
    </w:p>
    <w:p>
      <w:pPr>
        <w:pStyle w:val="27"/>
        <w:spacing w:before="120" w:after="12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解除合同。</w:t>
      </w:r>
    </w:p>
    <w:p>
      <w:pPr>
        <w:pStyle w:val="27"/>
        <w:spacing w:before="120" w:after="12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如在使用过程中发生问题，乙方在接到甲方通知后</w:t>
      </w:r>
      <w:r>
        <w:rPr>
          <w:rFonts w:hint="eastAsia" w:asciiTheme="minorEastAsia" w:hAnsiTheme="minorEastAsia" w:eastAsiaTheme="minorEastAsia" w:cstheme="minorEastAsia"/>
          <w:color w:val="000000"/>
          <w:sz w:val="24"/>
          <w:szCs w:val="24"/>
        </w:rPr>
        <w:t>在</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color w:val="000000"/>
          <w:sz w:val="24"/>
          <w:szCs w:val="24"/>
        </w:rPr>
        <w:t>小时</w:t>
      </w:r>
      <w:r>
        <w:rPr>
          <w:rFonts w:hint="eastAsia" w:asciiTheme="minorEastAsia" w:hAnsiTheme="minorEastAsia" w:eastAsiaTheme="minorEastAsia" w:cstheme="minorEastAsia"/>
          <w:sz w:val="24"/>
          <w:szCs w:val="24"/>
        </w:rPr>
        <w:t>内到达甲方现场。</w:t>
      </w:r>
    </w:p>
    <w:p>
      <w:pPr>
        <w:pStyle w:val="27"/>
        <w:spacing w:before="120" w:after="120" w:line="360" w:lineRule="auto"/>
        <w:ind w:firstLine="42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b w:val="0"/>
          <w:bCs w:val="0"/>
          <w:sz w:val="24"/>
          <w:szCs w:val="24"/>
        </w:rPr>
        <w:t>在服务质量保证期内</w:t>
      </w:r>
      <w:r>
        <w:rPr>
          <w:rFonts w:hint="eastAsia" w:asciiTheme="minorEastAsia" w:hAnsiTheme="minorEastAsia" w:eastAsiaTheme="minorEastAsia" w:cstheme="minorEastAsia"/>
          <w:sz w:val="24"/>
          <w:szCs w:val="24"/>
        </w:rPr>
        <w:t>，乙方应对出现的质量及安全问题负责处理解决并承担一切费用。</w:t>
      </w:r>
    </w:p>
    <w:p>
      <w:pPr>
        <w:pStyle w:val="27"/>
        <w:spacing w:before="120" w:after="120"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十二、违约责任</w:t>
      </w:r>
    </w:p>
    <w:p>
      <w:pPr>
        <w:pStyle w:val="27"/>
        <w:spacing w:before="120" w:after="120" w:line="360" w:lineRule="auto"/>
        <w:ind w:left="410" w:hanging="410" w:hangingChars="171"/>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color w:val="FF0000"/>
          <w:sz w:val="24"/>
          <w:szCs w:val="24"/>
          <w:lang w:val="en-US" w:eastAsia="zh-CN"/>
        </w:rPr>
        <w:t>1、在拆除过程中，甲方必须配备城管人员、安全警戒带以及其它安全警示标志。</w:t>
      </w:r>
    </w:p>
    <w:p>
      <w:pPr>
        <w:pStyle w:val="27"/>
        <w:spacing w:before="120" w:after="120" w:line="360" w:lineRule="auto"/>
        <w:ind w:left="41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甲方无正当理由拒收接受服务的，甲方向乙方偿付合同款项百分之五作为违约金。</w:t>
      </w:r>
    </w:p>
    <w:p>
      <w:pPr>
        <w:pStyle w:val="27"/>
        <w:spacing w:before="120" w:after="120" w:line="360" w:lineRule="auto"/>
        <w:ind w:firstLine="42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甲方无故逾期验收和办理款项支付手续的,甲方应按逾期付款总额每日万分之五向乙方支付违约金。</w:t>
      </w:r>
    </w:p>
    <w:p>
      <w:pPr>
        <w:pStyle w:val="27"/>
        <w:spacing w:before="120" w:after="120" w:line="360" w:lineRule="auto"/>
        <w:ind w:firstLine="42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 xml:space="preserve">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pStyle w:val="27"/>
        <w:spacing w:before="120" w:after="120"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十三、不可抗力事件处理</w:t>
      </w:r>
    </w:p>
    <w:p>
      <w:pPr>
        <w:pStyle w:val="27"/>
        <w:spacing w:before="120" w:after="120" w:line="360" w:lineRule="auto"/>
        <w:ind w:firstLine="42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在合同有效期内，任何一方因不可抗力事件导致不能履行合同，则合同履行期可延长，其延长期与不可抗力影响期相同。</w:t>
      </w:r>
    </w:p>
    <w:p>
      <w:pPr>
        <w:pStyle w:val="27"/>
        <w:spacing w:before="120" w:after="120" w:line="360" w:lineRule="auto"/>
        <w:ind w:firstLine="42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不可抗力事件发生后，应立即通知对方，并寄送有关权威机构出具的证明。</w:t>
      </w:r>
    </w:p>
    <w:p>
      <w:pPr>
        <w:pStyle w:val="27"/>
        <w:spacing w:before="120" w:after="120" w:line="360" w:lineRule="auto"/>
        <w:ind w:firstLine="42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不可抗力事件延续120天以上，双方应通过友好协商，确定是否继续履行合同。</w:t>
      </w:r>
    </w:p>
    <w:p>
      <w:pPr>
        <w:pStyle w:val="27"/>
        <w:spacing w:before="120" w:after="120"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十四、诉讼</w:t>
      </w:r>
    </w:p>
    <w:p>
      <w:pPr>
        <w:pStyle w:val="27"/>
        <w:spacing w:before="120" w:after="120" w:line="360" w:lineRule="auto"/>
        <w:ind w:firstLine="42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双方在执行合同中所发生的一切争议，应通过协商解决。如协商不成，可向甲方所在地法院起诉。</w:t>
      </w:r>
    </w:p>
    <w:p>
      <w:pPr>
        <w:pStyle w:val="27"/>
        <w:spacing w:before="120" w:after="120"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十五、合同生效及其它</w:t>
      </w:r>
    </w:p>
    <w:p>
      <w:pPr>
        <w:pStyle w:val="27"/>
        <w:spacing w:before="120" w:after="12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合同经双方法定代表人或授权代表签字并加盖单位公章后生效。</w:t>
      </w:r>
    </w:p>
    <w:p>
      <w:pPr>
        <w:pStyle w:val="27"/>
        <w:spacing w:before="120" w:after="120" w:line="360" w:lineRule="auto"/>
        <w:ind w:firstLine="42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合同执行中涉及采购资金和采购内容修改或补充的，须经财政部门审批，并签书面补充协议报政府采购监督管理部门备案，方可作为主合同不可分割的一部分。</w:t>
      </w:r>
    </w:p>
    <w:p>
      <w:pPr>
        <w:pStyle w:val="27"/>
        <w:spacing w:before="120" w:after="120" w:line="360" w:lineRule="auto"/>
        <w:ind w:left="48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本合同未尽事宜，遵照《合同法》有关条文执行。</w:t>
      </w:r>
    </w:p>
    <w:p>
      <w:pPr>
        <w:pStyle w:val="27"/>
        <w:spacing w:before="120" w:after="120" w:line="360" w:lineRule="auto"/>
        <w:ind w:left="48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本合同正本一式两份，具有同等法律效力，甲乙双方各执一份；副本</w:t>
      </w:r>
      <w:r>
        <w:rPr>
          <w:rFonts w:hint="eastAsia" w:asciiTheme="minorEastAsia" w:hAnsiTheme="minorEastAsia" w:eastAsiaTheme="minorEastAsia" w:cstheme="minorEastAsia"/>
          <w:b/>
          <w:sz w:val="24"/>
          <w:szCs w:val="24"/>
          <w:lang w:eastAsia="zh-CN"/>
        </w:rPr>
        <w:t>肆</w:t>
      </w:r>
      <w:r>
        <w:rPr>
          <w:rFonts w:hint="eastAsia" w:asciiTheme="minorEastAsia" w:hAnsiTheme="minorEastAsia" w:eastAsiaTheme="minorEastAsia" w:cstheme="minorEastAsia"/>
          <w:sz w:val="24"/>
          <w:szCs w:val="24"/>
        </w:rPr>
        <w:t>份。</w:t>
      </w:r>
    </w:p>
    <w:p>
      <w:pPr>
        <w:pStyle w:val="27"/>
        <w:spacing w:before="120" w:after="120" w:line="360" w:lineRule="auto"/>
        <w:ind w:left="480" w:hanging="480" w:hanging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甲方：                                   乙方： </w:t>
      </w:r>
    </w:p>
    <w:p>
      <w:pPr>
        <w:pStyle w:val="27"/>
        <w:spacing w:before="120" w:after="12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地址：                                   地址： </w:t>
      </w:r>
    </w:p>
    <w:p>
      <w:pPr>
        <w:pStyle w:val="27"/>
        <w:spacing w:before="120" w:after="12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法定（授权）代表人：                     法定（授权）代表人：</w:t>
      </w:r>
    </w:p>
    <w:p>
      <w:pPr>
        <w:pStyle w:val="27"/>
        <w:spacing w:before="120" w:after="12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签字日期：      年  月  日           签字日期：      年  月  日</w:t>
      </w:r>
    </w:p>
    <w:p>
      <w:pPr>
        <w:pStyle w:val="27"/>
        <w:spacing w:before="120" w:after="120" w:line="360" w:lineRule="auto"/>
        <w:rPr>
          <w:rFonts w:hint="eastAsia" w:asciiTheme="minorEastAsia" w:hAnsiTheme="minorEastAsia" w:eastAsiaTheme="minorEastAsia" w:cstheme="minorEastAsia"/>
          <w:sz w:val="24"/>
          <w:szCs w:val="24"/>
        </w:rPr>
      </w:pPr>
    </w:p>
    <w:p>
      <w:pPr>
        <w:numPr>
          <w:ilvl w:val="0"/>
          <w:numId w:val="6"/>
        </w:numPr>
        <w:snapToGrid w:val="0"/>
        <w:spacing w:before="50" w:after="50" w:line="360" w:lineRule="auto"/>
        <w:jc w:val="center"/>
        <w:rPr>
          <w:rFonts w:ascii="宋体" w:hAnsi="宋体" w:cs="仿宋"/>
          <w:b/>
          <w:sz w:val="44"/>
          <w:szCs w:val="44"/>
        </w:rPr>
      </w:pPr>
      <w:r>
        <w:rPr>
          <w:rFonts w:hint="eastAsia" w:ascii="宋体" w:hAnsi="宋体" w:cs="仿宋"/>
          <w:b/>
          <w:bCs/>
          <w:sz w:val="24"/>
        </w:rPr>
        <w:br w:type="page"/>
      </w:r>
      <w:bookmarkStart w:id="29" w:name="_Toc11931"/>
      <w:r>
        <w:rPr>
          <w:rFonts w:hint="eastAsia" w:ascii="宋体" w:hAnsi="宋体" w:cs="仿宋"/>
          <w:b/>
          <w:sz w:val="44"/>
          <w:szCs w:val="44"/>
        </w:rPr>
        <w:t>投标文件格式</w:t>
      </w:r>
      <w:bookmarkEnd w:id="29"/>
      <w:r>
        <w:rPr>
          <w:rFonts w:hint="eastAsia" w:ascii="宋体" w:hAnsi="宋体" w:cs="仿宋"/>
          <w:b/>
          <w:sz w:val="44"/>
          <w:szCs w:val="44"/>
        </w:rPr>
        <w:t xml:space="preserve"> </w:t>
      </w:r>
    </w:p>
    <w:p>
      <w:pPr>
        <w:snapToGrid w:val="0"/>
        <w:spacing w:beforeLines="50" w:after="50"/>
        <w:rPr>
          <w:rFonts w:ascii="宋体" w:hAnsi="宋体" w:cs="宋体"/>
          <w:b/>
          <w:sz w:val="24"/>
          <w:szCs w:val="20"/>
        </w:rPr>
      </w:pPr>
      <w:r>
        <w:rPr>
          <w:rFonts w:hint="eastAsia" w:ascii="宋体" w:hAnsi="宋体" w:cs="宋体"/>
          <w:b/>
          <w:sz w:val="24"/>
        </w:rPr>
        <w:t>1、资格文件（或</w:t>
      </w:r>
      <w:r>
        <w:rPr>
          <w:rFonts w:hint="eastAsia" w:ascii="宋体" w:hAnsi="宋体" w:cs="宋体"/>
          <w:b/>
          <w:bCs/>
          <w:sz w:val="24"/>
        </w:rPr>
        <w:t>商务技术文件）格式</w:t>
      </w:r>
    </w:p>
    <w:p>
      <w:pPr>
        <w:snapToGrid w:val="0"/>
        <w:spacing w:beforeLines="50" w:after="50"/>
        <w:jc w:val="right"/>
        <w:rPr>
          <w:rFonts w:ascii="宋体" w:hAnsi="宋体" w:cs="宋体"/>
          <w:b/>
          <w:bCs/>
          <w:sz w:val="32"/>
          <w:szCs w:val="20"/>
        </w:rPr>
      </w:pPr>
      <w:r>
        <w:rPr>
          <w:rFonts w:hint="eastAsia" w:ascii="宋体" w:hAnsi="宋体" w:cs="宋体"/>
          <w:b/>
          <w:bCs/>
        </w:rPr>
        <w:t>正本/或副本</w:t>
      </w:r>
    </w:p>
    <w:p>
      <w:pPr>
        <w:snapToGrid w:val="0"/>
        <w:spacing w:beforeLines="50" w:after="50"/>
        <w:rPr>
          <w:rFonts w:ascii="宋体" w:hAnsi="宋体" w:cs="宋体"/>
          <w:sz w:val="24"/>
          <w:szCs w:val="20"/>
        </w:rPr>
      </w:pPr>
    </w:p>
    <w:p>
      <w:pPr>
        <w:snapToGrid w:val="0"/>
        <w:spacing w:beforeLines="50" w:after="50"/>
        <w:jc w:val="center"/>
        <w:rPr>
          <w:rFonts w:ascii="宋体" w:hAnsi="宋体" w:cs="宋体"/>
          <w:bCs/>
          <w:sz w:val="24"/>
          <w:szCs w:val="20"/>
        </w:rPr>
      </w:pPr>
    </w:p>
    <w:p>
      <w:pPr>
        <w:snapToGrid w:val="0"/>
        <w:spacing w:beforeLines="50" w:after="50"/>
        <w:jc w:val="center"/>
        <w:rPr>
          <w:rFonts w:ascii="宋体" w:hAnsi="宋体" w:cs="宋体"/>
          <w:bCs/>
          <w:sz w:val="24"/>
          <w:szCs w:val="20"/>
        </w:rPr>
      </w:pPr>
      <w:r>
        <w:rPr>
          <w:rFonts w:hint="eastAsia" w:ascii="宋体" w:hAnsi="宋体" w:cs="宋体"/>
          <w:bCs/>
          <w:sz w:val="24"/>
        </w:rPr>
        <w:t>资格文件（或商务技术文件）</w:t>
      </w:r>
    </w:p>
    <w:p>
      <w:pPr>
        <w:snapToGrid w:val="0"/>
        <w:spacing w:beforeLines="50" w:after="50"/>
        <w:rPr>
          <w:rFonts w:ascii="宋体" w:hAnsi="宋体" w:cs="宋体"/>
          <w:bCs/>
          <w:sz w:val="24"/>
          <w:szCs w:val="20"/>
        </w:rPr>
      </w:pPr>
    </w:p>
    <w:p>
      <w:pPr>
        <w:snapToGrid w:val="0"/>
        <w:spacing w:beforeLines="50" w:after="50"/>
        <w:ind w:firstLine="1068" w:firstLineChars="445"/>
        <w:rPr>
          <w:rFonts w:ascii="宋体" w:hAnsi="宋体" w:cs="宋体"/>
          <w:bCs/>
          <w:sz w:val="24"/>
        </w:rPr>
      </w:pPr>
      <w:r>
        <w:rPr>
          <w:rFonts w:hint="eastAsia" w:ascii="宋体" w:hAnsi="宋体" w:cs="宋体"/>
          <w:bCs/>
          <w:sz w:val="24"/>
        </w:rPr>
        <w:t>项目名称：</w:t>
      </w:r>
    </w:p>
    <w:p>
      <w:pPr>
        <w:snapToGrid w:val="0"/>
        <w:spacing w:beforeLines="50" w:after="50"/>
        <w:ind w:firstLine="1068" w:firstLineChars="445"/>
        <w:rPr>
          <w:rFonts w:ascii="宋体" w:hAnsi="宋体" w:cs="宋体"/>
          <w:bCs/>
          <w:sz w:val="24"/>
        </w:rPr>
      </w:pPr>
      <w:r>
        <w:rPr>
          <w:rFonts w:hint="eastAsia" w:ascii="宋体" w:hAnsi="宋体" w:cs="宋体"/>
          <w:bCs/>
          <w:sz w:val="24"/>
        </w:rPr>
        <w:t>项目编号：</w:t>
      </w:r>
    </w:p>
    <w:p>
      <w:pPr>
        <w:snapToGrid w:val="0"/>
        <w:spacing w:beforeLines="50" w:after="50"/>
        <w:ind w:firstLine="1068" w:firstLineChars="445"/>
        <w:rPr>
          <w:rFonts w:ascii="宋体" w:hAnsi="宋体" w:cs="宋体"/>
          <w:bCs/>
          <w:sz w:val="24"/>
        </w:rPr>
      </w:pPr>
      <w:r>
        <w:rPr>
          <w:rFonts w:hint="eastAsia" w:ascii="宋体" w:hAnsi="宋体" w:cs="宋体"/>
          <w:bCs/>
          <w:sz w:val="24"/>
        </w:rPr>
        <w:t>投标人名称：</w:t>
      </w:r>
    </w:p>
    <w:p>
      <w:pPr>
        <w:snapToGrid w:val="0"/>
        <w:spacing w:beforeLines="50" w:after="50"/>
        <w:ind w:firstLine="1068" w:firstLineChars="445"/>
        <w:rPr>
          <w:rFonts w:ascii="宋体" w:hAnsi="宋体" w:cs="宋体"/>
          <w:bCs/>
          <w:sz w:val="24"/>
        </w:rPr>
      </w:pPr>
      <w:r>
        <w:rPr>
          <w:rFonts w:hint="eastAsia" w:ascii="宋体" w:hAnsi="宋体" w:cs="宋体"/>
          <w:bCs/>
          <w:sz w:val="24"/>
        </w:rPr>
        <w:t>投标人地址：</w:t>
      </w:r>
    </w:p>
    <w:p>
      <w:pPr>
        <w:snapToGrid w:val="0"/>
        <w:spacing w:beforeLines="50" w:after="50"/>
        <w:ind w:firstLine="1068" w:firstLineChars="445"/>
        <w:rPr>
          <w:rFonts w:ascii="宋体" w:hAnsi="宋体" w:cs="宋体"/>
          <w:bCs/>
          <w:sz w:val="24"/>
        </w:rPr>
      </w:pPr>
      <w:r>
        <w:rPr>
          <w:rFonts w:hint="eastAsia" w:ascii="宋体" w:hAnsi="宋体" w:cs="宋体"/>
          <w:bCs/>
          <w:sz w:val="24"/>
        </w:rPr>
        <w:t>在   年  月  日  时  分之前不得启封</w:t>
      </w:r>
    </w:p>
    <w:p>
      <w:pPr>
        <w:pStyle w:val="13"/>
        <w:snapToGrid w:val="0"/>
        <w:spacing w:before="50" w:after="50"/>
        <w:ind w:firstLine="960" w:firstLineChars="400"/>
        <w:rPr>
          <w:rFonts w:ascii="宋体" w:hAnsi="宋体" w:cs="宋体"/>
          <w:bCs/>
          <w:sz w:val="24"/>
        </w:rPr>
      </w:pPr>
    </w:p>
    <w:p>
      <w:pPr>
        <w:snapToGrid w:val="0"/>
        <w:spacing w:beforeLines="50" w:after="50"/>
        <w:ind w:firstLine="4080" w:firstLineChars="1700"/>
        <w:rPr>
          <w:rFonts w:ascii="宋体" w:hAnsi="宋体" w:cs="宋体"/>
          <w:sz w:val="24"/>
          <w:szCs w:val="20"/>
        </w:rPr>
      </w:pPr>
    </w:p>
    <w:p>
      <w:pPr>
        <w:snapToGrid w:val="0"/>
        <w:spacing w:beforeLines="50" w:after="50"/>
        <w:ind w:firstLine="645"/>
        <w:jc w:val="right"/>
        <w:rPr>
          <w:rFonts w:ascii="宋体" w:hAnsi="宋体" w:cs="宋体"/>
          <w:sz w:val="24"/>
          <w:szCs w:val="20"/>
        </w:rPr>
      </w:pPr>
      <w:r>
        <w:rPr>
          <w:rFonts w:hint="eastAsia" w:ascii="宋体" w:hAnsi="宋体" w:cs="宋体"/>
          <w:sz w:val="24"/>
        </w:rPr>
        <w:t>年  月  日</w:t>
      </w:r>
    </w:p>
    <w:p>
      <w:pPr>
        <w:snapToGrid w:val="0"/>
        <w:spacing w:beforeLines="50" w:after="50"/>
        <w:rPr>
          <w:rFonts w:ascii="宋体" w:hAnsi="宋体" w:cs="宋体"/>
          <w:sz w:val="24"/>
          <w:szCs w:val="20"/>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napToGrid w:val="0"/>
        <w:spacing w:beforeLines="50" w:after="50"/>
        <w:rPr>
          <w:rFonts w:ascii="宋体" w:hAnsi="宋体"/>
          <w:b/>
          <w:sz w:val="24"/>
        </w:rPr>
      </w:pPr>
      <w:r>
        <w:rPr>
          <w:rFonts w:hint="eastAsia" w:ascii="宋体" w:hAnsi="宋体"/>
          <w:b/>
          <w:sz w:val="24"/>
        </w:rPr>
        <w:t>资格文件目录</w:t>
      </w:r>
    </w:p>
    <w:p>
      <w:pPr>
        <w:pStyle w:val="2"/>
        <w:spacing w:line="360" w:lineRule="auto"/>
        <w:rPr>
          <w:rFonts w:ascii="宋体" w:hAnsi="Courier New" w:cs="Courier New"/>
          <w:kern w:val="2"/>
          <w:sz w:val="24"/>
          <w:szCs w:val="21"/>
        </w:rPr>
      </w:pPr>
      <w:r>
        <w:rPr>
          <w:rFonts w:hint="eastAsia" w:ascii="宋体" w:hAnsi="Courier New" w:cs="Courier New"/>
          <w:kern w:val="2"/>
          <w:sz w:val="24"/>
          <w:szCs w:val="21"/>
        </w:rPr>
        <w:t xml:space="preserve">   </w:t>
      </w:r>
      <w:r>
        <w:rPr>
          <w:rFonts w:hint="eastAsia" w:ascii="宋体" w:hAnsi="宋体" w:eastAsia="宋体" w:cs="宋体"/>
          <w:kern w:val="2"/>
          <w:sz w:val="24"/>
          <w:szCs w:val="21"/>
        </w:rPr>
        <w:t xml:space="preserve"> （1）投标单位情况表；</w:t>
      </w:r>
    </w:p>
    <w:p>
      <w:pPr>
        <w:pStyle w:val="27"/>
        <w:spacing w:line="360" w:lineRule="auto"/>
        <w:ind w:firstLine="480" w:firstLineChars="200"/>
        <w:rPr>
          <w:rFonts w:hint="eastAsia" w:eastAsia="宋体"/>
          <w:sz w:val="24"/>
          <w:lang w:eastAsia="zh-CN"/>
        </w:rPr>
      </w:pPr>
      <w:r>
        <w:rPr>
          <w:rFonts w:hint="eastAsia"/>
          <w:sz w:val="24"/>
        </w:rPr>
        <w:t>（2）有效的营业执照、税务登记证、组织机构代码证或“三证合一”的营业执照或“五证合一”的营业执照；</w:t>
      </w:r>
    </w:p>
    <w:p>
      <w:pPr>
        <w:snapToGrid w:val="0"/>
        <w:spacing w:line="360" w:lineRule="auto"/>
        <w:ind w:firstLine="480" w:firstLineChars="200"/>
        <w:rPr>
          <w:rFonts w:hint="eastAsia" w:ascii="宋体" w:hAnsi="宋体" w:eastAsia="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法定代表人或其授权代理人的授权证书及身份证明</w:t>
      </w:r>
      <w:r>
        <w:rPr>
          <w:rFonts w:hint="eastAsia" w:ascii="宋体" w:hAnsi="宋体" w:cs="宋体"/>
          <w:sz w:val="24"/>
          <w:lang w:eastAsia="zh-CN"/>
        </w:rPr>
        <w:t>；</w:t>
      </w:r>
    </w:p>
    <w:p>
      <w:pPr>
        <w:snapToGrid w:val="0"/>
        <w:spacing w:line="360" w:lineRule="auto"/>
        <w:ind w:firstLine="480" w:firstLineChars="200"/>
        <w:rPr>
          <w:rFonts w:ascii="宋体" w:hAnsi="宋体" w:cs="宋体"/>
          <w:kern w:val="0"/>
          <w:sz w:val="24"/>
        </w:rPr>
      </w:pPr>
      <w:r>
        <w:rPr>
          <w:rFonts w:hint="eastAsia" w:ascii="宋体" w:hAnsi="宋体" w:cs="宋体"/>
          <w:sz w:val="24"/>
        </w:rPr>
        <w:t>（</w:t>
      </w:r>
      <w:r>
        <w:rPr>
          <w:rFonts w:hint="eastAsia" w:ascii="宋体" w:hAnsi="宋体" w:cs="宋体"/>
          <w:sz w:val="24"/>
          <w:lang w:val="en-US" w:eastAsia="zh-CN"/>
        </w:rPr>
        <w:t>4</w:t>
      </w:r>
      <w:r>
        <w:rPr>
          <w:rFonts w:hint="eastAsia" w:hAnsi="宋体" w:cs="Arial"/>
          <w:sz w:val="24"/>
        </w:rPr>
        <w:t>）</w:t>
      </w:r>
      <w:r>
        <w:rPr>
          <w:rFonts w:hint="eastAsia" w:ascii="宋体" w:hAnsi="宋体" w:cs="宋体"/>
          <w:sz w:val="24"/>
        </w:rPr>
        <w:t>授权代理人提供近三个月中任意一个月的社保证明；</w:t>
      </w:r>
    </w:p>
    <w:p>
      <w:pPr>
        <w:pStyle w:val="27"/>
        <w:spacing w:line="360" w:lineRule="auto"/>
        <w:ind w:firstLine="480" w:firstLineChars="200"/>
        <w:rPr>
          <w:rFonts w:hint="eastAsia" w:hAnsi="宋体" w:eastAsia="宋体"/>
          <w:sz w:val="24"/>
          <w:lang w:eastAsia="zh-CN"/>
        </w:rPr>
      </w:pPr>
      <w:r>
        <w:rPr>
          <w:rFonts w:hint="eastAsia" w:hAnsi="宋体"/>
          <w:sz w:val="24"/>
        </w:rPr>
        <w:t>（</w:t>
      </w:r>
      <w:r>
        <w:rPr>
          <w:rFonts w:hint="eastAsia" w:hAnsi="宋体"/>
          <w:sz w:val="24"/>
          <w:lang w:val="en-US" w:eastAsia="zh-CN"/>
        </w:rPr>
        <w:t>5</w:t>
      </w:r>
      <w:r>
        <w:rPr>
          <w:rFonts w:hAnsi="宋体"/>
          <w:sz w:val="24"/>
        </w:rPr>
        <w:t>）</w:t>
      </w:r>
      <w:r>
        <w:rPr>
          <w:rFonts w:hint="eastAsia" w:hAnsi="宋体"/>
          <w:sz w:val="24"/>
        </w:rPr>
        <w:t>最近一个季度供应商依法缴纳税收和社保费的证明[税费凭证复印件，或者依法缴纳税费或依法免缴税费的证明]</w:t>
      </w:r>
      <w:r>
        <w:rPr>
          <w:rFonts w:hint="eastAsia" w:hAnsi="宋体"/>
          <w:sz w:val="24"/>
          <w:lang w:eastAsia="zh-CN"/>
        </w:rPr>
        <w:t>；</w:t>
      </w:r>
    </w:p>
    <w:p>
      <w:pPr>
        <w:pStyle w:val="27"/>
        <w:spacing w:line="360" w:lineRule="auto"/>
        <w:ind w:firstLine="480" w:firstLineChars="200"/>
        <w:rPr>
          <w:sz w:val="24"/>
        </w:rPr>
      </w:pPr>
      <w:r>
        <w:rPr>
          <w:rFonts w:hint="eastAsia" w:hAnsi="宋体"/>
          <w:sz w:val="24"/>
        </w:rPr>
        <w:t>（</w:t>
      </w:r>
      <w:r>
        <w:rPr>
          <w:rFonts w:hint="eastAsia" w:hAnsi="宋体"/>
          <w:sz w:val="24"/>
          <w:lang w:val="en-US" w:eastAsia="zh-CN"/>
        </w:rPr>
        <w:t>6</w:t>
      </w:r>
      <w:r>
        <w:rPr>
          <w:rFonts w:hint="eastAsia" w:hAnsi="宋体"/>
          <w:sz w:val="24"/>
        </w:rPr>
        <w:t>）</w:t>
      </w:r>
      <w:r>
        <w:rPr>
          <w:rFonts w:hint="eastAsia"/>
          <w:sz w:val="24"/>
        </w:rPr>
        <w:t>提供自招标公告发布之日起至投标截止日前任意时间的“信用中国”网站（www.creditchina.gov.cn）、</w:t>
      </w:r>
      <w:r>
        <w:rPr>
          <w:rFonts w:hint="eastAsia"/>
          <w:sz w:val="24"/>
          <w:lang w:eastAsia="zh-CN"/>
        </w:rPr>
        <w:t>“</w:t>
      </w:r>
      <w:r>
        <w:rPr>
          <w:rFonts w:hint="eastAsia"/>
          <w:sz w:val="24"/>
        </w:rPr>
        <w:t>中国政府采购网</w:t>
      </w:r>
      <w:r>
        <w:rPr>
          <w:rFonts w:hint="eastAsia"/>
          <w:sz w:val="24"/>
          <w:lang w:eastAsia="zh-CN"/>
        </w:rPr>
        <w:t>”</w:t>
      </w:r>
      <w:r>
        <w:rPr>
          <w:rFonts w:hint="eastAsia"/>
          <w:sz w:val="24"/>
        </w:rPr>
        <w:t>（www.ccgp.gov.cn）供应商信用查询网页截图。（以开标当日采购人或由采购人委托的评标委员会核实的查询结果为准）；</w:t>
      </w:r>
    </w:p>
    <w:p>
      <w:pPr>
        <w:pStyle w:val="27"/>
        <w:spacing w:line="360" w:lineRule="auto"/>
        <w:ind w:firstLine="480" w:firstLineChars="200"/>
        <w:rPr>
          <w:sz w:val="24"/>
        </w:rPr>
      </w:pPr>
      <w:r>
        <w:rPr>
          <w:rFonts w:hint="eastAsia"/>
          <w:sz w:val="24"/>
        </w:rPr>
        <w:t>（</w:t>
      </w:r>
      <w:r>
        <w:rPr>
          <w:rFonts w:hint="eastAsia"/>
          <w:sz w:val="24"/>
          <w:lang w:val="en-US" w:eastAsia="zh-CN"/>
        </w:rPr>
        <w:t>7</w:t>
      </w:r>
      <w:r>
        <w:rPr>
          <w:rFonts w:hint="eastAsia"/>
          <w:sz w:val="24"/>
        </w:rPr>
        <w:t>）</w:t>
      </w:r>
      <w:r>
        <w:rPr>
          <w:rFonts w:hint="eastAsia" w:hAnsi="宋体"/>
          <w:sz w:val="24"/>
        </w:rPr>
        <w:t>信用承诺书。</w:t>
      </w:r>
    </w:p>
    <w:p>
      <w:pPr>
        <w:pStyle w:val="27"/>
        <w:spacing w:line="360" w:lineRule="auto"/>
        <w:ind w:firstLine="480" w:firstLineChars="200"/>
        <w:rPr>
          <w:sz w:val="24"/>
        </w:rPr>
      </w:pPr>
    </w:p>
    <w:p>
      <w:pPr>
        <w:pStyle w:val="27"/>
        <w:spacing w:line="360" w:lineRule="auto"/>
        <w:ind w:firstLine="480" w:firstLineChars="200"/>
        <w:rPr>
          <w:sz w:val="24"/>
        </w:rPr>
      </w:pPr>
    </w:p>
    <w:p>
      <w:pPr>
        <w:snapToGrid w:val="0"/>
        <w:spacing w:beforeLines="50" w:after="50" w:line="276" w:lineRule="auto"/>
        <w:rPr>
          <w:rFonts w:ascii="宋体" w:hAnsi="宋体"/>
          <w:b/>
          <w:sz w:val="30"/>
        </w:rPr>
      </w:pPr>
    </w:p>
    <w:p>
      <w:pPr>
        <w:snapToGrid w:val="0"/>
        <w:spacing w:beforeLines="50" w:after="50" w:line="276" w:lineRule="auto"/>
        <w:rPr>
          <w:rFonts w:ascii="宋体" w:hAnsi="宋体"/>
          <w:b/>
          <w:sz w:val="30"/>
        </w:rPr>
      </w:pPr>
    </w:p>
    <w:p>
      <w:pPr>
        <w:pStyle w:val="20"/>
        <w:ind w:firstLine="240"/>
        <w:rPr>
          <w:sz w:val="24"/>
        </w:rPr>
      </w:pPr>
    </w:p>
    <w:p>
      <w:pPr>
        <w:snapToGrid w:val="0"/>
        <w:spacing w:beforeLines="50" w:after="50" w:line="276" w:lineRule="auto"/>
        <w:rPr>
          <w:rFonts w:ascii="宋体" w:hAnsi="宋体"/>
          <w:b/>
          <w:sz w:val="30"/>
        </w:rPr>
      </w:pPr>
    </w:p>
    <w:p>
      <w:pPr>
        <w:pStyle w:val="20"/>
        <w:ind w:firstLine="240"/>
        <w:rPr>
          <w:sz w:val="24"/>
        </w:rPr>
      </w:pPr>
    </w:p>
    <w:p>
      <w:pPr>
        <w:pStyle w:val="20"/>
        <w:ind w:firstLine="240"/>
        <w:rPr>
          <w:sz w:val="24"/>
        </w:rPr>
      </w:pPr>
    </w:p>
    <w:p>
      <w:pPr>
        <w:pStyle w:val="20"/>
        <w:ind w:firstLine="240"/>
        <w:rPr>
          <w:sz w:val="24"/>
        </w:rPr>
      </w:pPr>
    </w:p>
    <w:p>
      <w:pPr>
        <w:pStyle w:val="20"/>
        <w:ind w:firstLine="240"/>
        <w:rPr>
          <w:sz w:val="24"/>
        </w:rPr>
      </w:pPr>
    </w:p>
    <w:p>
      <w:pPr>
        <w:pStyle w:val="20"/>
        <w:ind w:firstLine="240"/>
        <w:rPr>
          <w:sz w:val="24"/>
        </w:rPr>
      </w:pPr>
    </w:p>
    <w:p>
      <w:pPr>
        <w:pStyle w:val="20"/>
        <w:ind w:firstLine="240"/>
        <w:rPr>
          <w:sz w:val="24"/>
        </w:rPr>
      </w:pPr>
    </w:p>
    <w:p>
      <w:pPr>
        <w:pStyle w:val="20"/>
        <w:ind w:firstLine="240"/>
        <w:rPr>
          <w:sz w:val="24"/>
        </w:rPr>
      </w:pPr>
    </w:p>
    <w:p>
      <w:pPr>
        <w:pStyle w:val="20"/>
        <w:ind w:firstLine="240"/>
        <w:rPr>
          <w:sz w:val="24"/>
        </w:rPr>
      </w:pPr>
    </w:p>
    <w:p>
      <w:pPr>
        <w:pStyle w:val="20"/>
        <w:ind w:firstLine="240"/>
        <w:rPr>
          <w:sz w:val="24"/>
        </w:rPr>
      </w:pPr>
    </w:p>
    <w:p>
      <w:pPr>
        <w:pStyle w:val="20"/>
        <w:ind w:firstLine="240"/>
        <w:rPr>
          <w:sz w:val="24"/>
        </w:rPr>
      </w:pPr>
    </w:p>
    <w:p>
      <w:pPr>
        <w:pStyle w:val="20"/>
        <w:ind w:firstLine="240"/>
        <w:rPr>
          <w:sz w:val="24"/>
        </w:rPr>
      </w:pPr>
    </w:p>
    <w:p/>
    <w:p>
      <w:pPr>
        <w:pStyle w:val="21"/>
      </w:pPr>
    </w:p>
    <w:p>
      <w:pPr>
        <w:pStyle w:val="20"/>
        <w:ind w:left="0" w:leftChars="0" w:firstLine="0" w:firstLineChars="0"/>
        <w:rPr>
          <w:sz w:val="24"/>
        </w:rPr>
      </w:pPr>
    </w:p>
    <w:p>
      <w:pPr>
        <w:numPr>
          <w:ilvl w:val="0"/>
          <w:numId w:val="7"/>
        </w:numPr>
        <w:spacing w:line="480" w:lineRule="exact"/>
        <w:ind w:firstLine="560"/>
        <w:jc w:val="center"/>
        <w:rPr>
          <w:rFonts w:ascii="微软雅黑" w:hAnsi="微软雅黑" w:cs="微软雅黑"/>
          <w:sz w:val="24"/>
        </w:rPr>
      </w:pPr>
      <w:r>
        <w:rPr>
          <w:rFonts w:hint="eastAsia" w:ascii="微软雅黑" w:hAnsi="微软雅黑" w:cs="微软雅黑"/>
          <w:b/>
          <w:bCs/>
          <w:sz w:val="24"/>
        </w:rPr>
        <w:t>投标单位情况</w:t>
      </w:r>
      <w:r>
        <w:rPr>
          <w:rFonts w:hint="eastAsia" w:ascii="微软雅黑" w:hAnsi="微软雅黑" w:cs="微软雅黑"/>
          <w:b/>
          <w:bCs/>
          <w:sz w:val="24"/>
          <w:lang w:eastAsia="zh-CN"/>
        </w:rPr>
        <w:t>表</w:t>
      </w:r>
    </w:p>
    <w:tbl>
      <w:tblPr>
        <w:tblStyle w:val="40"/>
        <w:tblW w:w="909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900"/>
        <w:gridCol w:w="1135"/>
        <w:gridCol w:w="918"/>
        <w:gridCol w:w="218"/>
        <w:gridCol w:w="1136"/>
        <w:gridCol w:w="174"/>
        <w:gridCol w:w="961"/>
        <w:gridCol w:w="943"/>
        <w:gridCol w:w="114"/>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9098" w:type="dxa"/>
            <w:gridSpan w:val="11"/>
            <w:vAlign w:val="center"/>
          </w:tcPr>
          <w:p>
            <w:pPr>
              <w:spacing w:line="240" w:lineRule="exact"/>
              <w:jc w:val="center"/>
              <w:rPr>
                <w:rFonts w:ascii="宋体" w:hAnsi="宋体"/>
                <w:sz w:val="24"/>
              </w:rPr>
            </w:pPr>
            <w:r>
              <w:rPr>
                <w:rFonts w:hint="eastAsia" w:ascii="宋体" w:hAnsi="宋体"/>
                <w:sz w:val="24"/>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sz w:val="24"/>
              </w:rPr>
            </w:pPr>
            <w:r>
              <w:rPr>
                <w:rFonts w:hint="eastAsia" w:ascii="宋体" w:hAnsi="宋体"/>
                <w:sz w:val="24"/>
              </w:rPr>
              <w:t>单位名称</w:t>
            </w:r>
          </w:p>
        </w:tc>
        <w:tc>
          <w:tcPr>
            <w:tcW w:w="7298" w:type="dxa"/>
            <w:gridSpan w:val="10"/>
            <w:vAlign w:val="center"/>
          </w:tcPr>
          <w:p>
            <w:pPr>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sz w:val="24"/>
              </w:rPr>
            </w:pPr>
            <w:r>
              <w:rPr>
                <w:rFonts w:hint="eastAsia" w:ascii="宋体" w:hAnsi="宋体"/>
                <w:sz w:val="24"/>
              </w:rPr>
              <w:t>地  址</w:t>
            </w:r>
          </w:p>
        </w:tc>
        <w:tc>
          <w:tcPr>
            <w:tcW w:w="4481" w:type="dxa"/>
            <w:gridSpan w:val="6"/>
            <w:vAlign w:val="center"/>
          </w:tcPr>
          <w:p>
            <w:pPr>
              <w:spacing w:line="240" w:lineRule="exact"/>
              <w:jc w:val="center"/>
              <w:rPr>
                <w:rFonts w:ascii="宋体" w:hAnsi="宋体"/>
                <w:sz w:val="24"/>
              </w:rPr>
            </w:pPr>
          </w:p>
        </w:tc>
        <w:tc>
          <w:tcPr>
            <w:tcW w:w="1904" w:type="dxa"/>
            <w:gridSpan w:val="2"/>
            <w:vAlign w:val="center"/>
          </w:tcPr>
          <w:p>
            <w:pPr>
              <w:spacing w:line="240" w:lineRule="exact"/>
              <w:jc w:val="center"/>
              <w:rPr>
                <w:rFonts w:ascii="宋体" w:hAnsi="宋体"/>
                <w:sz w:val="24"/>
              </w:rPr>
            </w:pPr>
            <w:r>
              <w:rPr>
                <w:rFonts w:hint="eastAsia" w:ascii="宋体" w:hAnsi="宋体"/>
                <w:sz w:val="24"/>
              </w:rPr>
              <w:t>法定代表人</w:t>
            </w:r>
          </w:p>
        </w:tc>
        <w:tc>
          <w:tcPr>
            <w:tcW w:w="913" w:type="dxa"/>
            <w:gridSpan w:val="2"/>
            <w:vAlign w:val="center"/>
          </w:tcPr>
          <w:p>
            <w:pPr>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sz w:val="24"/>
              </w:rPr>
            </w:pPr>
            <w:r>
              <w:rPr>
                <w:rFonts w:hint="eastAsia" w:ascii="宋体" w:hAnsi="宋体"/>
                <w:sz w:val="24"/>
              </w:rPr>
              <w:t>成立时间</w:t>
            </w:r>
          </w:p>
        </w:tc>
        <w:tc>
          <w:tcPr>
            <w:tcW w:w="4481" w:type="dxa"/>
            <w:gridSpan w:val="6"/>
            <w:vAlign w:val="center"/>
          </w:tcPr>
          <w:p>
            <w:pPr>
              <w:spacing w:line="240" w:lineRule="exact"/>
              <w:jc w:val="center"/>
              <w:rPr>
                <w:rFonts w:ascii="宋体" w:hAnsi="宋体"/>
                <w:sz w:val="24"/>
              </w:rPr>
            </w:pPr>
          </w:p>
        </w:tc>
        <w:tc>
          <w:tcPr>
            <w:tcW w:w="1904" w:type="dxa"/>
            <w:gridSpan w:val="2"/>
            <w:vAlign w:val="center"/>
          </w:tcPr>
          <w:p>
            <w:pPr>
              <w:spacing w:line="240" w:lineRule="exact"/>
              <w:jc w:val="center"/>
              <w:rPr>
                <w:rFonts w:ascii="宋体" w:hAnsi="宋体"/>
                <w:sz w:val="24"/>
              </w:rPr>
            </w:pPr>
            <w:r>
              <w:rPr>
                <w:rFonts w:hint="eastAsia" w:ascii="宋体" w:hAnsi="宋体"/>
                <w:sz w:val="24"/>
              </w:rPr>
              <w:t>注册资本</w:t>
            </w:r>
          </w:p>
        </w:tc>
        <w:tc>
          <w:tcPr>
            <w:tcW w:w="913" w:type="dxa"/>
            <w:gridSpan w:val="2"/>
            <w:vAlign w:val="center"/>
          </w:tcPr>
          <w:p>
            <w:pPr>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sz w:val="24"/>
              </w:rPr>
            </w:pPr>
            <w:r>
              <w:rPr>
                <w:rFonts w:hint="eastAsia" w:ascii="宋体" w:hAnsi="宋体"/>
                <w:sz w:val="24"/>
              </w:rPr>
              <w:t>开户银行</w:t>
            </w:r>
          </w:p>
        </w:tc>
        <w:tc>
          <w:tcPr>
            <w:tcW w:w="2953" w:type="dxa"/>
            <w:gridSpan w:val="3"/>
            <w:vAlign w:val="center"/>
          </w:tcPr>
          <w:p>
            <w:pPr>
              <w:spacing w:line="240" w:lineRule="exact"/>
              <w:jc w:val="center"/>
              <w:rPr>
                <w:rFonts w:ascii="宋体" w:hAnsi="宋体"/>
                <w:sz w:val="24"/>
              </w:rPr>
            </w:pPr>
          </w:p>
        </w:tc>
        <w:tc>
          <w:tcPr>
            <w:tcW w:w="1528" w:type="dxa"/>
            <w:gridSpan w:val="3"/>
            <w:vAlign w:val="center"/>
          </w:tcPr>
          <w:p>
            <w:pPr>
              <w:spacing w:line="240" w:lineRule="exact"/>
              <w:jc w:val="center"/>
              <w:rPr>
                <w:rFonts w:ascii="宋体" w:hAnsi="宋体"/>
                <w:sz w:val="24"/>
              </w:rPr>
            </w:pPr>
            <w:r>
              <w:rPr>
                <w:rFonts w:hint="eastAsia" w:ascii="宋体" w:hAnsi="宋体"/>
                <w:sz w:val="24"/>
              </w:rPr>
              <w:t>帐  号</w:t>
            </w:r>
          </w:p>
        </w:tc>
        <w:tc>
          <w:tcPr>
            <w:tcW w:w="2817" w:type="dxa"/>
            <w:gridSpan w:val="4"/>
            <w:vAlign w:val="center"/>
          </w:tcPr>
          <w:p>
            <w:pPr>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sz w:val="24"/>
              </w:rPr>
            </w:pPr>
            <w:r>
              <w:rPr>
                <w:rFonts w:hint="eastAsia" w:ascii="宋体" w:hAnsi="宋体"/>
                <w:sz w:val="24"/>
              </w:rPr>
              <w:t>联系电话</w:t>
            </w:r>
          </w:p>
        </w:tc>
        <w:tc>
          <w:tcPr>
            <w:tcW w:w="7298" w:type="dxa"/>
            <w:gridSpan w:val="10"/>
            <w:vAlign w:val="center"/>
          </w:tcPr>
          <w:p>
            <w:pPr>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sz w:val="24"/>
              </w:rPr>
            </w:pPr>
            <w:r>
              <w:rPr>
                <w:rFonts w:hint="eastAsia" w:ascii="宋体" w:hAnsi="宋体"/>
                <w:sz w:val="24"/>
              </w:rPr>
              <w:t>企业总人数</w:t>
            </w:r>
          </w:p>
        </w:tc>
        <w:tc>
          <w:tcPr>
            <w:tcW w:w="900" w:type="dxa"/>
            <w:vAlign w:val="center"/>
          </w:tcPr>
          <w:p>
            <w:pPr>
              <w:spacing w:line="240" w:lineRule="exact"/>
              <w:jc w:val="center"/>
              <w:rPr>
                <w:rFonts w:ascii="宋体" w:hAnsi="宋体"/>
                <w:sz w:val="24"/>
              </w:rPr>
            </w:pPr>
          </w:p>
        </w:tc>
        <w:tc>
          <w:tcPr>
            <w:tcW w:w="1135" w:type="dxa"/>
            <w:vAlign w:val="center"/>
          </w:tcPr>
          <w:p>
            <w:pPr>
              <w:spacing w:line="240" w:lineRule="exact"/>
              <w:jc w:val="center"/>
              <w:rPr>
                <w:rFonts w:ascii="宋体" w:hAnsi="宋体"/>
                <w:sz w:val="24"/>
              </w:rPr>
            </w:pPr>
            <w:r>
              <w:rPr>
                <w:rFonts w:hint="eastAsia" w:ascii="宋体" w:hAnsi="宋体"/>
                <w:sz w:val="24"/>
              </w:rPr>
              <w:t>管理</w:t>
            </w:r>
          </w:p>
          <w:p>
            <w:pPr>
              <w:spacing w:line="240" w:lineRule="exact"/>
              <w:jc w:val="center"/>
              <w:rPr>
                <w:rFonts w:ascii="宋体" w:hAnsi="宋体"/>
                <w:sz w:val="24"/>
              </w:rPr>
            </w:pPr>
            <w:r>
              <w:rPr>
                <w:rFonts w:hint="eastAsia" w:ascii="宋体" w:hAnsi="宋体"/>
                <w:sz w:val="24"/>
              </w:rPr>
              <w:t>人员</w:t>
            </w:r>
          </w:p>
        </w:tc>
        <w:tc>
          <w:tcPr>
            <w:tcW w:w="1136" w:type="dxa"/>
            <w:gridSpan w:val="2"/>
            <w:vAlign w:val="center"/>
          </w:tcPr>
          <w:p>
            <w:pPr>
              <w:spacing w:line="240" w:lineRule="exact"/>
              <w:jc w:val="center"/>
              <w:rPr>
                <w:rFonts w:ascii="宋体" w:hAnsi="宋体"/>
                <w:sz w:val="24"/>
              </w:rPr>
            </w:pPr>
          </w:p>
        </w:tc>
        <w:tc>
          <w:tcPr>
            <w:tcW w:w="1136" w:type="dxa"/>
            <w:vAlign w:val="center"/>
          </w:tcPr>
          <w:p>
            <w:pPr>
              <w:spacing w:line="240" w:lineRule="exact"/>
              <w:jc w:val="center"/>
              <w:rPr>
                <w:rFonts w:ascii="宋体" w:hAnsi="宋体"/>
                <w:sz w:val="24"/>
              </w:rPr>
            </w:pPr>
            <w:r>
              <w:rPr>
                <w:rFonts w:hint="eastAsia" w:ascii="宋体" w:hAnsi="宋体"/>
                <w:sz w:val="24"/>
              </w:rPr>
              <w:t>技术</w:t>
            </w:r>
          </w:p>
          <w:p>
            <w:pPr>
              <w:spacing w:line="240" w:lineRule="exact"/>
              <w:jc w:val="center"/>
              <w:rPr>
                <w:rFonts w:ascii="宋体" w:hAnsi="宋体"/>
                <w:sz w:val="24"/>
              </w:rPr>
            </w:pPr>
            <w:r>
              <w:rPr>
                <w:rFonts w:hint="eastAsia" w:ascii="宋体" w:hAnsi="宋体"/>
                <w:sz w:val="24"/>
              </w:rPr>
              <w:t>人员</w:t>
            </w:r>
          </w:p>
        </w:tc>
        <w:tc>
          <w:tcPr>
            <w:tcW w:w="1135" w:type="dxa"/>
            <w:gridSpan w:val="2"/>
            <w:vAlign w:val="center"/>
          </w:tcPr>
          <w:p>
            <w:pPr>
              <w:spacing w:line="240" w:lineRule="exact"/>
              <w:jc w:val="center"/>
              <w:rPr>
                <w:rFonts w:ascii="宋体" w:hAnsi="宋体"/>
                <w:sz w:val="24"/>
              </w:rPr>
            </w:pPr>
          </w:p>
        </w:tc>
        <w:tc>
          <w:tcPr>
            <w:tcW w:w="1057" w:type="dxa"/>
            <w:gridSpan w:val="2"/>
            <w:vAlign w:val="center"/>
          </w:tcPr>
          <w:p>
            <w:pPr>
              <w:spacing w:line="240" w:lineRule="exact"/>
              <w:jc w:val="center"/>
              <w:rPr>
                <w:rFonts w:ascii="宋体" w:hAnsi="宋体"/>
                <w:sz w:val="24"/>
              </w:rPr>
            </w:pPr>
            <w:r>
              <w:rPr>
                <w:rFonts w:hint="eastAsia" w:ascii="宋体" w:hAnsi="宋体"/>
                <w:sz w:val="24"/>
              </w:rPr>
              <w:t>职工</w:t>
            </w:r>
          </w:p>
          <w:p>
            <w:pPr>
              <w:spacing w:line="240" w:lineRule="exact"/>
              <w:jc w:val="center"/>
              <w:rPr>
                <w:rFonts w:ascii="宋体" w:hAnsi="宋体"/>
                <w:sz w:val="24"/>
              </w:rPr>
            </w:pPr>
            <w:r>
              <w:rPr>
                <w:rFonts w:hint="eastAsia" w:ascii="宋体" w:hAnsi="宋体"/>
                <w:sz w:val="24"/>
              </w:rPr>
              <w:t>人员</w:t>
            </w:r>
          </w:p>
        </w:tc>
        <w:tc>
          <w:tcPr>
            <w:tcW w:w="799" w:type="dxa"/>
            <w:vAlign w:val="center"/>
          </w:tcPr>
          <w:p>
            <w:pPr>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sz w:val="24"/>
              </w:rPr>
            </w:pPr>
            <w:r>
              <w:rPr>
                <w:rFonts w:hint="eastAsia" w:ascii="宋体" w:hAnsi="宋体"/>
                <w:sz w:val="24"/>
              </w:rPr>
              <w:t>经营范围</w:t>
            </w:r>
          </w:p>
        </w:tc>
        <w:tc>
          <w:tcPr>
            <w:tcW w:w="7298" w:type="dxa"/>
            <w:gridSpan w:val="10"/>
            <w:vAlign w:val="center"/>
          </w:tcPr>
          <w:p>
            <w:pPr>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1" w:hRule="atLeast"/>
        </w:trPr>
        <w:tc>
          <w:tcPr>
            <w:tcW w:w="1800" w:type="dxa"/>
            <w:tcBorders>
              <w:bottom w:val="single" w:color="auto" w:sz="4" w:space="0"/>
            </w:tcBorders>
            <w:vAlign w:val="center"/>
          </w:tcPr>
          <w:p>
            <w:pPr>
              <w:spacing w:line="240" w:lineRule="exact"/>
              <w:jc w:val="center"/>
              <w:rPr>
                <w:rFonts w:ascii="宋体" w:hAnsi="宋体"/>
                <w:sz w:val="24"/>
              </w:rPr>
            </w:pPr>
            <w:r>
              <w:rPr>
                <w:rFonts w:hint="eastAsia" w:ascii="宋体" w:hAnsi="宋体"/>
                <w:sz w:val="24"/>
              </w:rPr>
              <w:t>企业现有的资质证书</w:t>
            </w:r>
          </w:p>
        </w:tc>
        <w:tc>
          <w:tcPr>
            <w:tcW w:w="7298" w:type="dxa"/>
            <w:gridSpan w:val="10"/>
            <w:tcBorders>
              <w:bottom w:val="single" w:color="auto" w:sz="4" w:space="0"/>
            </w:tcBorders>
            <w:vAlign w:val="center"/>
          </w:tcPr>
          <w:p>
            <w:pPr>
              <w:spacing w:line="240" w:lineRule="exact"/>
              <w:jc w:val="center"/>
              <w:rPr>
                <w:rFonts w:ascii="宋体" w:hAnsi="宋体"/>
                <w:sz w:val="24"/>
              </w:rPr>
            </w:pPr>
          </w:p>
        </w:tc>
      </w:tr>
    </w:tbl>
    <w:p>
      <w:pPr>
        <w:spacing w:line="480" w:lineRule="exact"/>
        <w:ind w:firstLine="480"/>
        <w:rPr>
          <w:rFonts w:ascii="宋体" w:hAnsi="宋体"/>
          <w:sz w:val="24"/>
        </w:rPr>
      </w:pPr>
      <w:r>
        <w:rPr>
          <w:rFonts w:hint="eastAsia" w:ascii="宋体" w:hAnsi="宋体"/>
          <w:sz w:val="24"/>
        </w:rPr>
        <w:t>注：表格不能满足时可自行增加。</w:t>
      </w:r>
    </w:p>
    <w:p>
      <w:pPr>
        <w:snapToGrid w:val="0"/>
        <w:spacing w:beforeLines="50"/>
        <w:ind w:firstLine="640"/>
        <w:rPr>
          <w:rFonts w:ascii="宋体" w:hAnsi="宋体"/>
          <w:b/>
          <w:bCs/>
          <w:sz w:val="24"/>
        </w:rPr>
      </w:pPr>
    </w:p>
    <w:p>
      <w:pPr>
        <w:snapToGrid w:val="0"/>
        <w:spacing w:beforeLines="50"/>
        <w:ind w:firstLine="640"/>
        <w:rPr>
          <w:rFonts w:ascii="宋体" w:hAnsi="宋体"/>
          <w:b/>
          <w:bCs/>
          <w:sz w:val="24"/>
        </w:rPr>
      </w:pPr>
    </w:p>
    <w:p>
      <w:pPr>
        <w:snapToGrid w:val="0"/>
        <w:spacing w:beforeLines="50"/>
        <w:ind w:firstLine="480"/>
        <w:rPr>
          <w:rFonts w:ascii="宋体" w:hAnsi="宋体"/>
          <w:sz w:val="24"/>
          <w:u w:val="single"/>
        </w:rPr>
      </w:pPr>
      <w:r>
        <w:rPr>
          <w:rFonts w:hint="eastAsia" w:ascii="微软雅黑" w:hAnsi="微软雅黑"/>
          <w:sz w:val="24"/>
        </w:rPr>
        <w:t>法定代表人或其授权代理人签名或盖章</w:t>
      </w:r>
      <w:r>
        <w:rPr>
          <w:rFonts w:hint="eastAsia" w:ascii="宋体" w:hAnsi="宋体"/>
          <w:sz w:val="24"/>
        </w:rPr>
        <w:t>：</w:t>
      </w:r>
      <w:r>
        <w:rPr>
          <w:rFonts w:ascii="宋体" w:hAnsi="宋体"/>
          <w:sz w:val="24"/>
          <w:u w:val="single"/>
        </w:rPr>
        <w:t xml:space="preserve">             </w:t>
      </w:r>
    </w:p>
    <w:p>
      <w:pPr>
        <w:snapToGrid w:val="0"/>
        <w:spacing w:beforeLines="50" w:after="50"/>
        <w:ind w:firstLine="480"/>
        <w:rPr>
          <w:rFonts w:ascii="宋体" w:hAnsi="宋体"/>
          <w:sz w:val="24"/>
        </w:rPr>
      </w:pPr>
      <w:r>
        <w:rPr>
          <w:rFonts w:hint="eastAsia" w:ascii="宋体" w:hAnsi="宋体"/>
          <w:sz w:val="24"/>
        </w:rPr>
        <w:t>供应商公章：</w:t>
      </w:r>
      <w:r>
        <w:rPr>
          <w:rFonts w:ascii="宋体" w:hAnsi="宋体"/>
          <w:sz w:val="24"/>
          <w:u w:val="single"/>
        </w:rPr>
        <w:t xml:space="preserve">               </w:t>
      </w:r>
      <w:r>
        <w:rPr>
          <w:rFonts w:ascii="宋体" w:hAnsi="宋体"/>
          <w:sz w:val="24"/>
        </w:rPr>
        <w:t xml:space="preserve">                      </w:t>
      </w:r>
    </w:p>
    <w:p>
      <w:pPr>
        <w:snapToGrid w:val="0"/>
        <w:spacing w:beforeLines="50" w:after="50"/>
        <w:ind w:firstLine="6240" w:firstLineChars="2600"/>
        <w:rPr>
          <w:rFonts w:ascii="宋体" w:hAnsi="宋体"/>
          <w:sz w:val="24"/>
        </w:rPr>
      </w:pPr>
    </w:p>
    <w:p>
      <w:pPr>
        <w:snapToGrid w:val="0"/>
        <w:spacing w:before="50" w:afterLines="50"/>
        <w:ind w:firstLine="480"/>
        <w:jc w:val="right"/>
        <w:rPr>
          <w:rFonts w:ascii="宋体" w:hAnsi="宋体" w:cs="宋体"/>
          <w:sz w:val="24"/>
        </w:rPr>
      </w:pPr>
      <w:r>
        <w:rPr>
          <w:rFonts w:ascii="宋体" w:hAnsi="宋体"/>
          <w:sz w:val="24"/>
        </w:rPr>
        <w:t>年    月    日</w:t>
      </w: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pStyle w:val="21"/>
        <w:rPr>
          <w:rFonts w:hAnsi="宋体" w:cs="宋体"/>
          <w:b/>
          <w:sz w:val="24"/>
          <w:szCs w:val="24"/>
        </w:rPr>
      </w:pPr>
    </w:p>
    <w:p>
      <w:pPr>
        <w:snapToGrid w:val="0"/>
        <w:spacing w:line="360" w:lineRule="auto"/>
        <w:jc w:val="center"/>
        <w:rPr>
          <w:b/>
          <w:sz w:val="24"/>
        </w:rPr>
      </w:pPr>
      <w:r>
        <w:rPr>
          <w:rFonts w:hint="eastAsia" w:ascii="宋体" w:hAnsi="宋体"/>
          <w:b/>
          <w:sz w:val="24"/>
        </w:rPr>
        <w:t>二、</w:t>
      </w:r>
      <w:r>
        <w:rPr>
          <w:rFonts w:hint="eastAsia"/>
          <w:b/>
          <w:sz w:val="24"/>
        </w:rPr>
        <w:t>有效的营业执照、税务登记证、组织机构代码证或“三证合一”的营业执照或“五证合一”的营业执照</w:t>
      </w:r>
    </w:p>
    <w:p>
      <w:pPr>
        <w:snapToGrid w:val="0"/>
        <w:spacing w:line="360" w:lineRule="auto"/>
        <w:jc w:val="center"/>
        <w:rPr>
          <w:rFonts w:ascii="宋体" w:hAnsi="宋体" w:cs="Arial"/>
          <w:b/>
          <w:sz w:val="24"/>
        </w:rPr>
      </w:pPr>
      <w:r>
        <w:rPr>
          <w:rFonts w:hint="eastAsia" w:ascii="宋体" w:hAnsi="宋体"/>
          <w:b/>
          <w:sz w:val="24"/>
          <w:lang w:eastAsia="zh-CN"/>
        </w:rPr>
        <w:t>三</w:t>
      </w:r>
      <w:r>
        <w:rPr>
          <w:rFonts w:hint="eastAsia" w:ascii="宋体" w:hAnsi="宋体"/>
          <w:b/>
          <w:sz w:val="24"/>
        </w:rPr>
        <w:t>、</w:t>
      </w:r>
      <w:r>
        <w:rPr>
          <w:rFonts w:hint="eastAsia" w:ascii="宋体" w:hAnsi="宋体" w:cs="宋体"/>
          <w:b/>
          <w:sz w:val="24"/>
        </w:rPr>
        <w:t>法定代表人或其授权代理人的授权证书及身份证明</w:t>
      </w:r>
    </w:p>
    <w:p>
      <w:pPr>
        <w:snapToGrid w:val="0"/>
        <w:spacing w:line="360" w:lineRule="auto"/>
        <w:ind w:firstLine="482" w:firstLineChars="200"/>
        <w:jc w:val="center"/>
        <w:rPr>
          <w:rFonts w:ascii="宋体" w:hAnsi="宋体" w:cs="Arial"/>
          <w:b/>
          <w:sz w:val="24"/>
        </w:rPr>
      </w:pPr>
    </w:p>
    <w:p>
      <w:pPr>
        <w:snapToGrid w:val="0"/>
        <w:spacing w:line="360" w:lineRule="auto"/>
        <w:ind w:firstLine="482" w:firstLineChars="200"/>
        <w:jc w:val="center"/>
        <w:rPr>
          <w:rFonts w:ascii="宋体" w:hAnsi="宋体"/>
          <w:b/>
          <w:sz w:val="24"/>
        </w:rPr>
      </w:pPr>
      <w:r>
        <w:rPr>
          <w:rFonts w:hint="eastAsia" w:ascii="宋体" w:hAnsi="宋体"/>
          <w:b/>
          <w:sz w:val="24"/>
        </w:rPr>
        <w:t>法定代表人有效身份证明书</w:t>
      </w:r>
    </w:p>
    <w:p>
      <w:pPr>
        <w:pStyle w:val="13"/>
        <w:spacing w:line="400" w:lineRule="exact"/>
        <w:ind w:firstLine="511" w:firstLineChars="156"/>
        <w:jc w:val="center"/>
        <w:rPr>
          <w:rFonts w:hAnsi="宋体"/>
          <w:bCs/>
          <w:spacing w:val="24"/>
          <w:sz w:val="28"/>
          <w:szCs w:val="28"/>
        </w:rPr>
      </w:pPr>
    </w:p>
    <w:p>
      <w:pPr>
        <w:pStyle w:val="13"/>
        <w:spacing w:line="400" w:lineRule="exact"/>
        <w:ind w:firstLine="449" w:firstLineChars="156"/>
        <w:jc w:val="center"/>
        <w:rPr>
          <w:rFonts w:hAnsi="宋体"/>
          <w:bCs/>
          <w:spacing w:val="24"/>
          <w:sz w:val="24"/>
          <w:szCs w:val="24"/>
        </w:rPr>
      </w:pPr>
    </w:p>
    <w:p>
      <w:pPr>
        <w:pStyle w:val="13"/>
        <w:spacing w:line="360" w:lineRule="auto"/>
        <w:ind w:left="0" w:leftChars="0" w:firstLine="420" w:firstLineChars="0"/>
        <w:rPr>
          <w:rFonts w:hAnsi="宋体"/>
          <w:sz w:val="24"/>
          <w:szCs w:val="24"/>
        </w:rPr>
      </w:pPr>
      <w:r>
        <w:rPr>
          <w:rFonts w:hint="eastAsia" w:hAnsi="宋体"/>
          <w:sz w:val="24"/>
          <w:szCs w:val="24"/>
          <w:u w:val="single"/>
          <w:lang w:val="en-US" w:eastAsia="zh-CN"/>
        </w:rPr>
        <w:t xml:space="preserve">            </w:t>
      </w:r>
      <w:r>
        <w:rPr>
          <w:rFonts w:hAnsi="宋体"/>
          <w:sz w:val="24"/>
          <w:szCs w:val="24"/>
          <w:u w:val="none"/>
        </w:rPr>
        <w:t>（姓名）</w:t>
      </w:r>
      <w:r>
        <w:rPr>
          <w:rFonts w:hAnsi="宋体"/>
          <w:sz w:val="24"/>
          <w:szCs w:val="24"/>
        </w:rPr>
        <w:t>是</w:t>
      </w:r>
      <w:r>
        <w:rPr>
          <w:rFonts w:hint="eastAsia" w:hAnsi="宋体"/>
          <w:sz w:val="24"/>
          <w:szCs w:val="24"/>
          <w:u w:val="single"/>
          <w:lang w:val="en-US" w:eastAsia="zh-CN"/>
        </w:rPr>
        <w:t xml:space="preserve">            </w:t>
      </w:r>
      <w:r>
        <w:rPr>
          <w:rFonts w:hAnsi="宋体"/>
          <w:sz w:val="24"/>
          <w:szCs w:val="24"/>
        </w:rPr>
        <w:t>（单位全称）的法定代表人，身份证号码为</w:t>
      </w:r>
      <w:r>
        <w:rPr>
          <w:rFonts w:hint="eastAsia" w:hAnsi="宋体"/>
          <w:sz w:val="24"/>
          <w:szCs w:val="24"/>
          <w:u w:val="single"/>
          <w:lang w:val="en-US" w:eastAsia="zh-CN"/>
        </w:rPr>
        <w:t xml:space="preserve">            </w:t>
      </w:r>
      <w:r>
        <w:rPr>
          <w:rFonts w:hAnsi="宋体"/>
          <w:sz w:val="24"/>
          <w:szCs w:val="24"/>
        </w:rPr>
        <w:t>。</w:t>
      </w:r>
    </w:p>
    <w:p>
      <w:pPr>
        <w:pStyle w:val="13"/>
        <w:spacing w:line="400" w:lineRule="exact"/>
        <w:ind w:firstLine="374" w:firstLineChars="156"/>
        <w:rPr>
          <w:rFonts w:hAnsi="宋体"/>
          <w:sz w:val="24"/>
          <w:szCs w:val="24"/>
        </w:rPr>
      </w:pPr>
    </w:p>
    <w:p>
      <w:pPr>
        <w:pStyle w:val="13"/>
        <w:spacing w:line="400" w:lineRule="exact"/>
        <w:ind w:firstLine="374" w:firstLineChars="156"/>
        <w:rPr>
          <w:rFonts w:hAnsi="宋体"/>
          <w:sz w:val="24"/>
          <w:szCs w:val="24"/>
        </w:rPr>
      </w:pPr>
    </w:p>
    <w:p>
      <w:pPr>
        <w:pStyle w:val="13"/>
        <w:spacing w:line="400" w:lineRule="exact"/>
        <w:ind w:firstLine="374" w:firstLineChars="156"/>
        <w:rPr>
          <w:rFonts w:hAnsi="宋体"/>
          <w:sz w:val="24"/>
          <w:szCs w:val="24"/>
        </w:rPr>
      </w:pPr>
      <w:r>
        <w:rPr>
          <w:rFonts w:hAnsi="宋体"/>
          <w:sz w:val="24"/>
          <w:szCs w:val="24"/>
        </w:rPr>
        <w:t xml:space="preserve">    特此证明</w:t>
      </w:r>
    </w:p>
    <w:p>
      <w:pPr>
        <w:pStyle w:val="13"/>
        <w:spacing w:line="400" w:lineRule="exact"/>
        <w:ind w:firstLine="374" w:firstLineChars="156"/>
        <w:rPr>
          <w:rFonts w:hAnsi="宋体"/>
          <w:sz w:val="24"/>
          <w:szCs w:val="24"/>
        </w:rPr>
      </w:pPr>
    </w:p>
    <w:p>
      <w:pPr>
        <w:pStyle w:val="13"/>
        <w:spacing w:line="400" w:lineRule="exact"/>
        <w:ind w:firstLine="374" w:firstLineChars="156"/>
        <w:rPr>
          <w:rFonts w:hAnsi="宋体"/>
          <w:sz w:val="24"/>
          <w:szCs w:val="24"/>
        </w:rPr>
      </w:pPr>
    </w:p>
    <w:p>
      <w:pPr>
        <w:pStyle w:val="13"/>
        <w:spacing w:line="400" w:lineRule="exact"/>
        <w:ind w:firstLine="374" w:firstLineChars="156"/>
        <w:rPr>
          <w:rFonts w:hAnsi="宋体"/>
          <w:sz w:val="24"/>
          <w:szCs w:val="24"/>
        </w:rPr>
      </w:pPr>
    </w:p>
    <w:p>
      <w:pPr>
        <w:pStyle w:val="13"/>
        <w:spacing w:line="400" w:lineRule="exact"/>
        <w:ind w:firstLine="374" w:firstLineChars="156"/>
        <w:rPr>
          <w:rFonts w:hAnsi="宋体"/>
          <w:sz w:val="24"/>
          <w:szCs w:val="24"/>
        </w:rPr>
      </w:pPr>
    </w:p>
    <w:p>
      <w:pPr>
        <w:pStyle w:val="13"/>
        <w:spacing w:line="400" w:lineRule="exact"/>
        <w:ind w:firstLine="374" w:firstLineChars="156"/>
        <w:rPr>
          <w:rFonts w:hAnsi="宋体"/>
          <w:sz w:val="24"/>
          <w:szCs w:val="24"/>
        </w:rPr>
      </w:pPr>
      <w:r>
        <w:rPr>
          <w:rFonts w:hAnsi="宋体"/>
          <w:sz w:val="24"/>
          <w:szCs w:val="24"/>
        </w:rPr>
        <w:t xml:space="preserve">                      投标供应商：（盖章）</w:t>
      </w:r>
    </w:p>
    <w:p>
      <w:pPr>
        <w:pStyle w:val="13"/>
        <w:spacing w:line="400" w:lineRule="exact"/>
        <w:ind w:firstLine="374" w:firstLineChars="156"/>
        <w:rPr>
          <w:rFonts w:hAnsi="宋体"/>
          <w:sz w:val="24"/>
          <w:szCs w:val="24"/>
        </w:rPr>
      </w:pPr>
    </w:p>
    <w:p>
      <w:pPr>
        <w:pStyle w:val="13"/>
        <w:spacing w:line="400" w:lineRule="exact"/>
        <w:ind w:firstLine="3012" w:firstLineChars="1255"/>
        <w:rPr>
          <w:rFonts w:hAnsi="宋体"/>
          <w:sz w:val="24"/>
          <w:szCs w:val="24"/>
        </w:rPr>
      </w:pPr>
      <w:r>
        <w:rPr>
          <w:rFonts w:hAnsi="宋体"/>
          <w:sz w:val="24"/>
          <w:szCs w:val="24"/>
        </w:rPr>
        <w:t>法定代表人或其授权代理人（</w:t>
      </w:r>
      <w:r>
        <w:rPr>
          <w:rFonts w:hint="eastAsia" w:hAnsi="宋体"/>
          <w:sz w:val="24"/>
          <w:szCs w:val="24"/>
          <w:lang w:eastAsia="zh-CN"/>
        </w:rPr>
        <w:t>签字或</w:t>
      </w:r>
      <w:r>
        <w:rPr>
          <w:rFonts w:hAnsi="宋体"/>
          <w:sz w:val="24"/>
          <w:szCs w:val="24"/>
        </w:rPr>
        <w:t>盖章）</w:t>
      </w:r>
    </w:p>
    <w:p>
      <w:pPr>
        <w:pStyle w:val="13"/>
        <w:spacing w:line="400" w:lineRule="exact"/>
        <w:ind w:firstLine="374" w:firstLineChars="156"/>
        <w:jc w:val="center"/>
        <w:rPr>
          <w:rFonts w:hAnsi="宋体"/>
          <w:sz w:val="24"/>
          <w:szCs w:val="24"/>
        </w:rPr>
      </w:pPr>
    </w:p>
    <w:p>
      <w:pPr>
        <w:pStyle w:val="13"/>
        <w:spacing w:line="400" w:lineRule="exact"/>
        <w:ind w:firstLine="374" w:firstLineChars="156"/>
        <w:rPr>
          <w:rFonts w:hAnsi="宋体"/>
          <w:sz w:val="24"/>
          <w:szCs w:val="24"/>
        </w:rPr>
      </w:pPr>
      <w:r>
        <w:rPr>
          <w:rFonts w:hAnsi="宋体"/>
          <w:sz w:val="24"/>
          <w:szCs w:val="24"/>
        </w:rPr>
        <w:t xml:space="preserve">    </w:t>
      </w:r>
      <w:r>
        <w:rPr>
          <w:rFonts w:hint="eastAsia" w:hAnsi="宋体"/>
          <w:sz w:val="24"/>
          <w:szCs w:val="24"/>
          <w:lang w:val="en-US" w:eastAsia="zh-CN"/>
        </w:rPr>
        <w:t xml:space="preserve">               </w:t>
      </w:r>
      <w:r>
        <w:rPr>
          <w:rFonts w:hAnsi="宋体"/>
          <w:sz w:val="24"/>
          <w:szCs w:val="24"/>
        </w:rPr>
        <w:t xml:space="preserve">    日期：    年   月   日</w:t>
      </w:r>
    </w:p>
    <w:p>
      <w:pPr>
        <w:pStyle w:val="13"/>
        <w:spacing w:line="400" w:lineRule="exact"/>
        <w:ind w:firstLine="374" w:firstLineChars="156"/>
        <w:jc w:val="center"/>
        <w:rPr>
          <w:rFonts w:hAnsi="宋体"/>
          <w:sz w:val="24"/>
          <w:szCs w:val="24"/>
        </w:rPr>
      </w:pPr>
    </w:p>
    <w:p>
      <w:pPr>
        <w:pStyle w:val="13"/>
        <w:spacing w:line="400" w:lineRule="exact"/>
        <w:ind w:firstLine="0"/>
        <w:rPr>
          <w:rFonts w:hAnsi="宋体"/>
          <w:sz w:val="24"/>
          <w:szCs w:val="24"/>
        </w:rPr>
      </w:pPr>
    </w:p>
    <w:p>
      <w:pPr>
        <w:pStyle w:val="13"/>
        <w:spacing w:line="400" w:lineRule="exact"/>
        <w:ind w:firstLine="374" w:firstLineChars="156"/>
        <w:rPr>
          <w:rFonts w:hAnsi="宋体"/>
          <w:sz w:val="24"/>
          <w:szCs w:val="24"/>
        </w:rPr>
      </w:pPr>
      <w:r>
        <w:rPr>
          <w:rFonts w:hAnsi="宋体"/>
          <w:sz w:val="24"/>
          <w:szCs w:val="24"/>
        </w:rPr>
        <w:t>—————————————————————————————————</w:t>
      </w:r>
    </w:p>
    <w:p>
      <w:pPr>
        <w:pStyle w:val="13"/>
        <w:spacing w:line="400" w:lineRule="exact"/>
        <w:ind w:firstLine="0"/>
        <w:rPr>
          <w:rFonts w:hAnsi="宋体"/>
          <w:sz w:val="24"/>
          <w:szCs w:val="24"/>
        </w:rPr>
      </w:pPr>
    </w:p>
    <w:p>
      <w:pPr>
        <w:pStyle w:val="13"/>
        <w:spacing w:line="400" w:lineRule="exact"/>
        <w:ind w:firstLine="374" w:firstLineChars="156"/>
        <w:jc w:val="center"/>
        <w:rPr>
          <w:rFonts w:hAnsi="宋体"/>
          <w:sz w:val="24"/>
          <w:szCs w:val="24"/>
        </w:rPr>
      </w:pPr>
      <w:r>
        <w:rPr>
          <w:rFonts w:hAnsi="宋体"/>
          <w:sz w:val="24"/>
          <w:szCs w:val="24"/>
        </w:rPr>
        <w:t>有效身份证明</w:t>
      </w:r>
    </w:p>
    <w:p>
      <w:pPr>
        <w:widowControl/>
        <w:tabs>
          <w:tab w:val="left" w:pos="801"/>
        </w:tabs>
        <w:spacing w:line="460" w:lineRule="exact"/>
        <w:rPr>
          <w:b/>
          <w:sz w:val="24"/>
        </w:rPr>
      </w:pPr>
    </w:p>
    <w:p>
      <w:pPr>
        <w:pStyle w:val="13"/>
        <w:ind w:firstLine="0"/>
        <w:rPr>
          <w:b/>
          <w:sz w:val="24"/>
        </w:rPr>
      </w:pPr>
    </w:p>
    <w:p>
      <w:pPr>
        <w:pStyle w:val="13"/>
        <w:rPr>
          <w:b/>
          <w:sz w:val="24"/>
        </w:rPr>
      </w:pPr>
    </w:p>
    <w:p>
      <w:pPr>
        <w:pStyle w:val="13"/>
        <w:ind w:firstLine="0"/>
        <w:rPr>
          <w:b/>
          <w:sz w:val="24"/>
        </w:rPr>
      </w:pPr>
    </w:p>
    <w:p>
      <w:pPr>
        <w:pStyle w:val="13"/>
        <w:ind w:firstLine="0"/>
        <w:rPr>
          <w:b/>
          <w:sz w:val="24"/>
        </w:rPr>
      </w:pPr>
    </w:p>
    <w:p>
      <w:pPr>
        <w:pStyle w:val="13"/>
        <w:ind w:firstLine="0"/>
        <w:rPr>
          <w:b/>
          <w:sz w:val="24"/>
        </w:rPr>
      </w:pPr>
    </w:p>
    <w:p>
      <w:pPr>
        <w:pStyle w:val="13"/>
        <w:ind w:firstLine="0"/>
        <w:rPr>
          <w:b/>
          <w:sz w:val="24"/>
        </w:rPr>
      </w:pPr>
    </w:p>
    <w:p>
      <w:pPr>
        <w:pStyle w:val="13"/>
        <w:ind w:firstLine="0"/>
        <w:rPr>
          <w:b/>
          <w:sz w:val="24"/>
        </w:rPr>
      </w:pPr>
    </w:p>
    <w:p>
      <w:pPr>
        <w:pStyle w:val="13"/>
        <w:ind w:firstLine="0"/>
        <w:rPr>
          <w:b/>
          <w:sz w:val="24"/>
        </w:rPr>
      </w:pPr>
    </w:p>
    <w:p>
      <w:pPr>
        <w:pStyle w:val="13"/>
        <w:ind w:firstLine="0"/>
        <w:rPr>
          <w:b/>
          <w:sz w:val="24"/>
        </w:rPr>
      </w:pPr>
    </w:p>
    <w:p>
      <w:pPr>
        <w:widowControl/>
        <w:tabs>
          <w:tab w:val="left" w:pos="801"/>
        </w:tabs>
        <w:spacing w:line="460" w:lineRule="exact"/>
        <w:ind w:firstLine="482" w:firstLineChars="200"/>
        <w:jc w:val="center"/>
        <w:rPr>
          <w:b/>
          <w:sz w:val="24"/>
        </w:rPr>
      </w:pPr>
    </w:p>
    <w:p>
      <w:pPr>
        <w:pStyle w:val="21"/>
        <w:ind w:left="0" w:leftChars="0" w:firstLine="0" w:firstLineChars="0"/>
        <w:rPr>
          <w:b/>
          <w:sz w:val="24"/>
        </w:rPr>
      </w:pPr>
    </w:p>
    <w:p>
      <w:pPr>
        <w:pStyle w:val="22"/>
      </w:pPr>
    </w:p>
    <w:p>
      <w:pPr>
        <w:widowControl/>
        <w:tabs>
          <w:tab w:val="left" w:pos="801"/>
        </w:tabs>
        <w:spacing w:line="460" w:lineRule="exact"/>
        <w:ind w:firstLine="482" w:firstLineChars="200"/>
        <w:jc w:val="center"/>
        <w:rPr>
          <w:rFonts w:ascii="宋体" w:hAnsi="宋体" w:cs="Arial"/>
          <w:b/>
          <w:color w:val="000000"/>
          <w:sz w:val="24"/>
        </w:rPr>
      </w:pPr>
      <w:r>
        <w:rPr>
          <w:rFonts w:hint="eastAsia"/>
          <w:b/>
          <w:sz w:val="24"/>
        </w:rPr>
        <w:t>法定代表人授权书及授权人身份证</w:t>
      </w:r>
    </w:p>
    <w:p>
      <w:pPr>
        <w:snapToGrid w:val="0"/>
        <w:spacing w:beforeLines="50" w:after="50"/>
        <w:rPr>
          <w:rFonts w:ascii="宋体" w:hAnsi="宋体"/>
          <w:bCs/>
          <w:sz w:val="24"/>
        </w:rPr>
      </w:pPr>
    </w:p>
    <w:p>
      <w:pPr>
        <w:snapToGrid w:val="0"/>
        <w:spacing w:beforeLines="50" w:after="50" w:line="360" w:lineRule="auto"/>
        <w:rPr>
          <w:rFonts w:ascii="宋体" w:hAnsi="宋体"/>
          <w:b/>
          <w:bCs/>
          <w:sz w:val="24"/>
          <w:szCs w:val="20"/>
        </w:rPr>
      </w:pPr>
      <w:r>
        <w:rPr>
          <w:rFonts w:hint="eastAsia" w:ascii="宋体" w:hAnsi="宋体"/>
          <w:bCs/>
          <w:sz w:val="24"/>
        </w:rPr>
        <w:t>致：</w:t>
      </w:r>
      <w:r>
        <w:rPr>
          <w:rFonts w:hint="eastAsia" w:ascii="宋体" w:hAnsi="宋体"/>
          <w:bCs/>
          <w:sz w:val="24"/>
          <w:u w:val="single"/>
        </w:rPr>
        <w:t xml:space="preserve">            </w:t>
      </w:r>
      <w:r>
        <w:rPr>
          <w:rFonts w:hint="eastAsia" w:ascii="宋体" w:hAnsi="宋体"/>
          <w:sz w:val="24"/>
        </w:rPr>
        <w:t>（采购人名称）</w:t>
      </w:r>
      <w:r>
        <w:rPr>
          <w:rFonts w:ascii="宋体" w:hAnsi="宋体"/>
          <w:b/>
          <w:bCs/>
          <w:sz w:val="24"/>
        </w:rPr>
        <w:t xml:space="preserve"> </w:t>
      </w:r>
      <w:r>
        <w:rPr>
          <w:rFonts w:hint="eastAsia" w:ascii="宋体" w:hAnsi="宋体"/>
          <w:sz w:val="24"/>
        </w:rPr>
        <w:t>：</w:t>
      </w:r>
    </w:p>
    <w:p>
      <w:pPr>
        <w:snapToGrid w:val="0"/>
        <w:spacing w:beforeLines="50" w:after="50" w:line="360" w:lineRule="auto"/>
        <w:ind w:firstLine="720" w:firstLineChars="300"/>
        <w:rPr>
          <w:rFonts w:ascii="宋体" w:hAnsi="宋体"/>
          <w:sz w:val="24"/>
          <w:szCs w:val="20"/>
        </w:rPr>
      </w:pPr>
      <w:r>
        <w:rPr>
          <w:rFonts w:hint="eastAsia" w:ascii="宋体" w:hAnsi="宋体"/>
          <w:sz w:val="24"/>
        </w:rPr>
        <w:t>我</w:t>
      </w:r>
      <w:r>
        <w:rPr>
          <w:rFonts w:hint="eastAsia" w:ascii="宋体" w:hAnsi="宋体"/>
          <w:bCs/>
          <w:sz w:val="24"/>
          <w:u w:val="single"/>
        </w:rPr>
        <w:t xml:space="preserve">            </w:t>
      </w:r>
      <w:r>
        <w:rPr>
          <w:rFonts w:hint="eastAsia" w:ascii="宋体" w:hAnsi="宋体"/>
          <w:sz w:val="24"/>
        </w:rPr>
        <w:t>（姓名）系</w:t>
      </w:r>
      <w:r>
        <w:rPr>
          <w:rFonts w:hint="eastAsia" w:ascii="宋体" w:hAnsi="宋体"/>
          <w:bCs/>
          <w:sz w:val="24"/>
        </w:rPr>
        <w:t>：</w:t>
      </w:r>
      <w:r>
        <w:rPr>
          <w:rFonts w:hint="eastAsia" w:ascii="宋体" w:hAnsi="宋体"/>
          <w:bCs/>
          <w:sz w:val="24"/>
          <w:u w:val="single"/>
        </w:rPr>
        <w:t xml:space="preserve">            </w:t>
      </w:r>
      <w:r>
        <w:rPr>
          <w:rFonts w:hint="eastAsia" w:ascii="宋体" w:hAnsi="宋体"/>
          <w:sz w:val="24"/>
        </w:rPr>
        <w:t>（投标供应商名称）的法定代表人，现授权委托本单位在职职工</w:t>
      </w:r>
      <w:r>
        <w:rPr>
          <w:rFonts w:ascii="宋体" w:hAnsi="宋体"/>
          <w:sz w:val="24"/>
        </w:rPr>
        <w:t xml:space="preserve"> </w:t>
      </w:r>
      <w:r>
        <w:rPr>
          <w:rFonts w:ascii="宋体" w:hAnsi="宋体"/>
          <w:sz w:val="24"/>
          <w:u w:val="single"/>
        </w:rPr>
        <w:t xml:space="preserve">              </w:t>
      </w:r>
      <w:r>
        <w:rPr>
          <w:rFonts w:hint="eastAsia" w:ascii="宋体" w:hAnsi="宋体"/>
          <w:sz w:val="24"/>
        </w:rPr>
        <w:t>（姓名）以我方的名义参加</w:t>
      </w:r>
      <w:r>
        <w:rPr>
          <w:rFonts w:hint="eastAsia" w:ascii="宋体" w:hAnsi="宋体"/>
          <w:sz w:val="24"/>
          <w:u w:val="single"/>
          <w:lang w:eastAsia="zh-CN"/>
        </w:rPr>
        <w:t>湖州市吴兴区织里镇街区立面整治服务采购项目</w:t>
      </w:r>
      <w:r>
        <w:rPr>
          <w:rFonts w:hint="eastAsia" w:ascii="宋体" w:hAnsi="宋体"/>
          <w:sz w:val="24"/>
        </w:rPr>
        <w:t>的投标活动，并代表我方全权办理针对上述项目的投标、开标、评标、签约等具体事务和签署相关文件。</w:t>
      </w:r>
    </w:p>
    <w:p>
      <w:pPr>
        <w:snapToGrid w:val="0"/>
        <w:spacing w:beforeLines="50" w:after="50" w:line="360" w:lineRule="auto"/>
        <w:rPr>
          <w:rFonts w:ascii="宋体" w:hAnsi="宋体"/>
          <w:sz w:val="24"/>
          <w:szCs w:val="20"/>
        </w:rPr>
      </w:pPr>
      <w:r>
        <w:rPr>
          <w:rFonts w:ascii="宋体" w:hAnsi="宋体"/>
          <w:sz w:val="24"/>
        </w:rPr>
        <w:t xml:space="preserve">    </w:t>
      </w:r>
      <w:r>
        <w:rPr>
          <w:rFonts w:hint="eastAsia" w:ascii="宋体" w:hAnsi="宋体"/>
          <w:sz w:val="24"/>
        </w:rPr>
        <w:t>我方对被授权人的签名事项负全部责任。</w:t>
      </w:r>
    </w:p>
    <w:p>
      <w:pPr>
        <w:snapToGrid w:val="0"/>
        <w:spacing w:beforeLines="50" w:after="50" w:line="360" w:lineRule="auto"/>
        <w:ind w:firstLine="480"/>
        <w:rPr>
          <w:rFonts w:ascii="宋体" w:hAnsi="宋体"/>
          <w:sz w:val="24"/>
          <w:szCs w:val="20"/>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beforeLines="50" w:after="50" w:line="360" w:lineRule="auto"/>
        <w:ind w:firstLine="480"/>
        <w:rPr>
          <w:rFonts w:ascii="宋体" w:hAnsi="宋体"/>
          <w:sz w:val="24"/>
          <w:szCs w:val="20"/>
        </w:rPr>
      </w:pPr>
      <w:r>
        <w:rPr>
          <w:rFonts w:hint="eastAsia" w:ascii="宋体" w:hAnsi="宋体"/>
          <w:sz w:val="24"/>
        </w:rPr>
        <w:t>被授权人无转委托权，特此委托。</w:t>
      </w:r>
    </w:p>
    <w:p>
      <w:pPr>
        <w:snapToGrid w:val="0"/>
        <w:spacing w:beforeLines="50" w:after="50" w:line="360" w:lineRule="auto"/>
        <w:rPr>
          <w:rFonts w:ascii="宋体" w:hAnsi="宋体"/>
          <w:sz w:val="24"/>
          <w:szCs w:val="20"/>
        </w:rPr>
      </w:pPr>
    </w:p>
    <w:p>
      <w:pPr>
        <w:snapToGrid w:val="0"/>
        <w:spacing w:beforeLines="50" w:after="50" w:line="360" w:lineRule="auto"/>
        <w:rPr>
          <w:rFonts w:ascii="宋体" w:hAnsi="宋体"/>
          <w:sz w:val="24"/>
          <w:szCs w:val="20"/>
          <w:u w:val="single"/>
        </w:rPr>
      </w:pPr>
      <w:r>
        <w:rPr>
          <w:rFonts w:hint="eastAsia" w:ascii="宋体" w:hAnsi="宋体"/>
          <w:sz w:val="24"/>
        </w:rPr>
        <w:t>被授权人签名：</w:t>
      </w:r>
      <w:r>
        <w:rPr>
          <w:rFonts w:ascii="宋体" w:hAnsi="宋体"/>
          <w:sz w:val="24"/>
          <w:u w:val="single"/>
        </w:rPr>
        <w:t xml:space="preserve">          </w:t>
      </w:r>
      <w:r>
        <w:rPr>
          <w:rFonts w:ascii="宋体" w:hAnsi="宋体"/>
          <w:sz w:val="24"/>
        </w:rPr>
        <w:t xml:space="preserve">                 </w:t>
      </w:r>
      <w:r>
        <w:rPr>
          <w:rFonts w:hint="eastAsia" w:ascii="宋体" w:hAnsi="宋体"/>
          <w:sz w:val="24"/>
        </w:rPr>
        <w:t>法定代表人盖章：</w:t>
      </w:r>
      <w:r>
        <w:rPr>
          <w:rFonts w:ascii="宋体" w:hAnsi="宋体"/>
          <w:sz w:val="24"/>
          <w:u w:val="single"/>
        </w:rPr>
        <w:t xml:space="preserve">                    </w:t>
      </w:r>
    </w:p>
    <w:p>
      <w:pPr>
        <w:snapToGrid w:val="0"/>
        <w:spacing w:beforeLines="50" w:after="50" w:line="360" w:lineRule="auto"/>
        <w:ind w:firstLine="960" w:firstLineChars="400"/>
        <w:rPr>
          <w:rFonts w:ascii="宋体" w:hAnsi="宋体"/>
          <w:sz w:val="24"/>
          <w:szCs w:val="20"/>
        </w:rPr>
      </w:pPr>
      <w:r>
        <w:rPr>
          <w:rFonts w:hint="eastAsia" w:ascii="宋体" w:hAnsi="宋体"/>
          <w:sz w:val="24"/>
        </w:rPr>
        <w:t>职务：</w:t>
      </w:r>
      <w:r>
        <w:rPr>
          <w:rFonts w:ascii="宋体" w:hAnsi="宋体"/>
          <w:sz w:val="24"/>
          <w:u w:val="single"/>
        </w:rPr>
        <w:t xml:space="preserve">           </w:t>
      </w:r>
      <w:r>
        <w:rPr>
          <w:rFonts w:ascii="宋体" w:hAnsi="宋体"/>
          <w:sz w:val="24"/>
        </w:rPr>
        <w:t xml:space="preserve">                          </w:t>
      </w:r>
      <w:r>
        <w:rPr>
          <w:rFonts w:hint="eastAsia" w:ascii="宋体" w:hAnsi="宋体"/>
          <w:sz w:val="24"/>
        </w:rPr>
        <w:t>职务：</w:t>
      </w:r>
      <w:r>
        <w:rPr>
          <w:rFonts w:ascii="宋体" w:hAnsi="宋体"/>
          <w:sz w:val="24"/>
          <w:u w:val="single"/>
        </w:rPr>
        <w:t xml:space="preserve">           </w:t>
      </w:r>
    </w:p>
    <w:p>
      <w:pPr>
        <w:snapToGrid w:val="0"/>
        <w:spacing w:beforeLines="50" w:after="50" w:line="360" w:lineRule="auto"/>
        <w:rPr>
          <w:rFonts w:ascii="宋体" w:hAnsi="宋体"/>
          <w:sz w:val="24"/>
          <w:szCs w:val="20"/>
        </w:rPr>
      </w:pPr>
      <w:r>
        <w:rPr>
          <w:rFonts w:hint="eastAsia" w:ascii="宋体" w:hAnsi="宋体"/>
          <w:sz w:val="24"/>
        </w:rPr>
        <w:t>被授权人身份证号码：</w:t>
      </w:r>
      <w:r>
        <w:rPr>
          <w:rFonts w:ascii="宋体" w:hAnsi="宋体"/>
          <w:sz w:val="24"/>
          <w:u w:val="single"/>
        </w:rPr>
        <w:t xml:space="preserve">                             </w:t>
      </w:r>
      <w:r>
        <w:rPr>
          <w:rFonts w:ascii="宋体" w:hAnsi="宋体"/>
          <w:sz w:val="24"/>
        </w:rPr>
        <w:t xml:space="preserve"> </w:t>
      </w:r>
    </w:p>
    <w:p>
      <w:pPr>
        <w:snapToGrid w:val="0"/>
        <w:spacing w:beforeLines="50" w:after="50" w:line="360" w:lineRule="auto"/>
        <w:rPr>
          <w:rFonts w:ascii="宋体" w:hAnsi="宋体"/>
          <w:sz w:val="24"/>
        </w:rPr>
      </w:pPr>
      <w:r>
        <w:rPr>
          <w:rFonts w:ascii="宋体" w:hAnsi="宋体"/>
          <w:sz w:val="24"/>
        </w:rPr>
        <w:t xml:space="preserve">                                     </w:t>
      </w:r>
      <w:r>
        <w:rPr>
          <w:rFonts w:hint="eastAsia" w:ascii="宋体" w:hAnsi="宋体"/>
          <w:sz w:val="24"/>
        </w:rPr>
        <w:t>投标供应商公章：</w:t>
      </w:r>
    </w:p>
    <w:p>
      <w:pPr>
        <w:pStyle w:val="13"/>
        <w:spacing w:line="360" w:lineRule="auto"/>
        <w:ind w:firstLine="374" w:firstLineChars="156"/>
        <w:jc w:val="center"/>
        <w:rPr>
          <w:rFonts w:hAnsi="宋体"/>
          <w:sz w:val="24"/>
          <w:szCs w:val="24"/>
        </w:rPr>
      </w:pPr>
      <w:r>
        <w:rPr>
          <w:rFonts w:hAnsi="宋体"/>
          <w:sz w:val="24"/>
          <w:szCs w:val="24"/>
        </w:rPr>
        <w:t>————————————————————</w:t>
      </w:r>
    </w:p>
    <w:p>
      <w:pPr>
        <w:pStyle w:val="13"/>
        <w:spacing w:line="360" w:lineRule="auto"/>
        <w:ind w:firstLine="374" w:firstLineChars="156"/>
        <w:jc w:val="center"/>
        <w:rPr>
          <w:rFonts w:hAnsi="宋体"/>
          <w:sz w:val="24"/>
          <w:szCs w:val="24"/>
        </w:rPr>
      </w:pPr>
    </w:p>
    <w:p>
      <w:pPr>
        <w:pStyle w:val="13"/>
        <w:spacing w:line="360" w:lineRule="auto"/>
        <w:ind w:firstLine="374" w:firstLineChars="156"/>
        <w:jc w:val="center"/>
        <w:rPr>
          <w:rFonts w:hAnsi="宋体"/>
          <w:sz w:val="24"/>
          <w:szCs w:val="24"/>
        </w:rPr>
      </w:pPr>
      <w:r>
        <w:rPr>
          <w:rFonts w:hAnsi="宋体"/>
          <w:sz w:val="24"/>
          <w:szCs w:val="24"/>
        </w:rPr>
        <w:t>授权代理人有效身份证明</w:t>
      </w: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line="360" w:lineRule="auto"/>
        <w:ind w:firstLine="482" w:firstLineChars="200"/>
        <w:jc w:val="center"/>
        <w:rPr>
          <w:rFonts w:ascii="宋体" w:hAnsi="宋体"/>
          <w:b/>
          <w:sz w:val="24"/>
        </w:rPr>
      </w:pPr>
    </w:p>
    <w:p>
      <w:pPr>
        <w:pStyle w:val="13"/>
        <w:rPr>
          <w:rFonts w:ascii="宋体" w:hAnsi="宋体" w:cs="宋体"/>
          <w:b/>
          <w:sz w:val="24"/>
        </w:rPr>
      </w:pPr>
    </w:p>
    <w:p>
      <w:pPr>
        <w:pStyle w:val="13"/>
        <w:rPr>
          <w:rFonts w:ascii="宋体" w:hAnsi="宋体" w:cs="宋体"/>
          <w:b/>
          <w:sz w:val="24"/>
        </w:rPr>
      </w:pPr>
    </w:p>
    <w:p>
      <w:pPr>
        <w:pStyle w:val="13"/>
        <w:rPr>
          <w:rFonts w:ascii="宋体" w:hAnsi="宋体" w:cs="宋体"/>
          <w:b/>
          <w:sz w:val="24"/>
        </w:rPr>
      </w:pPr>
    </w:p>
    <w:p>
      <w:pPr>
        <w:pStyle w:val="13"/>
        <w:rPr>
          <w:rFonts w:ascii="宋体" w:hAnsi="宋体" w:cs="宋体"/>
          <w:b/>
          <w:sz w:val="24"/>
        </w:rPr>
      </w:pPr>
    </w:p>
    <w:p>
      <w:pPr>
        <w:pStyle w:val="13"/>
        <w:rPr>
          <w:rFonts w:ascii="宋体" w:hAnsi="宋体" w:cs="宋体"/>
          <w:b/>
          <w:sz w:val="24"/>
        </w:rPr>
      </w:pPr>
    </w:p>
    <w:p>
      <w:pPr>
        <w:pStyle w:val="13"/>
        <w:rPr>
          <w:rFonts w:ascii="宋体" w:hAnsi="宋体" w:cs="宋体"/>
          <w:b/>
          <w:sz w:val="24"/>
        </w:rPr>
      </w:pPr>
    </w:p>
    <w:p>
      <w:pPr>
        <w:pStyle w:val="13"/>
        <w:rPr>
          <w:rFonts w:ascii="宋体" w:hAnsi="宋体" w:cs="宋体"/>
          <w:b/>
          <w:sz w:val="24"/>
        </w:rPr>
      </w:pPr>
    </w:p>
    <w:p>
      <w:pPr>
        <w:pStyle w:val="13"/>
        <w:ind w:firstLine="0"/>
        <w:rPr>
          <w:rFonts w:ascii="宋体" w:hAnsi="宋体" w:cs="宋体"/>
          <w:b/>
          <w:sz w:val="24"/>
        </w:rPr>
      </w:pPr>
    </w:p>
    <w:p>
      <w:pPr>
        <w:pStyle w:val="13"/>
        <w:rPr>
          <w:rFonts w:ascii="宋体" w:hAnsi="宋体" w:cs="宋体"/>
          <w:b/>
          <w:sz w:val="24"/>
        </w:rPr>
      </w:pPr>
    </w:p>
    <w:p>
      <w:pPr>
        <w:snapToGrid w:val="0"/>
        <w:spacing w:line="360" w:lineRule="auto"/>
        <w:jc w:val="center"/>
        <w:rPr>
          <w:rFonts w:ascii="宋体" w:hAnsi="宋体" w:cs="宋体"/>
          <w:b/>
          <w:bCs/>
          <w:kern w:val="0"/>
          <w:sz w:val="24"/>
        </w:rPr>
      </w:pPr>
      <w:r>
        <w:rPr>
          <w:rFonts w:hint="eastAsia" w:hAnsi="宋体" w:cs="Arial"/>
          <w:b/>
          <w:bCs/>
          <w:sz w:val="24"/>
          <w:lang w:eastAsia="zh-CN"/>
        </w:rPr>
        <w:t>四</w:t>
      </w:r>
      <w:r>
        <w:rPr>
          <w:rFonts w:hint="eastAsia" w:hAnsi="宋体" w:cs="Arial"/>
          <w:b/>
          <w:bCs/>
          <w:sz w:val="24"/>
        </w:rPr>
        <w:t>、</w:t>
      </w:r>
      <w:r>
        <w:rPr>
          <w:rFonts w:hint="eastAsia" w:ascii="宋体" w:hAnsi="宋体" w:cs="宋体"/>
          <w:b/>
          <w:bCs/>
          <w:sz w:val="24"/>
        </w:rPr>
        <w:t>授权代理人提供近三个月中任意一个月的社保证明</w:t>
      </w:r>
    </w:p>
    <w:p>
      <w:pPr>
        <w:pStyle w:val="27"/>
        <w:spacing w:line="360" w:lineRule="auto"/>
        <w:ind w:firstLine="480" w:firstLineChars="200"/>
        <w:rPr>
          <w:rFonts w:hAnsi="宋体"/>
          <w:sz w:val="24"/>
        </w:rPr>
      </w:pPr>
    </w:p>
    <w:p>
      <w:pPr>
        <w:pStyle w:val="27"/>
        <w:spacing w:line="360" w:lineRule="auto"/>
        <w:rPr>
          <w:rFonts w:hAnsi="宋体"/>
          <w:sz w:val="24"/>
        </w:rPr>
      </w:pPr>
    </w:p>
    <w:p>
      <w:pPr>
        <w:pStyle w:val="27"/>
        <w:spacing w:line="360" w:lineRule="auto"/>
        <w:rPr>
          <w:rFonts w:hAnsi="宋体"/>
          <w:sz w:val="24"/>
        </w:rPr>
      </w:pPr>
    </w:p>
    <w:p>
      <w:pPr>
        <w:pStyle w:val="27"/>
        <w:spacing w:line="360" w:lineRule="auto"/>
        <w:rPr>
          <w:rFonts w:hAnsi="宋体"/>
          <w:sz w:val="24"/>
        </w:rPr>
      </w:pPr>
    </w:p>
    <w:p>
      <w:pPr>
        <w:pStyle w:val="27"/>
        <w:spacing w:line="360" w:lineRule="auto"/>
        <w:rPr>
          <w:rFonts w:hAnsi="宋体"/>
          <w:sz w:val="24"/>
        </w:rPr>
      </w:pPr>
    </w:p>
    <w:p>
      <w:pPr>
        <w:pStyle w:val="27"/>
        <w:spacing w:line="360" w:lineRule="auto"/>
        <w:rPr>
          <w:rFonts w:hAnsi="宋体"/>
          <w:sz w:val="24"/>
        </w:rPr>
      </w:pPr>
    </w:p>
    <w:p>
      <w:pPr>
        <w:pStyle w:val="27"/>
        <w:spacing w:line="360" w:lineRule="auto"/>
        <w:jc w:val="center"/>
        <w:rPr>
          <w:rFonts w:hAnsi="宋体"/>
          <w:b/>
          <w:bCs/>
          <w:sz w:val="24"/>
        </w:rPr>
      </w:pPr>
      <w:r>
        <w:rPr>
          <w:rFonts w:hint="eastAsia" w:hAnsi="宋体"/>
          <w:b/>
          <w:bCs/>
          <w:sz w:val="24"/>
          <w:lang w:eastAsia="zh-CN"/>
        </w:rPr>
        <w:t>五</w:t>
      </w:r>
      <w:r>
        <w:rPr>
          <w:rFonts w:hint="eastAsia" w:hAnsi="宋体"/>
          <w:b/>
          <w:bCs/>
          <w:sz w:val="24"/>
        </w:rPr>
        <w:t>、最近一个季度依法缴纳税收和社保费的证明</w:t>
      </w:r>
      <w:r>
        <w:rPr>
          <w:rFonts w:hint="eastAsia" w:hAnsi="宋体"/>
          <w:b/>
          <w:bCs/>
          <w:sz w:val="24"/>
          <w:lang w:eastAsia="zh-CN"/>
        </w:rPr>
        <w:t>（</w:t>
      </w:r>
      <w:r>
        <w:rPr>
          <w:rFonts w:hint="eastAsia" w:hAnsi="宋体"/>
          <w:b/>
          <w:bCs/>
          <w:sz w:val="24"/>
        </w:rPr>
        <w:t>税费凭证复印件，或者依法缴纳税费或依法免缴税费的证明</w:t>
      </w:r>
      <w:r>
        <w:rPr>
          <w:rFonts w:hint="eastAsia" w:hAnsi="宋体"/>
          <w:b/>
          <w:bCs/>
          <w:sz w:val="24"/>
          <w:lang w:eastAsia="zh-CN"/>
        </w:rPr>
        <w:t>）</w:t>
      </w:r>
    </w:p>
    <w:p>
      <w:pPr>
        <w:snapToGrid w:val="0"/>
        <w:spacing w:line="360" w:lineRule="auto"/>
        <w:ind w:firstLine="480" w:firstLineChars="200"/>
        <w:rPr>
          <w:rFonts w:hAnsi="宋体"/>
          <w:sz w:val="24"/>
        </w:rPr>
      </w:pPr>
    </w:p>
    <w:p>
      <w:pPr>
        <w:snapToGrid w:val="0"/>
        <w:spacing w:line="360" w:lineRule="auto"/>
        <w:ind w:firstLine="480" w:firstLineChars="200"/>
        <w:rPr>
          <w:rFonts w:hAnsi="宋体"/>
          <w:sz w:val="24"/>
        </w:rPr>
      </w:pPr>
    </w:p>
    <w:p>
      <w:pPr>
        <w:pStyle w:val="19"/>
        <w:rPr>
          <w:rFonts w:hAnsi="宋体"/>
          <w:sz w:val="24"/>
        </w:rPr>
      </w:pPr>
    </w:p>
    <w:p>
      <w:pPr>
        <w:pStyle w:val="20"/>
        <w:rPr>
          <w:rFonts w:hAnsi="宋体"/>
          <w:sz w:val="24"/>
        </w:rPr>
      </w:pPr>
    </w:p>
    <w:p>
      <w:pPr>
        <w:rPr>
          <w:rFonts w:hAnsi="宋体"/>
          <w:sz w:val="24"/>
        </w:rPr>
      </w:pPr>
    </w:p>
    <w:p>
      <w:pPr>
        <w:pStyle w:val="19"/>
        <w:rPr>
          <w:rFonts w:hAnsi="宋体"/>
          <w:sz w:val="24"/>
        </w:rPr>
      </w:pPr>
    </w:p>
    <w:p>
      <w:pPr>
        <w:pStyle w:val="20"/>
      </w:pPr>
    </w:p>
    <w:p>
      <w:pPr>
        <w:snapToGrid w:val="0"/>
        <w:spacing w:line="360" w:lineRule="auto"/>
        <w:jc w:val="center"/>
        <w:rPr>
          <w:rFonts w:ascii="宋体" w:hAnsi="宋体" w:cs="宋体"/>
          <w:b/>
          <w:bCs/>
          <w:kern w:val="0"/>
          <w:sz w:val="24"/>
        </w:rPr>
      </w:pPr>
      <w:r>
        <w:rPr>
          <w:rFonts w:hint="eastAsia" w:hAnsi="宋体"/>
          <w:b/>
          <w:bCs/>
          <w:sz w:val="24"/>
          <w:lang w:eastAsia="zh-CN"/>
        </w:rPr>
        <w:t>六</w:t>
      </w:r>
      <w:r>
        <w:rPr>
          <w:rFonts w:hint="eastAsia" w:hAnsi="宋体"/>
          <w:b/>
          <w:bCs/>
          <w:sz w:val="24"/>
        </w:rPr>
        <w:t>、</w:t>
      </w:r>
      <w:r>
        <w:rPr>
          <w:rFonts w:hint="eastAsia"/>
          <w:b/>
          <w:bCs/>
          <w:sz w:val="24"/>
        </w:rPr>
        <w:t>提供自招标公告发布之日起至投标截止日前任意时间的“信用中国”网站（www.creditchina.gov.cn）、</w:t>
      </w:r>
      <w:r>
        <w:rPr>
          <w:rFonts w:hint="eastAsia"/>
          <w:b/>
          <w:bCs/>
          <w:sz w:val="24"/>
          <w:lang w:eastAsia="zh-CN"/>
        </w:rPr>
        <w:t>“</w:t>
      </w:r>
      <w:r>
        <w:rPr>
          <w:rFonts w:hint="eastAsia"/>
          <w:b/>
          <w:bCs/>
          <w:sz w:val="24"/>
        </w:rPr>
        <w:t>中国政府采购网</w:t>
      </w:r>
      <w:r>
        <w:rPr>
          <w:rFonts w:hint="eastAsia"/>
          <w:b/>
          <w:bCs/>
          <w:sz w:val="24"/>
          <w:lang w:eastAsia="zh-CN"/>
        </w:rPr>
        <w:t>”</w:t>
      </w:r>
      <w:r>
        <w:rPr>
          <w:rFonts w:hint="eastAsia"/>
          <w:b/>
          <w:bCs/>
          <w:sz w:val="24"/>
        </w:rPr>
        <w:t>（www.ccgp.gov.cn）供应商信用查询网页截图。（以开标当日采购人或由采购人委托的评标委员会核实的查询结果为准）</w:t>
      </w:r>
    </w:p>
    <w:p>
      <w:pPr>
        <w:snapToGrid w:val="0"/>
        <w:spacing w:line="360" w:lineRule="auto"/>
        <w:ind w:firstLine="482" w:firstLineChars="200"/>
        <w:jc w:val="center"/>
        <w:rPr>
          <w:rFonts w:ascii="宋体" w:hAnsi="宋体"/>
          <w:b/>
          <w:sz w:val="24"/>
        </w:rPr>
      </w:pPr>
    </w:p>
    <w:p>
      <w:pPr>
        <w:snapToGrid w:val="0"/>
        <w:spacing w:line="360" w:lineRule="auto"/>
        <w:ind w:firstLine="482" w:firstLineChars="200"/>
        <w:jc w:val="center"/>
        <w:rPr>
          <w:rFonts w:ascii="宋体" w:hAnsi="宋体"/>
          <w:b/>
          <w:sz w:val="24"/>
        </w:rPr>
      </w:pPr>
    </w:p>
    <w:p>
      <w:pPr>
        <w:pStyle w:val="21"/>
      </w:pPr>
    </w:p>
    <w:p>
      <w:pPr>
        <w:widowControl/>
        <w:jc w:val="center"/>
        <w:rPr>
          <w:rFonts w:ascii="宋体" w:hAnsi="宋体" w:cs="宋体"/>
          <w:b/>
          <w:bCs/>
          <w:kern w:val="0"/>
          <w:sz w:val="24"/>
        </w:rPr>
      </w:pPr>
    </w:p>
    <w:p>
      <w:pPr>
        <w:pStyle w:val="21"/>
      </w:pPr>
    </w:p>
    <w:p>
      <w:pPr>
        <w:widowControl/>
        <w:jc w:val="center"/>
        <w:rPr>
          <w:rFonts w:ascii="宋体" w:hAnsi="宋体" w:cs="宋体"/>
          <w:b/>
          <w:bCs/>
          <w:kern w:val="0"/>
          <w:sz w:val="24"/>
        </w:rPr>
      </w:pPr>
    </w:p>
    <w:p>
      <w:pPr>
        <w:widowControl/>
        <w:jc w:val="center"/>
        <w:rPr>
          <w:rFonts w:ascii="宋体" w:hAnsi="宋体" w:cs="宋体"/>
          <w:b/>
          <w:bCs/>
          <w:kern w:val="0"/>
          <w:sz w:val="24"/>
        </w:rPr>
      </w:pPr>
    </w:p>
    <w:p>
      <w:pPr>
        <w:pStyle w:val="19"/>
        <w:rPr>
          <w:rFonts w:ascii="宋体" w:hAnsi="宋体" w:cs="宋体"/>
          <w:b/>
          <w:bCs/>
          <w:kern w:val="0"/>
          <w:sz w:val="24"/>
        </w:rPr>
      </w:pPr>
    </w:p>
    <w:p>
      <w:pPr>
        <w:pStyle w:val="20"/>
        <w:rPr>
          <w:rFonts w:ascii="宋体" w:hAnsi="宋体" w:cs="宋体"/>
          <w:b/>
          <w:bCs/>
          <w:kern w:val="0"/>
          <w:sz w:val="24"/>
        </w:rPr>
      </w:pPr>
    </w:p>
    <w:p>
      <w:pPr>
        <w:rPr>
          <w:rFonts w:ascii="宋体" w:hAnsi="宋体" w:cs="宋体"/>
          <w:b/>
          <w:bCs/>
          <w:kern w:val="0"/>
          <w:sz w:val="24"/>
        </w:rPr>
      </w:pPr>
    </w:p>
    <w:p>
      <w:pPr>
        <w:pStyle w:val="19"/>
        <w:rPr>
          <w:rFonts w:ascii="宋体" w:hAnsi="宋体" w:cs="宋体"/>
          <w:b/>
          <w:bCs/>
          <w:kern w:val="0"/>
          <w:sz w:val="24"/>
        </w:rPr>
      </w:pPr>
    </w:p>
    <w:p>
      <w:pPr>
        <w:pStyle w:val="20"/>
        <w:rPr>
          <w:rFonts w:ascii="宋体" w:hAnsi="宋体" w:cs="宋体"/>
          <w:b/>
          <w:bCs/>
          <w:kern w:val="0"/>
          <w:sz w:val="24"/>
        </w:rPr>
      </w:pPr>
    </w:p>
    <w:p>
      <w:pPr>
        <w:rPr>
          <w:rFonts w:ascii="宋体" w:hAnsi="宋体" w:cs="宋体"/>
          <w:b/>
          <w:bCs/>
          <w:kern w:val="0"/>
          <w:sz w:val="24"/>
        </w:rPr>
      </w:pPr>
    </w:p>
    <w:p>
      <w:pPr>
        <w:pStyle w:val="19"/>
        <w:rPr>
          <w:rFonts w:ascii="宋体" w:hAnsi="宋体" w:cs="宋体"/>
          <w:b/>
          <w:bCs/>
          <w:kern w:val="0"/>
          <w:sz w:val="24"/>
        </w:rPr>
      </w:pPr>
    </w:p>
    <w:p>
      <w:pPr>
        <w:pStyle w:val="20"/>
      </w:pPr>
    </w:p>
    <w:p>
      <w:pPr>
        <w:widowControl/>
        <w:jc w:val="both"/>
        <w:rPr>
          <w:rFonts w:ascii="宋体" w:hAnsi="宋体" w:cs="宋体"/>
          <w:b/>
          <w:bCs/>
          <w:kern w:val="0"/>
          <w:sz w:val="24"/>
        </w:rPr>
      </w:pPr>
    </w:p>
    <w:p>
      <w:pPr>
        <w:widowControl/>
        <w:jc w:val="center"/>
      </w:pPr>
      <w:r>
        <w:rPr>
          <w:rFonts w:hint="eastAsia" w:ascii="宋体" w:hAnsi="宋体" w:cs="宋体"/>
          <w:b/>
          <w:bCs/>
          <w:kern w:val="0"/>
          <w:sz w:val="24"/>
          <w:lang w:eastAsia="zh-CN"/>
        </w:rPr>
        <w:t>七</w:t>
      </w:r>
      <w:r>
        <w:rPr>
          <w:rFonts w:hint="eastAsia" w:ascii="宋体" w:hAnsi="宋体" w:cs="宋体"/>
          <w:b/>
          <w:bCs/>
          <w:kern w:val="0"/>
          <w:sz w:val="24"/>
        </w:rPr>
        <w:t>、</w:t>
      </w:r>
      <w:r>
        <w:rPr>
          <w:rFonts w:hint="eastAsia" w:ascii="宋体" w:hAnsi="宋体" w:cs="宋体"/>
          <w:b/>
          <w:kern w:val="0"/>
          <w:sz w:val="24"/>
        </w:rPr>
        <w:t>信用承诺书</w:t>
      </w:r>
    </w:p>
    <w:p>
      <w:pPr>
        <w:tabs>
          <w:tab w:val="left" w:pos="1650"/>
        </w:tabs>
        <w:spacing w:line="560" w:lineRule="exact"/>
        <w:ind w:firstLine="480"/>
        <w:rPr>
          <w:rFonts w:ascii="宋体" w:hAnsi="宋体" w:cs="宋体"/>
        </w:rPr>
      </w:pPr>
    </w:p>
    <w:p>
      <w:pPr>
        <w:tabs>
          <w:tab w:val="left" w:pos="1650"/>
        </w:tabs>
        <w:spacing w:line="360" w:lineRule="auto"/>
        <w:ind w:firstLine="1400" w:firstLineChars="500"/>
        <w:jc w:val="left"/>
        <w:rPr>
          <w:rFonts w:ascii="宋体" w:hAnsi="宋体" w:cs="宋体"/>
          <w:sz w:val="24"/>
        </w:rPr>
      </w:pPr>
      <w:r>
        <w:rPr>
          <w:rFonts w:hint="eastAsia" w:ascii="宋体" w:hAnsi="宋体" w:cs="宋体"/>
          <w:u w:val="single"/>
        </w:rPr>
        <w:t xml:space="preserve"> </w:t>
      </w:r>
      <w:r>
        <w:rPr>
          <w:rFonts w:hint="eastAsia" w:ascii="宋体" w:hAnsi="宋体" w:cs="宋体"/>
          <w:sz w:val="24"/>
          <w:u w:val="single"/>
        </w:rPr>
        <w:t xml:space="preserve">                </w:t>
      </w:r>
      <w:r>
        <w:rPr>
          <w:rFonts w:hint="eastAsia" w:ascii="宋体" w:hAnsi="宋体" w:cs="宋体"/>
          <w:sz w:val="24"/>
        </w:rPr>
        <w:t>（投标单位）现参加</w:t>
      </w:r>
      <w:r>
        <w:rPr>
          <w:rFonts w:hint="eastAsia" w:ascii="宋体" w:hAnsi="宋体" w:cs="宋体"/>
          <w:sz w:val="24"/>
          <w:u w:val="single"/>
        </w:rPr>
        <w:t xml:space="preserve">               </w:t>
      </w:r>
      <w:r>
        <w:rPr>
          <w:rFonts w:hint="eastAsia" w:ascii="宋体" w:hAnsi="宋体" w:cs="宋体"/>
          <w:sz w:val="24"/>
        </w:rPr>
        <w:t>（采购项目）政府采购活动，郑重承诺如下：</w:t>
      </w:r>
    </w:p>
    <w:p>
      <w:pPr>
        <w:tabs>
          <w:tab w:val="left" w:pos="1650"/>
        </w:tabs>
        <w:spacing w:line="560" w:lineRule="exact"/>
        <w:ind w:firstLine="480"/>
        <w:rPr>
          <w:rFonts w:ascii="宋体" w:hAnsi="宋体" w:cs="宋体"/>
          <w:color w:val="auto"/>
          <w:sz w:val="24"/>
        </w:rPr>
      </w:pPr>
      <w:r>
        <w:rPr>
          <w:rFonts w:hint="eastAsia" w:ascii="宋体" w:hAnsi="宋体" w:cs="宋体"/>
          <w:color w:val="auto"/>
          <w:sz w:val="24"/>
        </w:rPr>
        <w:t>对所提供的资料合法性、真实性、准确性和有效性负责；</w:t>
      </w:r>
    </w:p>
    <w:p>
      <w:pPr>
        <w:tabs>
          <w:tab w:val="left" w:pos="1650"/>
        </w:tabs>
        <w:spacing w:line="560" w:lineRule="exact"/>
        <w:ind w:firstLine="480"/>
        <w:rPr>
          <w:rFonts w:ascii="宋体" w:hAnsi="宋体" w:cs="宋体"/>
          <w:color w:val="auto"/>
          <w:sz w:val="24"/>
        </w:rPr>
      </w:pPr>
      <w:r>
        <w:rPr>
          <w:rFonts w:hint="eastAsia" w:ascii="宋体" w:hAnsi="宋体" w:cs="宋体"/>
          <w:color w:val="auto"/>
          <w:sz w:val="24"/>
        </w:rPr>
        <w:t>严格按照国家法律、法规和规章，依法开展相关经济活动，全面履行应尽的责任和义务；</w:t>
      </w:r>
    </w:p>
    <w:p>
      <w:pPr>
        <w:tabs>
          <w:tab w:val="left" w:pos="1650"/>
        </w:tabs>
        <w:spacing w:line="560" w:lineRule="exact"/>
        <w:ind w:firstLine="480"/>
        <w:rPr>
          <w:rFonts w:ascii="宋体" w:hAnsi="宋体" w:cs="宋体"/>
          <w:color w:val="auto"/>
          <w:sz w:val="24"/>
        </w:rPr>
      </w:pPr>
      <w:r>
        <w:rPr>
          <w:rFonts w:hint="eastAsia" w:ascii="宋体" w:hAnsi="宋体" w:cs="宋体"/>
          <w:color w:val="auto"/>
          <w:sz w:val="24"/>
        </w:rPr>
        <w:t>加强自我约束、自我规范、自我管理，不制假售假、不虚假宣传、不违约毁约、不恶意逃债、不偷税漏税，诚信依法经营；</w:t>
      </w:r>
    </w:p>
    <w:p>
      <w:pPr>
        <w:tabs>
          <w:tab w:val="left" w:pos="1650"/>
        </w:tabs>
        <w:spacing w:line="560" w:lineRule="exact"/>
        <w:ind w:firstLine="480"/>
        <w:rPr>
          <w:rFonts w:ascii="宋体" w:hAnsi="宋体" w:cs="宋体"/>
          <w:color w:val="auto"/>
          <w:sz w:val="24"/>
        </w:rPr>
      </w:pPr>
      <w:r>
        <w:rPr>
          <w:rFonts w:hint="eastAsia" w:ascii="宋体" w:hAnsi="宋体" w:cs="宋体"/>
          <w:color w:val="auto"/>
          <w:sz w:val="24"/>
        </w:rPr>
        <w:t>自愿接受行政主管部门的依法检查、违背承诺约定将自愿承担违约责任，并接受法律法规和相关部门规章制度的惩戒和约束；</w:t>
      </w:r>
    </w:p>
    <w:p>
      <w:pPr>
        <w:tabs>
          <w:tab w:val="left" w:pos="1650"/>
        </w:tabs>
        <w:spacing w:line="560" w:lineRule="exact"/>
        <w:ind w:firstLine="480"/>
        <w:rPr>
          <w:rFonts w:ascii="宋体" w:hAnsi="宋体" w:cs="宋体"/>
          <w:color w:val="auto"/>
          <w:sz w:val="24"/>
        </w:rPr>
      </w:pPr>
      <w:r>
        <w:rPr>
          <w:rFonts w:hint="eastAsia" w:ascii="宋体" w:hAnsi="宋体" w:cs="宋体"/>
          <w:color w:val="auto"/>
          <w:kern w:val="0"/>
          <w:sz w:val="24"/>
        </w:rPr>
        <w:t>按照信用信息管理有关要求，本单位（个人）同意将以上承诺在信用湖州网站公示，若违背以上承诺，依据相关规定记入企业（个人）信用档案；性质严重的，承担相应法律后果和责任，并依法依规列入严重失信名单。</w:t>
      </w:r>
    </w:p>
    <w:p>
      <w:pPr>
        <w:tabs>
          <w:tab w:val="left" w:pos="1650"/>
        </w:tabs>
        <w:spacing w:line="560" w:lineRule="exact"/>
        <w:ind w:firstLine="480"/>
        <w:rPr>
          <w:rFonts w:ascii="宋体" w:hAnsi="宋体" w:cs="宋体"/>
          <w:sz w:val="24"/>
          <w:u w:val="single"/>
        </w:rPr>
      </w:pPr>
    </w:p>
    <w:p>
      <w:pPr>
        <w:tabs>
          <w:tab w:val="left" w:pos="1650"/>
        </w:tabs>
        <w:spacing w:line="560" w:lineRule="exact"/>
        <w:ind w:firstLine="480"/>
        <w:rPr>
          <w:rFonts w:ascii="宋体" w:hAnsi="宋体" w:cs="宋体"/>
          <w:sz w:val="24"/>
          <w:u w:val="single"/>
        </w:rPr>
      </w:pPr>
    </w:p>
    <w:p>
      <w:pPr>
        <w:pStyle w:val="126"/>
        <w:spacing w:before="0" w:beforeAutospacing="0" w:after="0" w:afterAutospacing="0" w:line="560" w:lineRule="exact"/>
        <w:ind w:firstLine="600" w:firstLineChars="250"/>
        <w:rPr>
          <w:color w:val="000000"/>
          <w:spacing w:val="-7"/>
        </w:rPr>
      </w:pPr>
      <w:r>
        <w:rPr>
          <w:rFonts w:hint="eastAsia"/>
          <w:kern w:val="2"/>
        </w:rPr>
        <w:t>统一社会信用代码：</w:t>
      </w:r>
      <w:r>
        <w:rPr>
          <w:rFonts w:hint="eastAsia"/>
          <w:color w:val="000000"/>
          <w:spacing w:val="-7"/>
          <w:u w:val="single"/>
        </w:rPr>
        <w:t xml:space="preserve">                      </w:t>
      </w:r>
      <w:r>
        <w:rPr>
          <w:rFonts w:hint="eastAsia"/>
          <w:color w:val="000000"/>
          <w:spacing w:val="-7"/>
        </w:rPr>
        <w:t xml:space="preserve"> </w:t>
      </w:r>
    </w:p>
    <w:p>
      <w:pPr>
        <w:pStyle w:val="126"/>
        <w:spacing w:before="0" w:beforeAutospacing="0" w:after="0" w:afterAutospacing="0" w:line="560" w:lineRule="exact"/>
        <w:ind w:firstLine="480"/>
        <w:jc w:val="right"/>
        <w:rPr>
          <w:color w:val="000000"/>
        </w:rPr>
      </w:pPr>
      <w:r>
        <w:rPr>
          <w:rFonts w:hint="eastAsia"/>
          <w:color w:val="000000"/>
        </w:rPr>
        <w:t xml:space="preserve">    </w:t>
      </w:r>
    </w:p>
    <w:p>
      <w:pPr>
        <w:pStyle w:val="126"/>
        <w:spacing w:before="0" w:beforeAutospacing="0" w:after="0" w:afterAutospacing="0" w:line="560" w:lineRule="exact"/>
        <w:ind w:firstLine="3240" w:firstLineChars="1350"/>
        <w:jc w:val="right"/>
        <w:rPr>
          <w:kern w:val="2"/>
        </w:rPr>
      </w:pPr>
      <w:r>
        <w:rPr>
          <w:rFonts w:hint="eastAsia"/>
          <w:kern w:val="2"/>
        </w:rPr>
        <w:t>承诺单位/个人（盖章/签名）</w:t>
      </w:r>
    </w:p>
    <w:p>
      <w:pPr>
        <w:spacing w:line="560" w:lineRule="exact"/>
        <w:ind w:firstLine="480"/>
        <w:jc w:val="right"/>
        <w:rPr>
          <w:rFonts w:ascii="宋体" w:hAnsi="宋体" w:cs="宋体"/>
          <w:sz w:val="24"/>
        </w:rPr>
      </w:pPr>
      <w:r>
        <w:rPr>
          <w:rFonts w:hint="eastAsia" w:ascii="宋体" w:hAnsi="宋体" w:cs="宋体"/>
          <w:sz w:val="24"/>
        </w:rPr>
        <w:t xml:space="preserve">                         时间：</w:t>
      </w:r>
      <w:r>
        <w:rPr>
          <w:rFonts w:hint="eastAsia" w:cs="宋体"/>
          <w:sz w:val="24"/>
        </w:rPr>
        <w:t xml:space="preserve">  </w:t>
      </w:r>
      <w:r>
        <w:rPr>
          <w:rFonts w:hint="eastAsia" w:ascii="宋体" w:hAnsi="宋体" w:cs="宋体"/>
          <w:sz w:val="24"/>
        </w:rPr>
        <w:t>年</w:t>
      </w:r>
      <w:r>
        <w:rPr>
          <w:rFonts w:hint="eastAsia" w:cs="宋体"/>
          <w:sz w:val="24"/>
        </w:rPr>
        <w:t xml:space="preserve">  </w:t>
      </w:r>
      <w:r>
        <w:rPr>
          <w:rFonts w:hint="eastAsia" w:ascii="宋体" w:hAnsi="宋体" w:cs="宋体"/>
          <w:sz w:val="24"/>
        </w:rPr>
        <w:t>月</w:t>
      </w:r>
      <w:r>
        <w:rPr>
          <w:rFonts w:hint="eastAsia" w:cs="宋体"/>
          <w:sz w:val="24"/>
        </w:rPr>
        <w:t xml:space="preserve">  </w:t>
      </w:r>
      <w:r>
        <w:rPr>
          <w:rFonts w:hint="eastAsia" w:ascii="宋体" w:hAnsi="宋体" w:cs="宋体"/>
          <w:sz w:val="24"/>
        </w:rPr>
        <w:t>日</w:t>
      </w:r>
    </w:p>
    <w:p>
      <w:pPr>
        <w:pStyle w:val="20"/>
        <w:ind w:firstLine="240"/>
        <w:rPr>
          <w:sz w:val="24"/>
        </w:rPr>
      </w:pPr>
    </w:p>
    <w:p>
      <w:pPr>
        <w:pStyle w:val="20"/>
        <w:ind w:firstLine="0" w:firstLineChars="0"/>
        <w:rPr>
          <w:sz w:val="24"/>
        </w:rPr>
      </w:pPr>
    </w:p>
    <w:p>
      <w:pPr>
        <w:pStyle w:val="20"/>
        <w:ind w:firstLine="0" w:firstLineChars="0"/>
        <w:rPr>
          <w:sz w:val="24"/>
        </w:rPr>
      </w:pPr>
    </w:p>
    <w:p>
      <w:pPr>
        <w:pStyle w:val="20"/>
        <w:ind w:firstLine="0" w:firstLineChars="0"/>
        <w:rPr>
          <w:sz w:val="24"/>
        </w:rPr>
      </w:pPr>
    </w:p>
    <w:p>
      <w:pPr>
        <w:pStyle w:val="20"/>
        <w:ind w:firstLine="0" w:firstLineChars="0"/>
        <w:rPr>
          <w:sz w:val="24"/>
        </w:rPr>
      </w:pPr>
    </w:p>
    <w:p>
      <w:pPr>
        <w:snapToGrid w:val="0"/>
        <w:spacing w:line="360" w:lineRule="auto"/>
        <w:jc w:val="left"/>
        <w:rPr>
          <w:rFonts w:ascii="宋体"/>
          <w:sz w:val="30"/>
          <w:szCs w:val="30"/>
        </w:rPr>
      </w:pPr>
      <w:r>
        <w:rPr>
          <w:rFonts w:ascii="宋体" w:hAnsi="宋体"/>
          <w:b/>
          <w:bCs/>
          <w:sz w:val="30"/>
          <w:szCs w:val="30"/>
        </w:rPr>
        <w:br w:type="page"/>
      </w:r>
      <w:r>
        <w:rPr>
          <w:rFonts w:ascii="宋体" w:hAnsi="宋体"/>
          <w:b/>
          <w:bCs/>
          <w:sz w:val="24"/>
        </w:rPr>
        <w:t>技术文件</w:t>
      </w:r>
      <w:r>
        <w:rPr>
          <w:rFonts w:hint="eastAsia" w:ascii="宋体" w:hAnsi="宋体"/>
          <w:b/>
          <w:bCs/>
          <w:sz w:val="24"/>
        </w:rPr>
        <w:t>目录</w:t>
      </w:r>
    </w:p>
    <w:p>
      <w:pPr>
        <w:spacing w:line="360" w:lineRule="auto"/>
        <w:ind w:firstLine="480" w:firstLineChars="200"/>
        <w:rPr>
          <w:rFonts w:ascii="宋体" w:hAnsi="宋体" w:cs="宋体"/>
          <w:b/>
          <w:sz w:val="24"/>
        </w:rPr>
      </w:pPr>
      <w:r>
        <w:rPr>
          <w:rFonts w:hint="eastAsia" w:ascii="宋体" w:hAnsi="宋体" w:cs="宋体"/>
          <w:sz w:val="24"/>
        </w:rPr>
        <w:t>（1）评分索引表（格式见附件，主要用于评审委员会对应评分内容，包括商务部分、技术部分）</w:t>
      </w:r>
      <w:r>
        <w:rPr>
          <w:rFonts w:hint="eastAsia" w:ascii="宋体" w:hAnsi="宋体" w:cs="宋体"/>
          <w:b w:val="0"/>
          <w:bCs/>
          <w:sz w:val="24"/>
        </w:rPr>
        <w:t>；</w:t>
      </w:r>
    </w:p>
    <w:p>
      <w:pPr>
        <w:snapToGrid w:val="0"/>
        <w:spacing w:line="360" w:lineRule="auto"/>
        <w:ind w:firstLine="480" w:firstLineChars="200"/>
        <w:jc w:val="left"/>
      </w:pPr>
      <w:r>
        <w:rPr>
          <w:rFonts w:hint="eastAsia" w:ascii="宋体" w:hAnsi="宋体"/>
          <w:sz w:val="24"/>
        </w:rPr>
        <w:t>（2）投标声明书；</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sz w:val="24"/>
          <w:lang w:eastAsia="zh-CN"/>
        </w:rPr>
        <w:t>项目具体实施方案（质量、安全、服务及承诺等）</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（4）</w:t>
      </w:r>
      <w:r>
        <w:rPr>
          <w:rFonts w:hint="eastAsia" w:ascii="宋体" w:hAnsi="宋体" w:cs="宋体"/>
          <w:sz w:val="24"/>
          <w:lang w:eastAsia="zh-CN"/>
        </w:rPr>
        <w:t>针对本项目重点、难点分析及相应解决措施</w:t>
      </w:r>
      <w:r>
        <w:rPr>
          <w:rFonts w:hint="eastAsia" w:ascii="宋体" w:hAnsi="宋体" w:cs="宋体"/>
          <w:sz w:val="24"/>
        </w:rPr>
        <w:t>；</w:t>
      </w:r>
    </w:p>
    <w:p>
      <w:pPr>
        <w:pStyle w:val="2"/>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（5）</w:t>
      </w:r>
      <w:r>
        <w:rPr>
          <w:rFonts w:hint="eastAsia" w:ascii="宋体" w:hAnsi="宋体" w:eastAsia="宋体" w:cs="宋体"/>
          <w:kern w:val="2"/>
          <w:sz w:val="24"/>
          <w:szCs w:val="24"/>
          <w:lang w:eastAsia="zh-CN"/>
        </w:rPr>
        <w:t>应急预案</w:t>
      </w:r>
      <w:r>
        <w:rPr>
          <w:rFonts w:hint="eastAsia" w:ascii="宋体" w:hAnsi="宋体" w:eastAsia="宋体" w:cs="宋体"/>
          <w:kern w:val="2"/>
          <w:sz w:val="24"/>
          <w:szCs w:val="24"/>
        </w:rPr>
        <w:t>；</w:t>
      </w:r>
    </w:p>
    <w:p>
      <w:pPr>
        <w:spacing w:line="360" w:lineRule="auto"/>
        <w:ind w:firstLine="480" w:firstLineChars="200"/>
      </w:pPr>
      <w:r>
        <w:rPr>
          <w:rFonts w:hint="eastAsia" w:ascii="宋体" w:hAnsi="宋体" w:cs="宋体"/>
          <w:sz w:val="24"/>
        </w:rPr>
        <w:t>（6）</w:t>
      </w:r>
      <w:r>
        <w:rPr>
          <w:rFonts w:hint="eastAsia" w:ascii="宋体" w:hAnsi="宋体" w:cs="宋体"/>
          <w:sz w:val="24"/>
          <w:lang w:eastAsia="zh-CN"/>
        </w:rPr>
        <w:t>各项管理规则制度及考核</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（7）</w:t>
      </w:r>
      <w:r>
        <w:rPr>
          <w:rFonts w:hint="eastAsia" w:ascii="宋体" w:hAnsi="宋体" w:cs="宋体"/>
          <w:sz w:val="24"/>
          <w:lang w:eastAsia="zh-CN"/>
        </w:rPr>
        <w:t>人员配备</w:t>
      </w:r>
      <w:r>
        <w:rPr>
          <w:rFonts w:hint="eastAsia" w:ascii="宋体" w:hAnsi="宋体" w:cs="宋体"/>
          <w:sz w:val="24"/>
        </w:rPr>
        <w:t>；</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（8）</w:t>
      </w:r>
      <w:r>
        <w:rPr>
          <w:rFonts w:hint="eastAsia" w:ascii="宋体" w:hAnsi="宋体" w:cs="宋体"/>
          <w:sz w:val="24"/>
          <w:lang w:eastAsia="zh-CN"/>
        </w:rPr>
        <w:t>投入本项目设备情况；</w:t>
      </w:r>
    </w:p>
    <w:p>
      <w:pPr>
        <w:snapToGrid w:val="0"/>
        <w:spacing w:line="360" w:lineRule="auto"/>
        <w:ind w:firstLine="480" w:firstLineChars="200"/>
        <w:jc w:val="left"/>
        <w:rPr>
          <w:rFonts w:ascii="宋体" w:hAnsi="宋体"/>
          <w:sz w:val="24"/>
        </w:rPr>
      </w:pPr>
      <w:r>
        <w:rPr>
          <w:rFonts w:hint="eastAsia" w:ascii="宋体" w:hAnsi="宋体"/>
          <w:sz w:val="24"/>
        </w:rPr>
        <w:t>（9）</w:t>
      </w:r>
      <w:r>
        <w:rPr>
          <w:rFonts w:hint="eastAsia" w:ascii="宋体" w:hAnsi="宋体"/>
          <w:sz w:val="24"/>
          <w:lang w:eastAsia="zh-CN"/>
        </w:rPr>
        <w:t>服务承诺</w:t>
      </w:r>
      <w:r>
        <w:rPr>
          <w:rFonts w:hint="eastAsia" w:ascii="宋体" w:hAnsi="宋体"/>
          <w:sz w:val="24"/>
        </w:rPr>
        <w:t>；</w:t>
      </w:r>
    </w:p>
    <w:p>
      <w:pPr>
        <w:snapToGrid w:val="0"/>
        <w:spacing w:line="360" w:lineRule="auto"/>
        <w:ind w:firstLine="480" w:firstLineChars="200"/>
        <w:jc w:val="left"/>
        <w:rPr>
          <w:rFonts w:hint="eastAsia" w:ascii="宋体" w:hAnsi="宋体"/>
          <w:sz w:val="24"/>
        </w:rPr>
      </w:pPr>
      <w:r>
        <w:rPr>
          <w:rFonts w:hint="eastAsia" w:ascii="宋体" w:hAnsi="宋体"/>
          <w:sz w:val="24"/>
        </w:rPr>
        <w:t>（10）</w:t>
      </w:r>
      <w:r>
        <w:rPr>
          <w:rFonts w:hint="eastAsia" w:ascii="宋体" w:hAnsi="宋体"/>
          <w:sz w:val="24"/>
          <w:lang w:eastAsia="zh-CN"/>
        </w:rPr>
        <w:t>企业业绩</w:t>
      </w:r>
      <w:r>
        <w:rPr>
          <w:rFonts w:hint="eastAsia" w:ascii="宋体" w:hAnsi="宋体"/>
          <w:sz w:val="24"/>
        </w:rPr>
        <w:t>；</w:t>
      </w:r>
    </w:p>
    <w:p>
      <w:pPr>
        <w:snapToGrid w:val="0"/>
        <w:spacing w:line="360" w:lineRule="auto"/>
        <w:ind w:firstLine="480" w:firstLineChars="200"/>
        <w:jc w:val="left"/>
        <w:rPr>
          <w:rFonts w:hint="eastAsia" w:ascii="宋体" w:hAnsi="宋体"/>
          <w:b w:val="0"/>
          <w:bCs w:val="0"/>
          <w:kern w:val="0"/>
          <w:sz w:val="24"/>
          <w:lang w:eastAsia="zh-CN"/>
        </w:rPr>
      </w:pPr>
      <w:r>
        <w:rPr>
          <w:rFonts w:hint="eastAsia" w:ascii="宋体" w:hAnsi="宋体"/>
          <w:sz w:val="24"/>
          <w:lang w:eastAsia="zh-CN"/>
        </w:rPr>
        <w:t>（</w:t>
      </w:r>
      <w:r>
        <w:rPr>
          <w:rFonts w:hint="eastAsia" w:ascii="宋体" w:hAnsi="宋体"/>
          <w:sz w:val="24"/>
          <w:lang w:val="en-US" w:eastAsia="zh-CN"/>
        </w:rPr>
        <w:t>11</w:t>
      </w:r>
      <w:r>
        <w:rPr>
          <w:rFonts w:hint="eastAsia" w:ascii="宋体" w:hAnsi="宋体"/>
          <w:sz w:val="24"/>
          <w:lang w:eastAsia="zh-CN"/>
        </w:rPr>
        <w:t>）权威认证</w:t>
      </w:r>
      <w:r>
        <w:rPr>
          <w:rFonts w:hint="eastAsia" w:ascii="宋体" w:hAnsi="宋体"/>
          <w:b w:val="0"/>
          <w:bCs w:val="0"/>
          <w:kern w:val="0"/>
          <w:sz w:val="24"/>
          <w:lang w:eastAsia="zh-CN"/>
        </w:rPr>
        <w:t>；</w:t>
      </w:r>
    </w:p>
    <w:p>
      <w:pPr>
        <w:pStyle w:val="20"/>
        <w:ind w:firstLine="480" w:firstLineChars="200"/>
        <w:rPr>
          <w:rFonts w:hint="eastAsia"/>
          <w:lang w:eastAsia="zh-CN"/>
        </w:rPr>
      </w:pPr>
      <w:r>
        <w:rPr>
          <w:rFonts w:hint="eastAsia" w:ascii="宋体" w:hAnsi="宋体"/>
          <w:b w:val="0"/>
          <w:bCs w:val="0"/>
          <w:kern w:val="0"/>
          <w:sz w:val="24"/>
          <w:lang w:eastAsia="zh-CN"/>
        </w:rPr>
        <w:t>（</w:t>
      </w:r>
      <w:r>
        <w:rPr>
          <w:rFonts w:hint="eastAsia" w:ascii="宋体" w:hAnsi="宋体"/>
          <w:b w:val="0"/>
          <w:bCs w:val="0"/>
          <w:kern w:val="0"/>
          <w:sz w:val="24"/>
          <w:lang w:val="en-US" w:eastAsia="zh-CN"/>
        </w:rPr>
        <w:t>12</w:t>
      </w:r>
      <w:r>
        <w:rPr>
          <w:rFonts w:hint="eastAsia" w:ascii="宋体" w:hAnsi="宋体"/>
          <w:b w:val="0"/>
          <w:bCs w:val="0"/>
          <w:kern w:val="0"/>
          <w:sz w:val="24"/>
          <w:lang w:eastAsia="zh-CN"/>
        </w:rPr>
        <w:t>）企业实力；</w:t>
      </w:r>
    </w:p>
    <w:p>
      <w:pPr>
        <w:snapToGrid w:val="0"/>
        <w:spacing w:line="360" w:lineRule="auto"/>
        <w:ind w:firstLine="480" w:firstLineChars="200"/>
        <w:jc w:val="left"/>
        <w:rPr>
          <w:rFonts w:ascii="宋体" w:hAnsi="宋体"/>
          <w:sz w:val="24"/>
        </w:rPr>
      </w:pPr>
      <w:r>
        <w:rPr>
          <w:rFonts w:hint="eastAsia" w:ascii="宋体" w:hAnsi="宋体" w:eastAsia="宋体" w:cs="Times New Roman"/>
          <w:sz w:val="24"/>
          <w:lang w:eastAsia="zh-CN"/>
        </w:rPr>
        <w:t>（1</w:t>
      </w:r>
      <w:r>
        <w:rPr>
          <w:rFonts w:hint="eastAsia" w:ascii="宋体" w:hAnsi="宋体" w:cs="Times New Roman"/>
          <w:sz w:val="24"/>
          <w:lang w:val="en-US" w:eastAsia="zh-CN"/>
        </w:rPr>
        <w:t>3</w:t>
      </w:r>
      <w:r>
        <w:rPr>
          <w:rFonts w:hint="eastAsia" w:ascii="宋体" w:hAnsi="宋体" w:eastAsia="宋体" w:cs="Times New Roman"/>
          <w:sz w:val="24"/>
          <w:lang w:eastAsia="zh-CN"/>
        </w:rPr>
        <w:t>）</w:t>
      </w:r>
      <w:r>
        <w:rPr>
          <w:rFonts w:ascii="宋体" w:hAnsi="宋体"/>
          <w:sz w:val="24"/>
        </w:rPr>
        <w:t>其他投标供应商认为有必要提供的资料</w:t>
      </w:r>
      <w:r>
        <w:rPr>
          <w:rFonts w:hint="eastAsia" w:ascii="宋体" w:hAnsi="宋体"/>
          <w:sz w:val="24"/>
        </w:rPr>
        <w:t>。</w:t>
      </w:r>
      <w:r>
        <w:rPr>
          <w:rFonts w:ascii="宋体" w:hAnsi="宋体"/>
          <w:sz w:val="24"/>
        </w:rPr>
        <w:tab/>
      </w:r>
    </w:p>
    <w:p/>
    <w:p>
      <w:pPr>
        <w:snapToGrid w:val="0"/>
        <w:spacing w:line="360" w:lineRule="auto"/>
        <w:ind w:firstLine="480" w:firstLineChars="200"/>
        <w:jc w:val="left"/>
        <w:rPr>
          <w:rFonts w:ascii="宋体" w:hAnsi="宋体"/>
          <w:sz w:val="24"/>
        </w:rPr>
      </w:pPr>
      <w:r>
        <w:rPr>
          <w:rFonts w:ascii="宋体" w:hAnsi="宋体"/>
          <w:sz w:val="24"/>
        </w:rPr>
        <w:tab/>
      </w:r>
    </w:p>
    <w:p>
      <w:pPr>
        <w:spacing w:line="360" w:lineRule="auto"/>
        <w:ind w:firstLine="480" w:firstLineChars="200"/>
        <w:rPr>
          <w:rFonts w:ascii="宋体" w:hAnsi="宋体" w:cs="宋体"/>
          <w:sz w:val="24"/>
        </w:rPr>
      </w:pPr>
    </w:p>
    <w:p>
      <w:pPr>
        <w:pStyle w:val="14"/>
        <w:snapToGrid w:val="0"/>
        <w:jc w:val="center"/>
        <w:rPr>
          <w:rFonts w:ascii="宋体" w:hAnsi="宋体" w:eastAsia="宋体"/>
          <w:b/>
          <w:sz w:val="24"/>
        </w:rPr>
      </w:pPr>
    </w:p>
    <w:p>
      <w:pPr>
        <w:pStyle w:val="14"/>
        <w:snapToGrid w:val="0"/>
        <w:jc w:val="center"/>
        <w:rPr>
          <w:rFonts w:ascii="宋体" w:hAnsi="宋体" w:eastAsia="宋体"/>
          <w:b/>
          <w:sz w:val="24"/>
        </w:rPr>
      </w:pPr>
    </w:p>
    <w:p>
      <w:pPr>
        <w:rPr>
          <w:rFonts w:ascii="宋体" w:hAnsi="宋体"/>
          <w:b/>
          <w:sz w:val="24"/>
        </w:rPr>
      </w:pPr>
    </w:p>
    <w:p>
      <w:pPr>
        <w:pStyle w:val="13"/>
        <w:rPr>
          <w:rFonts w:ascii="宋体" w:hAnsi="宋体"/>
          <w:b/>
          <w:sz w:val="24"/>
        </w:rPr>
      </w:pPr>
    </w:p>
    <w:p>
      <w:pPr>
        <w:pStyle w:val="13"/>
        <w:rPr>
          <w:rFonts w:ascii="宋体" w:hAnsi="宋体"/>
          <w:b/>
          <w:sz w:val="24"/>
        </w:rPr>
      </w:pPr>
    </w:p>
    <w:p>
      <w:pPr>
        <w:pStyle w:val="13"/>
        <w:rPr>
          <w:rFonts w:ascii="宋体" w:hAnsi="宋体"/>
          <w:b/>
          <w:sz w:val="24"/>
        </w:rPr>
      </w:pPr>
    </w:p>
    <w:p>
      <w:pPr>
        <w:pStyle w:val="13"/>
        <w:rPr>
          <w:rFonts w:ascii="宋体" w:hAnsi="宋体"/>
          <w:b/>
          <w:sz w:val="24"/>
        </w:rPr>
      </w:pPr>
    </w:p>
    <w:p>
      <w:pPr>
        <w:pStyle w:val="13"/>
        <w:rPr>
          <w:rFonts w:ascii="宋体" w:hAnsi="宋体"/>
          <w:b/>
          <w:sz w:val="24"/>
        </w:rPr>
      </w:pPr>
    </w:p>
    <w:p>
      <w:pPr>
        <w:pStyle w:val="13"/>
        <w:rPr>
          <w:rFonts w:ascii="宋体" w:hAnsi="宋体"/>
          <w:b/>
          <w:sz w:val="24"/>
        </w:rPr>
      </w:pPr>
    </w:p>
    <w:p>
      <w:pPr>
        <w:pStyle w:val="13"/>
        <w:rPr>
          <w:rFonts w:ascii="宋体" w:hAnsi="宋体"/>
          <w:b/>
          <w:sz w:val="24"/>
        </w:rPr>
      </w:pPr>
    </w:p>
    <w:p>
      <w:pPr>
        <w:pStyle w:val="13"/>
        <w:rPr>
          <w:rFonts w:ascii="宋体" w:hAnsi="宋体"/>
          <w:b/>
          <w:sz w:val="24"/>
        </w:rPr>
      </w:pPr>
    </w:p>
    <w:p>
      <w:pPr>
        <w:pStyle w:val="13"/>
        <w:rPr>
          <w:rFonts w:ascii="宋体" w:hAnsi="宋体"/>
          <w:b/>
          <w:sz w:val="24"/>
        </w:rPr>
      </w:pPr>
    </w:p>
    <w:p>
      <w:pPr>
        <w:pStyle w:val="13"/>
        <w:rPr>
          <w:rFonts w:ascii="宋体" w:hAnsi="宋体"/>
          <w:b/>
          <w:sz w:val="24"/>
        </w:rPr>
      </w:pPr>
    </w:p>
    <w:p>
      <w:pPr>
        <w:pStyle w:val="13"/>
        <w:rPr>
          <w:rFonts w:ascii="宋体" w:hAnsi="宋体"/>
          <w:b/>
          <w:sz w:val="24"/>
        </w:rPr>
      </w:pPr>
    </w:p>
    <w:p>
      <w:pPr>
        <w:pStyle w:val="13"/>
        <w:rPr>
          <w:rFonts w:ascii="宋体" w:hAnsi="宋体"/>
          <w:b/>
          <w:sz w:val="24"/>
        </w:rPr>
      </w:pPr>
    </w:p>
    <w:p>
      <w:pPr>
        <w:pStyle w:val="13"/>
        <w:rPr>
          <w:rFonts w:ascii="宋体" w:hAnsi="宋体"/>
          <w:b/>
          <w:sz w:val="24"/>
        </w:rPr>
      </w:pPr>
    </w:p>
    <w:p>
      <w:pPr>
        <w:pStyle w:val="14"/>
        <w:snapToGrid w:val="0"/>
        <w:jc w:val="both"/>
        <w:rPr>
          <w:rFonts w:ascii="宋体" w:hAnsi="宋体" w:eastAsia="宋体"/>
          <w:b/>
          <w:sz w:val="24"/>
        </w:rPr>
      </w:pPr>
    </w:p>
    <w:p>
      <w:pPr>
        <w:pStyle w:val="14"/>
        <w:snapToGrid w:val="0"/>
        <w:jc w:val="center"/>
        <w:rPr>
          <w:rFonts w:ascii="宋体" w:hAnsi="宋体" w:eastAsia="宋体"/>
          <w:b/>
          <w:sz w:val="24"/>
        </w:rPr>
      </w:pPr>
      <w:r>
        <w:rPr>
          <w:rFonts w:hint="eastAsia" w:ascii="宋体" w:hAnsi="宋体" w:eastAsia="宋体"/>
          <w:b/>
          <w:sz w:val="24"/>
        </w:rPr>
        <w:t>一、评分索引表</w:t>
      </w:r>
    </w:p>
    <w:p>
      <w:pPr>
        <w:pStyle w:val="14"/>
        <w:snapToGrid w:val="0"/>
        <w:rPr>
          <w:rFonts w:ascii="宋体" w:hAnsi="宋体" w:eastAsia="宋体"/>
          <w:sz w:val="24"/>
          <w:szCs w:val="24"/>
        </w:rPr>
      </w:pPr>
      <w:r>
        <w:rPr>
          <w:rFonts w:hint="eastAsia" w:ascii="宋体" w:hAnsi="宋体" w:eastAsia="宋体"/>
          <w:sz w:val="24"/>
          <w:szCs w:val="24"/>
        </w:rPr>
        <w:t xml:space="preserve"> 投标供应商全称（公章）：              </w:t>
      </w:r>
    </w:p>
    <w:tbl>
      <w:tblPr>
        <w:tblStyle w:val="40"/>
        <w:tblW w:w="499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593"/>
        <w:gridCol w:w="3315"/>
        <w:gridCol w:w="1418"/>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843"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评分项目</w:t>
            </w:r>
          </w:p>
        </w:tc>
        <w:tc>
          <w:tcPr>
            <w:tcW w:w="1700"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投标文件对应资料</w:t>
            </w: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sz w:val="24"/>
              </w:rPr>
            </w:pPr>
            <w:r>
              <w:rPr>
                <w:rFonts w:hint="eastAsia" w:ascii="宋体" w:hAnsi="宋体"/>
                <w:sz w:val="24"/>
              </w:rPr>
              <w:t>自评分</w:t>
            </w:r>
          </w:p>
        </w:tc>
        <w:tc>
          <w:tcPr>
            <w:tcW w:w="727"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r>
              <w:rPr>
                <w:rFonts w:hint="eastAsia" w:ascii="宋体" w:hAnsi="宋体"/>
                <w:sz w:val="24"/>
              </w:rPr>
              <w:t>对应第四章评分办法及评分标准（报价除外）</w:t>
            </w: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r>
              <w:rPr>
                <w:rFonts w:ascii="宋体" w:hAnsi="宋体"/>
                <w:sz w:val="24"/>
              </w:rPr>
              <w:t>……</w:t>
            </w: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bl>
    <w:p>
      <w:pPr>
        <w:snapToGrid w:val="0"/>
        <w:spacing w:beforeLines="50"/>
        <w:rPr>
          <w:rFonts w:ascii="宋体" w:hAnsi="宋体"/>
          <w:sz w:val="24"/>
        </w:rPr>
      </w:pPr>
      <w:r>
        <w:rPr>
          <w:rFonts w:hint="eastAsia" w:ascii="宋体" w:hAnsi="宋体"/>
          <w:sz w:val="24"/>
        </w:rPr>
        <w:t xml:space="preserve">               日期：</w:t>
      </w:r>
    </w:p>
    <w:p>
      <w:pPr>
        <w:spacing w:line="360" w:lineRule="auto"/>
        <w:ind w:firstLine="482" w:firstLineChars="200"/>
        <w:jc w:val="center"/>
        <w:rPr>
          <w:rFonts w:ascii="宋体" w:hAnsi="宋体"/>
          <w:b/>
          <w:sz w:val="24"/>
        </w:rPr>
      </w:pPr>
    </w:p>
    <w:p>
      <w:pPr>
        <w:pStyle w:val="20"/>
        <w:ind w:firstLine="240"/>
        <w:rPr>
          <w:sz w:val="24"/>
        </w:rPr>
      </w:pPr>
    </w:p>
    <w:p>
      <w:pPr>
        <w:pStyle w:val="20"/>
        <w:ind w:firstLine="240"/>
        <w:rPr>
          <w:sz w:val="24"/>
        </w:rPr>
      </w:pPr>
    </w:p>
    <w:p>
      <w:pPr>
        <w:pStyle w:val="20"/>
        <w:ind w:firstLine="240"/>
        <w:rPr>
          <w:sz w:val="24"/>
        </w:rPr>
      </w:pPr>
    </w:p>
    <w:p>
      <w:pPr>
        <w:spacing w:line="360" w:lineRule="auto"/>
        <w:ind w:left="2" w:firstLine="480" w:firstLineChars="200"/>
        <w:rPr>
          <w:rFonts w:ascii="宋体"/>
          <w:sz w:val="24"/>
        </w:rPr>
      </w:pPr>
    </w:p>
    <w:p>
      <w:pPr>
        <w:spacing w:line="360" w:lineRule="auto"/>
        <w:ind w:left="2" w:firstLine="480" w:firstLineChars="200"/>
        <w:rPr>
          <w:rFonts w:ascii="宋体"/>
          <w:sz w:val="24"/>
        </w:rPr>
      </w:pPr>
    </w:p>
    <w:p>
      <w:pPr>
        <w:spacing w:line="360" w:lineRule="auto"/>
        <w:ind w:left="2" w:firstLine="480" w:firstLineChars="200"/>
        <w:rPr>
          <w:rFonts w:ascii="宋体"/>
          <w:sz w:val="24"/>
        </w:rPr>
      </w:pPr>
    </w:p>
    <w:p>
      <w:pPr>
        <w:spacing w:line="360" w:lineRule="auto"/>
        <w:ind w:left="2" w:firstLine="480" w:firstLineChars="200"/>
        <w:rPr>
          <w:rFonts w:ascii="宋体"/>
          <w:sz w:val="24"/>
        </w:rPr>
      </w:pPr>
    </w:p>
    <w:p>
      <w:pPr>
        <w:spacing w:line="360" w:lineRule="auto"/>
        <w:ind w:left="2" w:firstLine="480" w:firstLineChars="200"/>
        <w:rPr>
          <w:rFonts w:ascii="宋体"/>
          <w:sz w:val="24"/>
        </w:rPr>
      </w:pPr>
    </w:p>
    <w:p>
      <w:pPr>
        <w:spacing w:line="360" w:lineRule="auto"/>
        <w:ind w:left="2" w:firstLine="480" w:firstLineChars="200"/>
        <w:rPr>
          <w:rFonts w:ascii="宋体"/>
          <w:sz w:val="24"/>
        </w:rPr>
      </w:pPr>
    </w:p>
    <w:p>
      <w:pPr>
        <w:pStyle w:val="21"/>
        <w:rPr>
          <w:sz w:val="24"/>
        </w:rPr>
      </w:pPr>
    </w:p>
    <w:p>
      <w:pPr>
        <w:pStyle w:val="21"/>
        <w:rPr>
          <w:sz w:val="24"/>
        </w:rPr>
      </w:pPr>
    </w:p>
    <w:p>
      <w:pPr>
        <w:pStyle w:val="21"/>
        <w:rPr>
          <w:sz w:val="24"/>
        </w:rPr>
      </w:pPr>
    </w:p>
    <w:p>
      <w:pPr>
        <w:snapToGrid w:val="0"/>
        <w:spacing w:beforeLines="50" w:after="50"/>
        <w:jc w:val="center"/>
        <w:rPr>
          <w:rFonts w:ascii="宋体" w:hAnsi="宋体" w:cs="宋体"/>
          <w:b/>
          <w:sz w:val="24"/>
        </w:rPr>
      </w:pPr>
      <w:r>
        <w:rPr>
          <w:rFonts w:hint="eastAsia" w:ascii="宋体" w:hAnsi="宋体" w:cs="宋体"/>
          <w:b/>
          <w:sz w:val="24"/>
        </w:rPr>
        <w:t>二、投标声明书</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（招标采购单位名称）：</w:t>
      </w:r>
    </w:p>
    <w:p>
      <w:pPr>
        <w:snapToGrid w:val="0"/>
        <w:spacing w:line="360" w:lineRule="auto"/>
        <w:ind w:firstLine="480" w:firstLineChars="200"/>
        <w:jc w:val="left"/>
        <w:rPr>
          <w:rFonts w:ascii="宋体" w:hAnsi="宋体" w:cs="宋体"/>
          <w:sz w:val="24"/>
        </w:rPr>
      </w:pPr>
      <w:r>
        <w:rPr>
          <w:rFonts w:hint="eastAsia" w:ascii="宋体" w:hAnsi="宋体" w:cs="宋体"/>
          <w:sz w:val="24"/>
          <w:u w:val="single"/>
        </w:rPr>
        <w:t xml:space="preserve">       </w:t>
      </w:r>
      <w:r>
        <w:rPr>
          <w:rFonts w:hint="eastAsia" w:ascii="宋体" w:hAnsi="宋体" w:cs="宋体"/>
          <w:sz w:val="24"/>
        </w:rPr>
        <w:t>（投标人名称）系中华人民共和国合法企业，经营地址</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jc w:val="left"/>
        <w:rPr>
          <w:rFonts w:ascii="宋体" w:hAnsi="宋体" w:cs="宋体"/>
          <w:sz w:val="24"/>
        </w:rPr>
      </w:pPr>
      <w:r>
        <w:rPr>
          <w:rFonts w:hint="eastAsia" w:ascii="宋体" w:hAnsi="宋体" w:cs="宋体"/>
          <w:sz w:val="24"/>
        </w:rPr>
        <w:t>我</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（投标人名称）的法定代表人，我方愿意参加贵方组织的</w:t>
      </w:r>
      <w:r>
        <w:rPr>
          <w:rFonts w:hint="eastAsia" w:ascii="宋体" w:hAnsi="宋体" w:cs="宋体"/>
          <w:sz w:val="24"/>
          <w:u w:val="single"/>
        </w:rPr>
        <w:t xml:space="preserve">                 </w:t>
      </w:r>
      <w:r>
        <w:rPr>
          <w:rFonts w:hint="eastAsia" w:ascii="宋体" w:hAnsi="宋体" w:cs="宋体"/>
          <w:sz w:val="24"/>
        </w:rPr>
        <w:t>项目的投标，为便于贵方公正、择优地确定中标人及其服务，我方就本次投标有关事项郑重声明如下：</w:t>
      </w:r>
    </w:p>
    <w:p>
      <w:pPr>
        <w:snapToGrid w:val="0"/>
        <w:spacing w:line="360" w:lineRule="auto"/>
        <w:ind w:firstLine="480" w:firstLineChars="200"/>
        <w:jc w:val="left"/>
        <w:rPr>
          <w:rFonts w:ascii="宋体" w:hAnsi="宋体" w:cs="宋体"/>
          <w:sz w:val="24"/>
        </w:rPr>
      </w:pPr>
      <w:r>
        <w:rPr>
          <w:rFonts w:hint="eastAsia" w:ascii="宋体" w:hAnsi="宋体" w:cs="宋体"/>
          <w:sz w:val="24"/>
        </w:rPr>
        <w:t>1.我方向贵方提交的所有投标文件、资料都是准确的和真实的。</w:t>
      </w:r>
    </w:p>
    <w:p>
      <w:pPr>
        <w:snapToGrid w:val="0"/>
        <w:spacing w:line="360" w:lineRule="auto"/>
        <w:ind w:firstLine="480" w:firstLineChars="200"/>
        <w:jc w:val="left"/>
        <w:rPr>
          <w:rFonts w:ascii="宋体" w:hAnsi="宋体" w:cs="宋体"/>
          <w:sz w:val="24"/>
        </w:rPr>
      </w:pPr>
      <w:r>
        <w:rPr>
          <w:rFonts w:hint="eastAsia" w:ascii="宋体" w:hAnsi="宋体" w:cs="宋体"/>
          <w:sz w:val="24"/>
        </w:rPr>
        <w:t>2.我方不是采购人的附属机构；在获知本项目采购信息后，与采购人聘请的为此项目提供咨询服务的公司及其附属机构没有任何联系。</w:t>
      </w:r>
    </w:p>
    <w:p>
      <w:pPr>
        <w:snapToGrid w:val="0"/>
        <w:spacing w:line="360" w:lineRule="auto"/>
        <w:ind w:firstLine="480" w:firstLineChars="200"/>
        <w:jc w:val="left"/>
        <w:rPr>
          <w:rFonts w:ascii="宋体" w:hAnsi="宋体" w:cs="宋体"/>
          <w:sz w:val="24"/>
        </w:rPr>
      </w:pPr>
      <w:r>
        <w:rPr>
          <w:rFonts w:hint="eastAsia" w:ascii="宋体" w:hAnsi="宋体" w:cs="宋体"/>
          <w:sz w:val="24"/>
        </w:rPr>
        <w:t>3. 我们已详细审核招标文件全部内容，包括修改文件、参考资料及有关附件，我们完全知道必须放弃提出含糊不清或误解的权利。</w:t>
      </w:r>
    </w:p>
    <w:p>
      <w:pPr>
        <w:snapToGrid w:val="0"/>
        <w:spacing w:line="360" w:lineRule="auto"/>
        <w:ind w:firstLine="480" w:firstLineChars="200"/>
        <w:jc w:val="left"/>
        <w:rPr>
          <w:rFonts w:ascii="宋体" w:hAnsi="宋体" w:cs="宋体"/>
          <w:sz w:val="24"/>
        </w:rPr>
      </w:pPr>
      <w:r>
        <w:rPr>
          <w:rFonts w:hint="eastAsia" w:ascii="宋体" w:hAnsi="宋体" w:cs="宋体"/>
          <w:sz w:val="24"/>
        </w:rPr>
        <w:t>4.我方及由本人担任法定代表人的其他机构最近三年内被通报或者被处罚的违法行为有：</w:t>
      </w:r>
    </w:p>
    <w:p>
      <w:pPr>
        <w:snapToGrid w:val="0"/>
        <w:spacing w:line="360" w:lineRule="auto"/>
        <w:ind w:firstLine="480" w:firstLineChars="200"/>
        <w:jc w:val="left"/>
        <w:rPr>
          <w:rFonts w:ascii="宋体" w:hAnsi="宋体" w:cs="宋体"/>
          <w:sz w:val="24"/>
          <w:u w:val="single"/>
        </w:rPr>
      </w:pPr>
      <w:r>
        <w:rPr>
          <w:rFonts w:hint="eastAsia" w:ascii="宋体" w:hAnsi="宋体" w:cs="宋体"/>
          <w:sz w:val="24"/>
          <w:u w:val="single"/>
        </w:rPr>
        <w:t>　　　　　　　　　　　　　　　　　　　　　　　　　　　</w:t>
      </w:r>
    </w:p>
    <w:p>
      <w:pPr>
        <w:snapToGrid w:val="0"/>
        <w:spacing w:line="360" w:lineRule="auto"/>
        <w:ind w:firstLine="480" w:firstLineChars="200"/>
        <w:jc w:val="left"/>
        <w:rPr>
          <w:rFonts w:ascii="宋体" w:hAnsi="宋体" w:cs="宋体"/>
          <w:sz w:val="24"/>
          <w:u w:val="single"/>
        </w:rPr>
      </w:pPr>
      <w:r>
        <w:rPr>
          <w:rFonts w:hint="eastAsia" w:ascii="宋体" w:hAnsi="宋体" w:cs="宋体"/>
          <w:sz w:val="24"/>
          <w:u w:val="single"/>
        </w:rPr>
        <w:t>　　　　　　　　　　　　　　　　　　　　　　　　　　　</w:t>
      </w:r>
    </w:p>
    <w:p>
      <w:pPr>
        <w:snapToGrid w:val="0"/>
        <w:spacing w:line="360" w:lineRule="auto"/>
        <w:ind w:firstLine="480" w:firstLineChars="200"/>
        <w:jc w:val="left"/>
        <w:rPr>
          <w:rFonts w:ascii="宋体" w:hAnsi="宋体" w:cs="宋体"/>
          <w:sz w:val="24"/>
        </w:rPr>
      </w:pPr>
      <w:r>
        <w:rPr>
          <w:rFonts w:hint="eastAsia" w:ascii="宋体" w:hAnsi="宋体" w:cs="宋体"/>
          <w:sz w:val="24"/>
        </w:rPr>
        <w:t>5.以上事项如有虚假或隐瞒，我方愿意承担一切后果，并不再寻求任何旨在减轻或免除法律责任的辩解。</w:t>
      </w:r>
    </w:p>
    <w:p>
      <w:pPr>
        <w:pStyle w:val="24"/>
        <w:tabs>
          <w:tab w:val="left" w:pos="939"/>
        </w:tabs>
        <w:snapToGrid w:val="0"/>
        <w:spacing w:line="360" w:lineRule="auto"/>
        <w:ind w:leftChars="0" w:firstLine="0" w:firstLineChars="0"/>
        <w:rPr>
          <w:rFonts w:ascii="宋体" w:hAnsi="宋体" w:cs="宋体"/>
          <w:sz w:val="24"/>
        </w:rPr>
      </w:pPr>
    </w:p>
    <w:p>
      <w:pPr>
        <w:pStyle w:val="123"/>
        <w:snapToGrid w:val="0"/>
        <w:spacing w:line="360" w:lineRule="auto"/>
        <w:rPr>
          <w:rFonts w:ascii="宋体" w:hAnsi="宋体" w:cs="宋体"/>
          <w:szCs w:val="24"/>
        </w:rPr>
      </w:pPr>
    </w:p>
    <w:p>
      <w:pPr>
        <w:snapToGrid w:val="0"/>
        <w:spacing w:line="360" w:lineRule="auto"/>
        <w:rPr>
          <w:rFonts w:ascii="宋体" w:hAnsi="宋体" w:cs="宋体"/>
          <w:sz w:val="24"/>
          <w:u w:val="single"/>
        </w:rPr>
      </w:pPr>
      <w:r>
        <w:rPr>
          <w:rFonts w:hint="eastAsia" w:ascii="宋体" w:hAnsi="宋体" w:cs="宋体"/>
          <w:sz w:val="24"/>
        </w:rPr>
        <w:t>法定代表人签字：</w:t>
      </w:r>
      <w:r>
        <w:rPr>
          <w:rFonts w:hint="eastAsia" w:ascii="宋体" w:hAnsi="宋体" w:cs="宋体"/>
          <w:sz w:val="24"/>
          <w:u w:val="single"/>
        </w:rPr>
        <w:t xml:space="preserve">             </w:t>
      </w:r>
    </w:p>
    <w:p>
      <w:pPr>
        <w:snapToGrid w:val="0"/>
        <w:spacing w:beforeLines="50" w:after="50"/>
        <w:jc w:val="left"/>
        <w:rPr>
          <w:rFonts w:ascii="宋体" w:hAnsi="宋体" w:cs="宋体"/>
          <w:sz w:val="24"/>
          <w:szCs w:val="20"/>
        </w:rPr>
      </w:pPr>
      <w:r>
        <w:rPr>
          <w:rFonts w:hint="eastAsia" w:ascii="宋体" w:hAnsi="宋体" w:cs="宋体"/>
          <w:sz w:val="24"/>
        </w:rPr>
        <w:t>供应商公章：</w:t>
      </w:r>
      <w:r>
        <w:rPr>
          <w:rFonts w:hint="eastAsia" w:ascii="宋体" w:hAnsi="宋体" w:cs="宋体"/>
          <w:sz w:val="24"/>
          <w:u w:val="single"/>
        </w:rPr>
        <w:t xml:space="preserve">               </w:t>
      </w:r>
      <w:r>
        <w:rPr>
          <w:rFonts w:hint="eastAsia" w:ascii="宋体" w:hAnsi="宋体" w:cs="宋体"/>
          <w:sz w:val="24"/>
        </w:rPr>
        <w:t xml:space="preserve">                      年    月    日</w:t>
      </w:r>
    </w:p>
    <w:p>
      <w:pPr>
        <w:pStyle w:val="27"/>
        <w:spacing w:before="120" w:after="120"/>
        <w:rPr>
          <w:rFonts w:hAnsi="宋体" w:cs="宋体"/>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pStyle w:val="19"/>
      </w:pPr>
    </w:p>
    <w:p>
      <w:pPr>
        <w:spacing w:line="360" w:lineRule="auto"/>
        <w:jc w:val="center"/>
        <w:rPr>
          <w:rFonts w:ascii="宋体" w:hAnsi="宋体" w:cs="宋体"/>
          <w:b/>
          <w:bCs/>
          <w:sz w:val="24"/>
        </w:rPr>
      </w:pPr>
    </w:p>
    <w:p>
      <w:pPr>
        <w:spacing w:line="360" w:lineRule="auto"/>
        <w:jc w:val="both"/>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r>
        <w:rPr>
          <w:rFonts w:hint="eastAsia" w:ascii="宋体" w:hAnsi="宋体" w:cs="宋体"/>
          <w:b/>
          <w:sz w:val="24"/>
        </w:rPr>
        <w:t>三、</w:t>
      </w:r>
      <w:r>
        <w:rPr>
          <w:rFonts w:hint="eastAsia" w:ascii="宋体" w:hAnsi="宋体" w:cs="宋体"/>
          <w:b/>
          <w:sz w:val="24"/>
          <w:lang w:eastAsia="zh-CN"/>
        </w:rPr>
        <w:t>项目具体实施方案（质量、安全、服务及承诺等）</w:t>
      </w:r>
    </w:p>
    <w:p>
      <w:pPr>
        <w:snapToGrid w:val="0"/>
        <w:spacing w:line="440" w:lineRule="exact"/>
        <w:rPr>
          <w:rFonts w:hint="eastAsia" w:ascii="宋体" w:hAnsi="宋体" w:cs="宋体"/>
          <w:sz w:val="24"/>
        </w:rPr>
      </w:pPr>
    </w:p>
    <w:p>
      <w:pPr>
        <w:spacing w:line="360" w:lineRule="auto"/>
        <w:rPr>
          <w:rFonts w:ascii="宋体" w:hAnsi="宋体" w:cs="宋体"/>
          <w:b/>
          <w:bCs/>
          <w:sz w:val="24"/>
        </w:rPr>
      </w:pPr>
    </w:p>
    <w:p>
      <w:pPr>
        <w:pStyle w:val="19"/>
        <w:rPr>
          <w:rFonts w:ascii="宋体" w:hAnsi="宋体" w:cs="宋体"/>
          <w:b/>
          <w:bCs/>
          <w:sz w:val="24"/>
        </w:rPr>
      </w:pPr>
    </w:p>
    <w:p>
      <w:pPr>
        <w:pStyle w:val="20"/>
        <w:rPr>
          <w:rFonts w:ascii="宋体" w:hAnsi="宋体" w:cs="宋体"/>
          <w:b/>
          <w:bCs/>
          <w:sz w:val="24"/>
        </w:rPr>
      </w:pPr>
    </w:p>
    <w:p>
      <w:pPr>
        <w:rPr>
          <w:rFonts w:ascii="宋体" w:hAnsi="宋体" w:cs="宋体"/>
          <w:b/>
          <w:bCs/>
          <w:sz w:val="24"/>
        </w:rPr>
      </w:pPr>
    </w:p>
    <w:p>
      <w:pPr>
        <w:pStyle w:val="19"/>
      </w:pPr>
    </w:p>
    <w:p/>
    <w:p>
      <w:pPr>
        <w:pStyle w:val="22"/>
        <w:ind w:left="0" w:leftChars="0" w:firstLine="0" w:firstLineChars="0"/>
      </w:pPr>
    </w:p>
    <w:p>
      <w:pPr>
        <w:numPr>
          <w:ilvl w:val="0"/>
          <w:numId w:val="8"/>
        </w:numPr>
        <w:spacing w:line="360" w:lineRule="auto"/>
        <w:ind w:firstLine="482" w:firstLineChars="200"/>
        <w:jc w:val="center"/>
        <w:rPr>
          <w:rFonts w:hint="eastAsia" w:ascii="宋体" w:hAnsi="宋体" w:cs="宋体"/>
          <w:b/>
          <w:bCs/>
          <w:sz w:val="24"/>
          <w:lang w:eastAsia="zh-CN"/>
        </w:rPr>
      </w:pPr>
      <w:r>
        <w:rPr>
          <w:rFonts w:hint="eastAsia" w:ascii="宋体" w:hAnsi="宋体" w:cs="宋体"/>
          <w:b/>
          <w:bCs/>
          <w:sz w:val="24"/>
          <w:lang w:eastAsia="zh-CN"/>
        </w:rPr>
        <w:t>针对本项目重点、难点分析及相应解决措施</w:t>
      </w:r>
    </w:p>
    <w:p>
      <w:pPr>
        <w:pStyle w:val="19"/>
        <w:widowControl w:val="0"/>
        <w:numPr>
          <w:ilvl w:val="0"/>
          <w:numId w:val="0"/>
        </w:numPr>
        <w:spacing w:line="0" w:lineRule="atLeast"/>
        <w:jc w:val="both"/>
      </w:pPr>
    </w:p>
    <w:p>
      <w:pPr>
        <w:pStyle w:val="20"/>
      </w:pPr>
    </w:p>
    <w:p/>
    <w:p>
      <w:pPr>
        <w:pStyle w:val="19"/>
      </w:pPr>
    </w:p>
    <w:p>
      <w:pPr>
        <w:pStyle w:val="20"/>
      </w:pPr>
    </w:p>
    <w:p>
      <w:pPr>
        <w:pStyle w:val="19"/>
      </w:pPr>
    </w:p>
    <w:p>
      <w:pPr>
        <w:pStyle w:val="20"/>
      </w:pPr>
    </w:p>
    <w:p>
      <w:pPr>
        <w:numPr>
          <w:ilvl w:val="0"/>
          <w:numId w:val="8"/>
        </w:numPr>
        <w:spacing w:line="360" w:lineRule="auto"/>
        <w:ind w:left="0" w:leftChars="0" w:firstLine="482" w:firstLineChars="200"/>
        <w:jc w:val="center"/>
        <w:rPr>
          <w:rFonts w:hint="eastAsia" w:ascii="宋体" w:hAnsi="宋体" w:cs="宋体"/>
          <w:b/>
          <w:bCs/>
          <w:sz w:val="24"/>
        </w:rPr>
      </w:pPr>
      <w:r>
        <w:rPr>
          <w:rFonts w:hint="eastAsia" w:ascii="宋体" w:hAnsi="宋体" w:cs="宋体"/>
          <w:b/>
          <w:bCs/>
          <w:sz w:val="24"/>
          <w:lang w:eastAsia="zh-CN"/>
        </w:rPr>
        <w:t>应急预</w:t>
      </w:r>
      <w:r>
        <w:rPr>
          <w:rFonts w:hint="eastAsia" w:ascii="宋体" w:hAnsi="宋体" w:cs="宋体"/>
          <w:b/>
          <w:bCs/>
          <w:sz w:val="24"/>
        </w:rPr>
        <w:t>案</w:t>
      </w:r>
    </w:p>
    <w:p>
      <w:pPr>
        <w:pStyle w:val="19"/>
        <w:widowControl w:val="0"/>
        <w:numPr>
          <w:ilvl w:val="0"/>
          <w:numId w:val="0"/>
        </w:numPr>
        <w:spacing w:line="0" w:lineRule="atLeast"/>
        <w:jc w:val="both"/>
      </w:pPr>
    </w:p>
    <w:p>
      <w:pPr>
        <w:pStyle w:val="20"/>
      </w:pPr>
    </w:p>
    <w:p/>
    <w:p>
      <w:pPr>
        <w:pStyle w:val="19"/>
      </w:pPr>
    </w:p>
    <w:p>
      <w:pPr>
        <w:pStyle w:val="19"/>
      </w:pPr>
    </w:p>
    <w:p>
      <w:pPr>
        <w:pStyle w:val="20"/>
      </w:pPr>
    </w:p>
    <w:p/>
    <w:p>
      <w:pPr>
        <w:pStyle w:val="19"/>
      </w:pPr>
    </w:p>
    <w:p>
      <w:pPr>
        <w:pStyle w:val="20"/>
      </w:pPr>
    </w:p>
    <w:p>
      <w:pPr>
        <w:numPr>
          <w:ilvl w:val="0"/>
          <w:numId w:val="8"/>
        </w:numPr>
        <w:spacing w:line="360" w:lineRule="auto"/>
        <w:ind w:left="0" w:leftChars="0" w:firstLine="482" w:firstLineChars="200"/>
        <w:jc w:val="center"/>
        <w:rPr>
          <w:rFonts w:hint="eastAsia" w:ascii="宋体" w:hAnsi="宋体" w:cs="宋体"/>
          <w:b/>
          <w:bCs/>
          <w:sz w:val="24"/>
          <w:lang w:eastAsia="zh-CN"/>
        </w:rPr>
      </w:pPr>
      <w:r>
        <w:rPr>
          <w:rFonts w:hint="eastAsia" w:ascii="宋体" w:hAnsi="宋体" w:cs="宋体"/>
          <w:b/>
          <w:bCs/>
          <w:sz w:val="24"/>
          <w:lang w:eastAsia="zh-CN"/>
        </w:rPr>
        <w:t>各项管理规则制度及考核</w:t>
      </w:r>
    </w:p>
    <w:p>
      <w:pPr>
        <w:spacing w:line="360" w:lineRule="auto"/>
        <w:ind w:firstLine="482" w:firstLineChars="200"/>
        <w:jc w:val="center"/>
        <w:rPr>
          <w:rFonts w:hint="eastAsia" w:ascii="宋体" w:hAnsi="宋体" w:cs="宋体"/>
          <w:b/>
          <w:bCs/>
          <w:sz w:val="24"/>
        </w:rPr>
      </w:pPr>
    </w:p>
    <w:p>
      <w:pPr>
        <w:spacing w:line="360" w:lineRule="auto"/>
        <w:ind w:firstLine="482" w:firstLineChars="200"/>
        <w:jc w:val="center"/>
        <w:rPr>
          <w:rFonts w:hint="eastAsia" w:ascii="宋体" w:hAnsi="宋体" w:cs="宋体"/>
          <w:b/>
          <w:bCs/>
          <w:sz w:val="24"/>
        </w:rPr>
      </w:pPr>
    </w:p>
    <w:p>
      <w:pPr>
        <w:spacing w:line="360" w:lineRule="auto"/>
        <w:ind w:firstLine="482" w:firstLineChars="200"/>
        <w:jc w:val="center"/>
        <w:rPr>
          <w:rFonts w:hint="eastAsia" w:ascii="宋体" w:hAnsi="宋体" w:cs="宋体"/>
          <w:b/>
          <w:bCs/>
          <w:sz w:val="24"/>
        </w:rPr>
      </w:pPr>
    </w:p>
    <w:p>
      <w:pPr>
        <w:spacing w:line="360" w:lineRule="auto"/>
        <w:ind w:firstLine="482" w:firstLineChars="200"/>
        <w:jc w:val="center"/>
        <w:rPr>
          <w:rFonts w:hint="eastAsia" w:ascii="宋体" w:hAnsi="宋体" w:cs="宋体"/>
          <w:b/>
          <w:bCs/>
          <w:sz w:val="24"/>
        </w:rPr>
      </w:pPr>
    </w:p>
    <w:p>
      <w:pPr>
        <w:spacing w:line="360" w:lineRule="auto"/>
        <w:ind w:firstLine="482" w:firstLineChars="200"/>
        <w:jc w:val="center"/>
        <w:rPr>
          <w:rFonts w:hint="eastAsia" w:ascii="宋体" w:hAnsi="宋体" w:cs="宋体"/>
          <w:b/>
          <w:bCs/>
          <w:sz w:val="24"/>
        </w:rPr>
      </w:pPr>
    </w:p>
    <w:p>
      <w:pPr>
        <w:spacing w:line="360" w:lineRule="auto"/>
        <w:ind w:firstLine="482" w:firstLineChars="200"/>
        <w:jc w:val="center"/>
        <w:rPr>
          <w:rFonts w:hint="eastAsia" w:ascii="宋体" w:hAnsi="宋体" w:cs="宋体"/>
          <w:b/>
          <w:bCs/>
          <w:sz w:val="24"/>
        </w:rPr>
      </w:pPr>
    </w:p>
    <w:p>
      <w:pPr>
        <w:spacing w:line="360" w:lineRule="auto"/>
        <w:ind w:firstLine="482" w:firstLineChars="200"/>
        <w:jc w:val="center"/>
        <w:rPr>
          <w:rFonts w:hint="eastAsia" w:ascii="宋体" w:hAnsi="宋体" w:cs="宋体"/>
          <w:b/>
          <w:bCs/>
          <w:sz w:val="24"/>
        </w:rPr>
      </w:pPr>
    </w:p>
    <w:p>
      <w:pPr>
        <w:spacing w:line="360" w:lineRule="auto"/>
        <w:ind w:firstLine="482" w:firstLineChars="200"/>
        <w:jc w:val="center"/>
        <w:rPr>
          <w:rFonts w:hint="eastAsia" w:ascii="宋体" w:hAnsi="宋体" w:cs="宋体"/>
          <w:b/>
          <w:bCs/>
          <w:sz w:val="24"/>
        </w:rPr>
      </w:pPr>
      <w:r>
        <w:rPr>
          <w:rFonts w:hint="eastAsia" w:ascii="宋体" w:hAnsi="宋体" w:cs="宋体"/>
          <w:b/>
          <w:bCs/>
          <w:sz w:val="24"/>
          <w:lang w:eastAsia="zh-CN"/>
        </w:rPr>
        <w:t>七、人员配备</w:t>
      </w:r>
    </w:p>
    <w:tbl>
      <w:tblPr>
        <w:tblStyle w:val="40"/>
        <w:tblW w:w="1044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5"/>
        <w:gridCol w:w="1585"/>
        <w:gridCol w:w="2622"/>
        <w:gridCol w:w="1987"/>
        <w:gridCol w:w="19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8" w:hRule="atLeast"/>
          <w:jc w:val="center"/>
        </w:trPr>
        <w:tc>
          <w:tcPr>
            <w:tcW w:w="226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540" w:lineRule="exact"/>
              <w:jc w:val="center"/>
              <w:rPr>
                <w:sz w:val="24"/>
              </w:rPr>
            </w:pPr>
            <w:r>
              <w:rPr>
                <w:rFonts w:hint="eastAsia"/>
                <w:sz w:val="24"/>
              </w:rPr>
              <w:t>姓名</w:t>
            </w:r>
          </w:p>
        </w:tc>
        <w:tc>
          <w:tcPr>
            <w:tcW w:w="158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540" w:lineRule="exact"/>
              <w:jc w:val="center"/>
              <w:rPr>
                <w:sz w:val="24"/>
              </w:rPr>
            </w:pPr>
            <w:r>
              <w:rPr>
                <w:rFonts w:hint="eastAsia"/>
                <w:sz w:val="24"/>
              </w:rPr>
              <w:t>职务</w:t>
            </w:r>
          </w:p>
        </w:tc>
        <w:tc>
          <w:tcPr>
            <w:tcW w:w="262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540" w:lineRule="exact"/>
              <w:jc w:val="center"/>
              <w:rPr>
                <w:sz w:val="24"/>
              </w:rPr>
            </w:pPr>
            <w:r>
              <w:rPr>
                <w:rFonts w:hint="eastAsia"/>
                <w:sz w:val="24"/>
              </w:rPr>
              <w:t>专业技术资格</w:t>
            </w:r>
          </w:p>
        </w:tc>
        <w:tc>
          <w:tcPr>
            <w:tcW w:w="198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540" w:lineRule="exact"/>
              <w:jc w:val="center"/>
              <w:rPr>
                <w:sz w:val="24"/>
              </w:rPr>
            </w:pPr>
            <w:r>
              <w:rPr>
                <w:rFonts w:hint="eastAsia"/>
                <w:sz w:val="24"/>
              </w:rPr>
              <w:t>证书编号</w:t>
            </w:r>
          </w:p>
        </w:tc>
        <w:tc>
          <w:tcPr>
            <w:tcW w:w="198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540" w:lineRule="exact"/>
              <w:jc w:val="center"/>
              <w:rPr>
                <w:sz w:val="24"/>
              </w:rPr>
            </w:pPr>
            <w:r>
              <w:rPr>
                <w:rFonts w:hint="eastAsia"/>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pStyle w:val="28"/>
              <w:snapToGrid w:val="0"/>
              <w:spacing w:beforeLines="50" w:after="50" w:line="540" w:lineRule="exact"/>
              <w:ind w:left="7000"/>
              <w:rPr>
                <w:rFonts w:ascii="宋体" w:hAnsi="宋体"/>
                <w:sz w:val="24"/>
                <w:szCs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bl>
    <w:p>
      <w:pPr>
        <w:snapToGrid w:val="0"/>
        <w:spacing w:before="50" w:afterLines="50" w:line="540" w:lineRule="exact"/>
        <w:rPr>
          <w:sz w:val="24"/>
        </w:rPr>
      </w:pPr>
      <w:r>
        <w:rPr>
          <w:rFonts w:hint="eastAsia"/>
          <w:sz w:val="24"/>
        </w:rPr>
        <w:t>注：在填写时，如本表格不适合供应商的实际情况，可根据本表格式自行划表填写。</w:t>
      </w:r>
    </w:p>
    <w:p>
      <w:pPr>
        <w:adjustRightInd w:val="0"/>
        <w:spacing w:line="500" w:lineRule="exact"/>
        <w:rPr>
          <w:sz w:val="24"/>
        </w:rPr>
      </w:pPr>
      <w:r>
        <w:rPr>
          <w:rFonts w:hint="eastAsia"/>
          <w:sz w:val="24"/>
        </w:rPr>
        <w:t>供应商全称（盖章）：</w:t>
      </w:r>
    </w:p>
    <w:p>
      <w:pPr>
        <w:adjustRightInd w:val="0"/>
        <w:spacing w:line="500" w:lineRule="exact"/>
        <w:rPr>
          <w:sz w:val="24"/>
        </w:rPr>
      </w:pPr>
      <w:r>
        <w:rPr>
          <w:rFonts w:hint="eastAsia"/>
          <w:sz w:val="24"/>
        </w:rPr>
        <w:t>法定代表人或</w:t>
      </w:r>
      <w:r>
        <w:rPr>
          <w:rFonts w:hint="eastAsia"/>
          <w:spacing w:val="20"/>
          <w:sz w:val="24"/>
        </w:rPr>
        <w:t>授权代表</w:t>
      </w:r>
      <w:r>
        <w:rPr>
          <w:rFonts w:hint="eastAsia"/>
          <w:sz w:val="24"/>
        </w:rPr>
        <w:t xml:space="preserve">（签字或盖章）：         </w:t>
      </w:r>
    </w:p>
    <w:p>
      <w:pPr>
        <w:adjustRightInd w:val="0"/>
        <w:spacing w:line="500" w:lineRule="exact"/>
        <w:rPr>
          <w:b/>
          <w:sz w:val="28"/>
          <w:szCs w:val="21"/>
        </w:rPr>
      </w:pPr>
      <w:r>
        <w:rPr>
          <w:rFonts w:hint="eastAsia"/>
          <w:sz w:val="24"/>
        </w:rPr>
        <w:t>日   期：</w:t>
      </w:r>
    </w:p>
    <w:p>
      <w:pPr>
        <w:pStyle w:val="20"/>
      </w:pPr>
      <w:r>
        <w:rPr>
          <w:rFonts w:hint="eastAsia"/>
          <w:b/>
          <w:bCs w:val="0"/>
          <w:sz w:val="28"/>
          <w:szCs w:val="28"/>
        </w:rPr>
        <w:t>附</w:t>
      </w:r>
      <w:r>
        <w:rPr>
          <w:rFonts w:hint="eastAsia"/>
          <w:b/>
          <w:bCs w:val="0"/>
          <w:sz w:val="28"/>
          <w:szCs w:val="28"/>
          <w:lang w:val="en-US"/>
        </w:rPr>
        <w:t>人员证书</w:t>
      </w:r>
      <w:r>
        <w:rPr>
          <w:rFonts w:hint="eastAsia"/>
          <w:b/>
          <w:bCs w:val="0"/>
          <w:sz w:val="28"/>
          <w:szCs w:val="28"/>
          <w:lang w:val="en-US" w:eastAsia="zh-CN"/>
        </w:rPr>
        <w:t>、社保及</w:t>
      </w:r>
      <w:r>
        <w:rPr>
          <w:rFonts w:hint="eastAsia"/>
          <w:b/>
          <w:bCs w:val="0"/>
          <w:sz w:val="28"/>
          <w:szCs w:val="28"/>
          <w:lang w:val="en-US"/>
        </w:rPr>
        <w:t>相关证明资料</w:t>
      </w:r>
      <w:r>
        <w:rPr>
          <w:rFonts w:hint="eastAsia"/>
          <w:b/>
          <w:bCs w:val="0"/>
          <w:sz w:val="28"/>
          <w:szCs w:val="28"/>
          <w:lang w:val="en-US" w:eastAsia="zh-CN"/>
        </w:rPr>
        <w:t>原件</w:t>
      </w:r>
      <w:r>
        <w:rPr>
          <w:rFonts w:hint="eastAsia"/>
          <w:b/>
          <w:bCs w:val="0"/>
          <w:sz w:val="28"/>
          <w:szCs w:val="28"/>
          <w:lang w:val="en-US"/>
        </w:rPr>
        <w:t>扫描件并加盖公章</w:t>
      </w:r>
    </w:p>
    <w:p>
      <w:pPr>
        <w:spacing w:line="360" w:lineRule="auto"/>
        <w:ind w:firstLine="482" w:firstLineChars="200"/>
        <w:jc w:val="center"/>
        <w:rPr>
          <w:rFonts w:hint="eastAsia" w:ascii="宋体" w:hAnsi="宋体" w:cs="宋体"/>
          <w:b/>
          <w:bCs/>
          <w:sz w:val="24"/>
        </w:rPr>
      </w:pPr>
    </w:p>
    <w:p>
      <w:pPr>
        <w:spacing w:line="360" w:lineRule="auto"/>
        <w:ind w:firstLine="482" w:firstLineChars="200"/>
        <w:jc w:val="center"/>
        <w:rPr>
          <w:rFonts w:hint="eastAsia" w:ascii="宋体" w:hAnsi="宋体" w:cs="宋体"/>
          <w:b/>
          <w:bCs/>
          <w:sz w:val="24"/>
        </w:rPr>
      </w:pPr>
    </w:p>
    <w:p>
      <w:pPr>
        <w:pStyle w:val="19"/>
        <w:rPr>
          <w:rFonts w:hint="eastAsia" w:ascii="宋体" w:hAnsi="宋体" w:cs="宋体"/>
          <w:b/>
          <w:bCs/>
          <w:sz w:val="24"/>
        </w:rPr>
      </w:pPr>
    </w:p>
    <w:p>
      <w:pPr>
        <w:pStyle w:val="20"/>
        <w:rPr>
          <w:rFonts w:hint="eastAsia" w:ascii="宋体" w:hAnsi="宋体" w:cs="宋体"/>
          <w:b/>
          <w:bCs/>
          <w:sz w:val="24"/>
        </w:rPr>
      </w:pPr>
    </w:p>
    <w:p>
      <w:pPr>
        <w:rPr>
          <w:rFonts w:hint="eastAsia"/>
        </w:rPr>
      </w:pPr>
    </w:p>
    <w:p>
      <w:pPr>
        <w:spacing w:line="360" w:lineRule="auto"/>
        <w:ind w:firstLine="482" w:firstLineChars="200"/>
        <w:jc w:val="center"/>
        <w:rPr>
          <w:rFonts w:hint="eastAsia" w:ascii="宋体" w:hAnsi="宋体" w:cs="宋体"/>
          <w:b/>
          <w:bCs/>
          <w:sz w:val="24"/>
        </w:rPr>
      </w:pPr>
    </w:p>
    <w:p>
      <w:pPr>
        <w:pStyle w:val="20"/>
        <w:jc w:val="center"/>
        <w:rPr>
          <w:rFonts w:hint="eastAsia" w:ascii="宋体" w:hAnsi="宋体" w:cs="宋体"/>
          <w:b/>
          <w:bCs/>
          <w:sz w:val="24"/>
          <w:lang w:eastAsia="zh-CN"/>
        </w:rPr>
      </w:pPr>
    </w:p>
    <w:p>
      <w:pPr>
        <w:pStyle w:val="20"/>
        <w:ind w:left="0" w:leftChars="0" w:firstLine="0" w:firstLineChars="0"/>
        <w:jc w:val="both"/>
        <w:rPr>
          <w:rFonts w:hint="eastAsia" w:ascii="宋体" w:hAnsi="宋体" w:cs="宋体"/>
          <w:b/>
          <w:bCs/>
          <w:sz w:val="24"/>
          <w:lang w:eastAsia="zh-CN"/>
        </w:rPr>
      </w:pPr>
    </w:p>
    <w:p>
      <w:pPr>
        <w:pStyle w:val="20"/>
        <w:jc w:val="center"/>
        <w:rPr>
          <w:rFonts w:hint="eastAsia" w:ascii="宋体" w:hAnsi="宋体" w:cs="宋体"/>
          <w:b/>
          <w:bCs/>
          <w:sz w:val="24"/>
          <w:lang w:eastAsia="zh-CN"/>
        </w:rPr>
      </w:pPr>
      <w:r>
        <w:rPr>
          <w:rFonts w:hint="eastAsia" w:ascii="宋体" w:hAnsi="宋体" w:cs="宋体"/>
          <w:b/>
          <w:bCs/>
          <w:sz w:val="24"/>
          <w:lang w:eastAsia="zh-CN"/>
        </w:rPr>
        <w:t>八、投入本项目设备情况</w:t>
      </w:r>
    </w:p>
    <w:p>
      <w:pPr>
        <w:pStyle w:val="20"/>
        <w:jc w:val="center"/>
        <w:rPr>
          <w:rFonts w:hint="eastAsia" w:ascii="宋体" w:hAnsi="宋体" w:cs="宋体"/>
          <w:b/>
          <w:bCs/>
          <w:sz w:val="24"/>
          <w:lang w:eastAsia="zh-CN"/>
        </w:rPr>
      </w:pPr>
    </w:p>
    <w:p>
      <w:pPr>
        <w:rPr>
          <w:rFonts w:hint="eastAsia"/>
          <w:lang w:eastAsia="zh-CN"/>
        </w:rPr>
      </w:pPr>
    </w:p>
    <w:p>
      <w:pPr>
        <w:pStyle w:val="20"/>
        <w:jc w:val="center"/>
        <w:rPr>
          <w:rFonts w:hint="eastAsia" w:ascii="宋体" w:hAnsi="宋体" w:cs="宋体"/>
          <w:b/>
          <w:bCs/>
          <w:sz w:val="24"/>
          <w:lang w:eastAsia="zh-CN"/>
        </w:rPr>
      </w:pPr>
    </w:p>
    <w:p>
      <w:pPr>
        <w:jc w:val="center"/>
        <w:rPr>
          <w:rFonts w:hint="eastAsia"/>
          <w:lang w:eastAsia="zh-CN"/>
        </w:rPr>
      </w:pPr>
      <w:r>
        <w:rPr>
          <w:rFonts w:hint="eastAsia" w:ascii="宋体" w:hAnsi="宋体" w:cs="宋体"/>
          <w:b/>
          <w:bCs/>
          <w:sz w:val="24"/>
          <w:lang w:eastAsia="zh-CN"/>
        </w:rPr>
        <w:t>九、服务承诺</w:t>
      </w:r>
    </w:p>
    <w:p>
      <w:pPr>
        <w:pStyle w:val="20"/>
        <w:jc w:val="center"/>
        <w:rPr>
          <w:rFonts w:hint="eastAsia" w:ascii="宋体" w:hAnsi="宋体" w:cs="宋体"/>
          <w:b/>
          <w:bCs/>
          <w:sz w:val="24"/>
          <w:lang w:eastAsia="zh-CN"/>
        </w:rPr>
      </w:pPr>
    </w:p>
    <w:p>
      <w:pPr>
        <w:pStyle w:val="20"/>
        <w:jc w:val="center"/>
        <w:rPr>
          <w:rFonts w:hint="eastAsia" w:ascii="宋体" w:hAnsi="宋体" w:cs="宋体"/>
          <w:b/>
          <w:bCs/>
          <w:sz w:val="24"/>
          <w:lang w:eastAsia="zh-CN"/>
        </w:rPr>
      </w:pPr>
    </w:p>
    <w:p>
      <w:pPr>
        <w:rPr>
          <w:rFonts w:hint="eastAsia"/>
          <w:lang w:eastAsia="zh-CN"/>
        </w:rPr>
      </w:pPr>
    </w:p>
    <w:p>
      <w:pPr>
        <w:pStyle w:val="20"/>
        <w:jc w:val="center"/>
        <w:rPr>
          <w:rFonts w:hint="eastAsia" w:ascii="宋体" w:hAnsi="宋体" w:cs="宋体"/>
          <w:b/>
          <w:bCs/>
          <w:sz w:val="24"/>
          <w:lang w:eastAsia="zh-CN"/>
        </w:rPr>
      </w:pPr>
      <w:r>
        <w:rPr>
          <w:rFonts w:hint="eastAsia" w:ascii="宋体" w:hAnsi="宋体" w:cs="宋体"/>
          <w:b/>
          <w:bCs/>
          <w:sz w:val="24"/>
          <w:lang w:eastAsia="zh-CN"/>
        </w:rPr>
        <w:t>十、企业业绩</w:t>
      </w:r>
    </w:p>
    <w:p>
      <w:pPr>
        <w:spacing w:line="600" w:lineRule="exact"/>
        <w:rPr>
          <w:rFonts w:hint="eastAsia" w:ascii="宋体" w:hAnsi="宋体"/>
          <w:sz w:val="24"/>
        </w:rPr>
      </w:pPr>
      <w:r>
        <w:rPr>
          <w:rFonts w:hint="eastAsia" w:ascii="宋体" w:hAnsi="宋体"/>
          <w:sz w:val="24"/>
        </w:rPr>
        <w:t xml:space="preserve">供应商全称（加盖公章）：             </w:t>
      </w:r>
    </w:p>
    <w:p>
      <w:pPr>
        <w:spacing w:line="600" w:lineRule="exact"/>
        <w:rPr>
          <w:rFonts w:ascii="宋体" w:hAnsi="宋体"/>
          <w:sz w:val="24"/>
        </w:rPr>
      </w:pPr>
      <w:r>
        <w:rPr>
          <w:rFonts w:hint="eastAsia" w:ascii="宋体" w:hAnsi="宋体"/>
          <w:sz w:val="24"/>
          <w:lang w:eastAsia="zh-CN"/>
        </w:rPr>
        <w:t>项目</w:t>
      </w:r>
      <w:r>
        <w:rPr>
          <w:rFonts w:hint="eastAsia" w:ascii="宋体" w:hAnsi="宋体"/>
          <w:sz w:val="24"/>
        </w:rPr>
        <w:t>编号：</w:t>
      </w:r>
    </w:p>
    <w:tbl>
      <w:tblPr>
        <w:tblStyle w:val="4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1795"/>
        <w:gridCol w:w="1474"/>
        <w:gridCol w:w="1474"/>
        <w:gridCol w:w="1902"/>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600" w:lineRule="exact"/>
              <w:jc w:val="center"/>
              <w:rPr>
                <w:rFonts w:ascii="宋体" w:hAnsi="宋体"/>
                <w:bCs/>
                <w:sz w:val="24"/>
              </w:rPr>
            </w:pPr>
            <w:r>
              <w:rPr>
                <w:rFonts w:hint="eastAsia" w:ascii="宋体" w:hAnsi="宋体"/>
                <w:bCs/>
                <w:sz w:val="24"/>
              </w:rPr>
              <w:t>序号</w:t>
            </w:r>
          </w:p>
        </w:tc>
        <w:tc>
          <w:tcPr>
            <w:tcW w:w="921" w:type="pct"/>
          </w:tcPr>
          <w:p>
            <w:pPr>
              <w:spacing w:line="600" w:lineRule="exact"/>
              <w:jc w:val="center"/>
              <w:rPr>
                <w:rFonts w:hint="eastAsia" w:ascii="宋体" w:hAnsi="宋体" w:eastAsia="宋体"/>
                <w:bCs/>
                <w:sz w:val="24"/>
                <w:lang w:eastAsia="zh-CN"/>
              </w:rPr>
            </w:pPr>
            <w:r>
              <w:rPr>
                <w:rFonts w:hint="eastAsia" w:ascii="宋体" w:hAnsi="宋体"/>
                <w:bCs/>
                <w:sz w:val="24"/>
                <w:lang w:eastAsia="zh-CN"/>
              </w:rPr>
              <w:t>项目名称</w:t>
            </w:r>
          </w:p>
        </w:tc>
        <w:tc>
          <w:tcPr>
            <w:tcW w:w="756" w:type="pct"/>
          </w:tcPr>
          <w:p>
            <w:pPr>
              <w:spacing w:line="600" w:lineRule="exact"/>
              <w:jc w:val="center"/>
              <w:rPr>
                <w:rFonts w:ascii="宋体" w:hAnsi="宋体"/>
                <w:bCs/>
                <w:sz w:val="24"/>
              </w:rPr>
            </w:pPr>
            <w:r>
              <w:rPr>
                <w:rFonts w:hint="eastAsia" w:ascii="宋体" w:hAnsi="宋体"/>
                <w:bCs/>
                <w:sz w:val="24"/>
              </w:rPr>
              <w:t>合同金额</w:t>
            </w:r>
          </w:p>
        </w:tc>
        <w:tc>
          <w:tcPr>
            <w:tcW w:w="756" w:type="pct"/>
          </w:tcPr>
          <w:p>
            <w:pPr>
              <w:spacing w:line="600" w:lineRule="exact"/>
              <w:jc w:val="center"/>
              <w:rPr>
                <w:rFonts w:ascii="宋体" w:hAnsi="宋体"/>
                <w:bCs/>
                <w:sz w:val="24"/>
              </w:rPr>
            </w:pPr>
            <w:r>
              <w:rPr>
                <w:rFonts w:hint="eastAsia" w:ascii="宋体" w:hAnsi="宋体"/>
                <w:bCs/>
                <w:sz w:val="24"/>
              </w:rPr>
              <w:t>签订时间</w:t>
            </w:r>
          </w:p>
        </w:tc>
        <w:tc>
          <w:tcPr>
            <w:tcW w:w="976" w:type="pct"/>
          </w:tcPr>
          <w:p>
            <w:pPr>
              <w:spacing w:line="600" w:lineRule="exact"/>
              <w:jc w:val="center"/>
              <w:rPr>
                <w:rFonts w:ascii="宋体" w:hAnsi="宋体"/>
                <w:bCs/>
                <w:sz w:val="24"/>
              </w:rPr>
            </w:pPr>
            <w:r>
              <w:rPr>
                <w:rFonts w:hint="eastAsia" w:ascii="宋体" w:hAnsi="宋体"/>
                <w:bCs/>
                <w:sz w:val="24"/>
              </w:rPr>
              <w:t>使用方</w:t>
            </w:r>
            <w:r>
              <w:rPr>
                <w:rFonts w:hint="eastAsia" w:ascii="宋体" w:hAnsi="宋体"/>
                <w:bCs/>
                <w:sz w:val="24"/>
                <w:lang w:eastAsia="zh-CN"/>
              </w:rPr>
              <w:t>及</w:t>
            </w:r>
            <w:r>
              <w:rPr>
                <w:rFonts w:hint="eastAsia" w:ascii="宋体" w:hAnsi="宋体"/>
                <w:bCs/>
                <w:sz w:val="24"/>
              </w:rPr>
              <w:t>联系人</w:t>
            </w:r>
          </w:p>
        </w:tc>
        <w:tc>
          <w:tcPr>
            <w:tcW w:w="1132" w:type="pct"/>
          </w:tcPr>
          <w:p>
            <w:pPr>
              <w:spacing w:line="600" w:lineRule="exact"/>
              <w:jc w:val="center"/>
              <w:rPr>
                <w:rFonts w:ascii="宋体" w:hAnsi="宋体"/>
                <w:bCs/>
                <w:sz w:val="24"/>
              </w:rPr>
            </w:pPr>
            <w:r>
              <w:rPr>
                <w:rFonts w:hint="eastAsia" w:ascii="宋体" w:hAnsi="宋体"/>
                <w:bCs/>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976" w:type="pct"/>
          </w:tcPr>
          <w:p>
            <w:pPr>
              <w:spacing w:line="600" w:lineRule="exact"/>
              <w:rPr>
                <w:rFonts w:ascii="宋体" w:hAnsi="宋体"/>
                <w:bCs/>
                <w:sz w:val="24"/>
              </w:rPr>
            </w:pPr>
          </w:p>
        </w:tc>
        <w:tc>
          <w:tcPr>
            <w:tcW w:w="1132" w:type="pct"/>
          </w:tcPr>
          <w:p>
            <w:pPr>
              <w:spacing w:line="6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976" w:type="pct"/>
          </w:tcPr>
          <w:p>
            <w:pPr>
              <w:spacing w:line="600" w:lineRule="exact"/>
              <w:rPr>
                <w:rFonts w:ascii="宋体" w:hAnsi="宋体"/>
                <w:bCs/>
                <w:sz w:val="24"/>
              </w:rPr>
            </w:pPr>
          </w:p>
        </w:tc>
        <w:tc>
          <w:tcPr>
            <w:tcW w:w="1132" w:type="pct"/>
          </w:tcPr>
          <w:p>
            <w:pPr>
              <w:spacing w:line="6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976" w:type="pct"/>
          </w:tcPr>
          <w:p>
            <w:pPr>
              <w:spacing w:line="600" w:lineRule="exact"/>
              <w:rPr>
                <w:rFonts w:ascii="宋体" w:hAnsi="宋体"/>
                <w:bCs/>
                <w:sz w:val="24"/>
              </w:rPr>
            </w:pPr>
          </w:p>
        </w:tc>
        <w:tc>
          <w:tcPr>
            <w:tcW w:w="1132" w:type="pct"/>
          </w:tcPr>
          <w:p>
            <w:pPr>
              <w:spacing w:line="6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976" w:type="pct"/>
          </w:tcPr>
          <w:p>
            <w:pPr>
              <w:spacing w:line="600" w:lineRule="exact"/>
              <w:rPr>
                <w:rFonts w:ascii="宋体" w:hAnsi="宋体"/>
                <w:bCs/>
                <w:sz w:val="24"/>
              </w:rPr>
            </w:pPr>
          </w:p>
        </w:tc>
        <w:tc>
          <w:tcPr>
            <w:tcW w:w="1132" w:type="pct"/>
          </w:tcPr>
          <w:p>
            <w:pPr>
              <w:spacing w:line="6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976" w:type="pct"/>
          </w:tcPr>
          <w:p>
            <w:pPr>
              <w:spacing w:line="600" w:lineRule="exact"/>
              <w:rPr>
                <w:rFonts w:ascii="宋体" w:hAnsi="宋体"/>
                <w:bCs/>
                <w:sz w:val="24"/>
              </w:rPr>
            </w:pPr>
          </w:p>
        </w:tc>
        <w:tc>
          <w:tcPr>
            <w:tcW w:w="1132" w:type="pct"/>
          </w:tcPr>
          <w:p>
            <w:pPr>
              <w:spacing w:line="6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976" w:type="pct"/>
          </w:tcPr>
          <w:p>
            <w:pPr>
              <w:spacing w:line="600" w:lineRule="exact"/>
              <w:rPr>
                <w:rFonts w:ascii="宋体" w:hAnsi="宋体"/>
                <w:bCs/>
                <w:sz w:val="24"/>
              </w:rPr>
            </w:pPr>
          </w:p>
        </w:tc>
        <w:tc>
          <w:tcPr>
            <w:tcW w:w="1132" w:type="pct"/>
          </w:tcPr>
          <w:p>
            <w:pPr>
              <w:spacing w:line="6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976" w:type="pct"/>
          </w:tcPr>
          <w:p>
            <w:pPr>
              <w:spacing w:line="600" w:lineRule="exact"/>
              <w:rPr>
                <w:rFonts w:ascii="宋体" w:hAnsi="宋体"/>
                <w:bCs/>
                <w:sz w:val="24"/>
              </w:rPr>
            </w:pPr>
          </w:p>
        </w:tc>
        <w:tc>
          <w:tcPr>
            <w:tcW w:w="1132" w:type="pct"/>
          </w:tcPr>
          <w:p>
            <w:pPr>
              <w:spacing w:line="600" w:lineRule="exact"/>
              <w:rPr>
                <w:rFonts w:ascii="宋体" w:hAnsi="宋体"/>
                <w:bCs/>
                <w:sz w:val="24"/>
              </w:rPr>
            </w:pPr>
          </w:p>
        </w:tc>
      </w:tr>
    </w:tbl>
    <w:p>
      <w:pPr>
        <w:spacing w:line="600" w:lineRule="exact"/>
        <w:rPr>
          <w:rFonts w:ascii="宋体" w:hAnsi="宋体"/>
          <w:sz w:val="24"/>
        </w:rPr>
      </w:pPr>
      <w:r>
        <w:rPr>
          <w:rFonts w:hint="eastAsia" w:ascii="宋体" w:hAnsi="宋体"/>
          <w:sz w:val="24"/>
        </w:rPr>
        <w:t>法定代表人或其授权代理人（</w:t>
      </w:r>
      <w:r>
        <w:rPr>
          <w:rFonts w:hint="eastAsia" w:ascii="宋体" w:hAnsi="宋体"/>
          <w:sz w:val="24"/>
          <w:lang w:eastAsia="zh-CN"/>
        </w:rPr>
        <w:t>签字或盖章</w:t>
      </w:r>
      <w:r>
        <w:rPr>
          <w:rFonts w:hint="eastAsia" w:ascii="宋体" w:hAnsi="宋体"/>
          <w:sz w:val="24"/>
        </w:rPr>
        <w:t>）：</w:t>
      </w:r>
    </w:p>
    <w:p>
      <w:pPr>
        <w:spacing w:line="600" w:lineRule="exact"/>
        <w:rPr>
          <w:rFonts w:ascii="宋体" w:hAnsi="宋体"/>
          <w:sz w:val="24"/>
        </w:rPr>
      </w:pPr>
      <w:r>
        <w:rPr>
          <w:rFonts w:hint="eastAsia" w:ascii="宋体" w:hAnsi="宋体"/>
          <w:sz w:val="24"/>
        </w:rPr>
        <w:t>日期：    年   月  日</w:t>
      </w:r>
    </w:p>
    <w:p>
      <w:pPr>
        <w:spacing w:line="600" w:lineRule="exact"/>
        <w:ind w:firstLine="360" w:firstLineChars="150"/>
        <w:rPr>
          <w:rFonts w:ascii="宋体" w:hAnsi="宋体"/>
          <w:sz w:val="24"/>
        </w:rPr>
      </w:pPr>
      <w:r>
        <w:rPr>
          <w:rFonts w:hint="eastAsia" w:ascii="宋体" w:hAnsi="宋体"/>
          <w:sz w:val="24"/>
        </w:rPr>
        <w:t>注：此表仅提供了表格形式，供应商应根据需要准备足够数量的表格来填写。</w:t>
      </w:r>
    </w:p>
    <w:p>
      <w:pPr>
        <w:snapToGrid w:val="0"/>
        <w:spacing w:beforeLines="50" w:after="50"/>
        <w:ind w:firstLine="240" w:firstLineChars="100"/>
        <w:rPr>
          <w:rFonts w:ascii="宋体" w:hAnsi="宋体"/>
          <w:sz w:val="24"/>
        </w:rPr>
      </w:pPr>
      <w:r>
        <w:rPr>
          <w:rFonts w:hint="eastAsia" w:ascii="宋体" w:hAnsi="宋体"/>
          <w:sz w:val="24"/>
        </w:rPr>
        <w:t xml:space="preserve">  </w:t>
      </w: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b/>
          <w:bCs/>
          <w:sz w:val="24"/>
        </w:rPr>
      </w:pPr>
    </w:p>
    <w:p>
      <w:pPr>
        <w:pStyle w:val="21"/>
        <w:rPr>
          <w:rFonts w:hAnsi="宋体" w:cs="宋体"/>
          <w:spacing w:val="20"/>
          <w:sz w:val="24"/>
        </w:rPr>
      </w:pPr>
    </w:p>
    <w:p>
      <w:pPr>
        <w:pStyle w:val="21"/>
        <w:ind w:left="0" w:leftChars="0" w:firstLine="0" w:firstLineChars="0"/>
        <w:rPr>
          <w:rFonts w:cs="仿宋_GB2312"/>
          <w:sz w:val="24"/>
          <w:lang w:val="zh-CN"/>
        </w:rPr>
      </w:pPr>
    </w:p>
    <w:p>
      <w:pPr>
        <w:numPr>
          <w:ilvl w:val="0"/>
          <w:numId w:val="9"/>
        </w:numPr>
        <w:snapToGrid w:val="0"/>
        <w:spacing w:line="360" w:lineRule="auto"/>
        <w:ind w:firstLine="482" w:firstLineChars="200"/>
        <w:jc w:val="center"/>
        <w:rPr>
          <w:rFonts w:hint="eastAsia" w:ascii="宋体" w:hAnsi="宋体"/>
          <w:b/>
          <w:bCs/>
          <w:sz w:val="24"/>
          <w:lang w:eastAsia="zh-CN"/>
        </w:rPr>
      </w:pPr>
      <w:r>
        <w:rPr>
          <w:rFonts w:hint="eastAsia" w:ascii="宋体" w:hAnsi="宋体"/>
          <w:b/>
          <w:bCs/>
          <w:sz w:val="24"/>
          <w:lang w:eastAsia="zh-CN"/>
        </w:rPr>
        <w:t>权威认证</w:t>
      </w:r>
    </w:p>
    <w:p>
      <w:pPr>
        <w:pStyle w:val="19"/>
        <w:widowControl w:val="0"/>
        <w:numPr>
          <w:ilvl w:val="0"/>
          <w:numId w:val="0"/>
        </w:numPr>
        <w:spacing w:line="0" w:lineRule="atLeast"/>
        <w:jc w:val="both"/>
        <w:rPr>
          <w:rFonts w:hint="eastAsia"/>
          <w:lang w:eastAsia="zh-CN"/>
        </w:rPr>
      </w:pPr>
    </w:p>
    <w:p>
      <w:pPr>
        <w:pStyle w:val="20"/>
        <w:numPr>
          <w:ilvl w:val="0"/>
          <w:numId w:val="9"/>
        </w:numPr>
        <w:ind w:left="0" w:leftChars="0" w:firstLine="482" w:firstLineChars="200"/>
        <w:jc w:val="center"/>
        <w:rPr>
          <w:rFonts w:hint="eastAsia" w:ascii="宋体" w:hAnsi="宋体"/>
          <w:b/>
          <w:bCs/>
          <w:kern w:val="0"/>
          <w:sz w:val="24"/>
          <w:lang w:eastAsia="zh-CN"/>
        </w:rPr>
      </w:pPr>
      <w:r>
        <w:rPr>
          <w:rFonts w:hint="eastAsia" w:ascii="宋体" w:hAnsi="宋体"/>
          <w:b/>
          <w:bCs/>
          <w:kern w:val="0"/>
          <w:sz w:val="24"/>
          <w:lang w:eastAsia="zh-CN"/>
        </w:rPr>
        <w:t>企业实力</w:t>
      </w:r>
    </w:p>
    <w:p>
      <w:pPr>
        <w:rPr>
          <w:rFonts w:hint="eastAsia"/>
          <w:lang w:eastAsia="zh-CN"/>
        </w:rPr>
      </w:pPr>
    </w:p>
    <w:p>
      <w:pPr>
        <w:widowControl w:val="0"/>
        <w:numPr>
          <w:ilvl w:val="0"/>
          <w:numId w:val="0"/>
        </w:numPr>
        <w:jc w:val="both"/>
        <w:rPr>
          <w:rFonts w:hint="eastAsia"/>
          <w:lang w:eastAsia="zh-CN"/>
        </w:rPr>
      </w:pPr>
    </w:p>
    <w:p>
      <w:pPr>
        <w:snapToGrid w:val="0"/>
        <w:spacing w:line="360" w:lineRule="auto"/>
        <w:ind w:firstLine="482" w:firstLineChars="200"/>
        <w:jc w:val="center"/>
        <w:rPr>
          <w:rFonts w:ascii="宋体" w:hAnsi="宋体"/>
          <w:b/>
          <w:bCs/>
          <w:sz w:val="24"/>
        </w:rPr>
      </w:pPr>
      <w:r>
        <w:rPr>
          <w:rFonts w:hint="eastAsia" w:ascii="宋体" w:hAnsi="宋体" w:cs="Times New Roman"/>
          <w:b/>
          <w:bCs/>
          <w:sz w:val="24"/>
          <w:lang w:eastAsia="zh-CN"/>
        </w:rPr>
        <w:t>十三、</w:t>
      </w:r>
      <w:r>
        <w:rPr>
          <w:rFonts w:ascii="宋体" w:hAnsi="宋体"/>
          <w:b/>
          <w:bCs/>
          <w:sz w:val="24"/>
        </w:rPr>
        <w:t>其他投标供应商认为有必要提供的资料</w:t>
      </w:r>
    </w:p>
    <w:p>
      <w:pPr>
        <w:spacing w:line="360" w:lineRule="auto"/>
        <w:rPr>
          <w:rFonts w:ascii="宋体" w:cs="仿宋_GB2312"/>
          <w:kern w:val="0"/>
          <w:sz w:val="24"/>
          <w:lang w:val="zh-CN"/>
        </w:rPr>
      </w:pPr>
    </w:p>
    <w:p>
      <w:pPr>
        <w:spacing w:line="360" w:lineRule="auto"/>
        <w:rPr>
          <w:rFonts w:ascii="宋体" w:cs="仿宋_GB2312"/>
          <w:kern w:val="0"/>
          <w:sz w:val="24"/>
          <w:lang w:val="zh-CN"/>
        </w:rPr>
      </w:pPr>
    </w:p>
    <w:p>
      <w:pPr>
        <w:numPr>
          <w:ilvl w:val="0"/>
          <w:numId w:val="0"/>
        </w:numPr>
        <w:ind w:leftChars="0"/>
        <w:rPr>
          <w:rFonts w:hint="eastAsia"/>
          <w:lang w:eastAsia="zh-CN"/>
        </w:rPr>
      </w:pPr>
    </w:p>
    <w:p>
      <w:pPr>
        <w:snapToGrid w:val="0"/>
        <w:spacing w:line="360" w:lineRule="auto"/>
        <w:jc w:val="center"/>
        <w:rPr>
          <w:rFonts w:ascii="宋体" w:hAnsi="宋体"/>
          <w:b/>
          <w:bCs/>
          <w:sz w:val="24"/>
        </w:rPr>
      </w:pPr>
      <w:r>
        <w:rPr>
          <w:rFonts w:hint="eastAsia" w:ascii="宋体" w:hAnsi="宋体"/>
          <w:b/>
          <w:bCs/>
          <w:sz w:val="24"/>
        </w:rPr>
        <w:t>十</w:t>
      </w:r>
      <w:r>
        <w:rPr>
          <w:rFonts w:hint="eastAsia" w:ascii="宋体" w:hAnsi="宋体"/>
          <w:b/>
          <w:bCs/>
          <w:sz w:val="24"/>
          <w:lang w:eastAsia="zh-CN"/>
        </w:rPr>
        <w:t>四</w:t>
      </w:r>
      <w:r>
        <w:rPr>
          <w:rFonts w:hint="eastAsia" w:ascii="宋体" w:hAnsi="宋体"/>
          <w:b/>
          <w:bCs/>
          <w:sz w:val="24"/>
        </w:rPr>
        <w:t>、商务响应表</w:t>
      </w:r>
    </w:p>
    <w:p>
      <w:pPr>
        <w:snapToGrid w:val="0"/>
        <w:spacing w:before="50" w:line="360" w:lineRule="auto"/>
        <w:jc w:val="left"/>
        <w:rPr>
          <w:rFonts w:hint="eastAsia" w:ascii="宋体" w:hAnsi="宋体"/>
          <w:sz w:val="24"/>
          <w:u w:val="single"/>
        </w:rPr>
      </w:pPr>
      <w:r>
        <w:rPr>
          <w:rFonts w:hint="eastAsia" w:ascii="宋体" w:hAnsi="宋体"/>
          <w:sz w:val="24"/>
        </w:rPr>
        <w:t>项目名称：</w:t>
      </w:r>
      <w:r>
        <w:rPr>
          <w:rFonts w:ascii="宋体" w:hAnsi="宋体"/>
          <w:sz w:val="24"/>
          <w:u w:val="single"/>
        </w:rPr>
        <w:t xml:space="preserve">              </w:t>
      </w:r>
      <w:r>
        <w:rPr>
          <w:rFonts w:hint="eastAsia" w:ascii="宋体" w:hAnsi="宋体"/>
          <w:sz w:val="24"/>
          <w:u w:val="single"/>
        </w:rPr>
        <w:t xml:space="preserve">              </w:t>
      </w:r>
    </w:p>
    <w:p>
      <w:pPr>
        <w:snapToGrid w:val="0"/>
        <w:spacing w:before="50" w:line="360" w:lineRule="auto"/>
        <w:jc w:val="left"/>
      </w:pPr>
      <w:r>
        <w:rPr>
          <w:rFonts w:hint="eastAsia" w:ascii="宋体" w:hAnsi="宋体"/>
          <w:sz w:val="24"/>
        </w:rPr>
        <w:t>项目编号：</w:t>
      </w:r>
      <w:r>
        <w:rPr>
          <w:rFonts w:hint="eastAsia" w:ascii="宋体" w:hAnsi="宋体"/>
          <w:sz w:val="24"/>
          <w:u w:val="single"/>
        </w:rPr>
        <w:t xml:space="preserve">                     </w:t>
      </w:r>
    </w:p>
    <w:tbl>
      <w:tblPr>
        <w:tblStyle w:val="4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97"/>
        <w:gridCol w:w="4884"/>
        <w:gridCol w:w="1217"/>
        <w:gridCol w:w="16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jc w:val="center"/>
        </w:trPr>
        <w:tc>
          <w:tcPr>
            <w:tcW w:w="1097"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宋体" w:hAnsi="宋体"/>
                <w:sz w:val="24"/>
                <w:szCs w:val="20"/>
              </w:rPr>
            </w:pPr>
            <w:r>
              <w:rPr>
                <w:rFonts w:hint="eastAsia" w:ascii="宋体" w:hAnsi="宋体"/>
                <w:sz w:val="24"/>
              </w:rPr>
              <w:t>项目</w:t>
            </w:r>
          </w:p>
        </w:tc>
        <w:tc>
          <w:tcPr>
            <w:tcW w:w="4884"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宋体" w:hAnsi="宋体"/>
                <w:sz w:val="24"/>
                <w:szCs w:val="20"/>
              </w:rPr>
            </w:pPr>
            <w:r>
              <w:rPr>
                <w:rFonts w:hint="eastAsia" w:ascii="宋体" w:hAnsi="宋体"/>
                <w:sz w:val="24"/>
              </w:rPr>
              <w:t>采购文件要求</w:t>
            </w:r>
          </w:p>
        </w:tc>
        <w:tc>
          <w:tcPr>
            <w:tcW w:w="1217" w:type="dxa"/>
            <w:tcBorders>
              <w:top w:val="single" w:color="auto" w:sz="4" w:space="0"/>
              <w:left w:val="single" w:color="auto" w:sz="4" w:space="0"/>
              <w:bottom w:val="single" w:color="auto" w:sz="4" w:space="0"/>
              <w:right w:val="single" w:color="auto" w:sz="4" w:space="0"/>
            </w:tcBorders>
          </w:tcPr>
          <w:p>
            <w:pPr>
              <w:snapToGrid w:val="0"/>
              <w:spacing w:beforeLines="50" w:line="360" w:lineRule="auto"/>
              <w:jc w:val="center"/>
              <w:rPr>
                <w:rFonts w:ascii="宋体" w:hAnsi="宋体"/>
                <w:sz w:val="24"/>
                <w:szCs w:val="20"/>
              </w:rPr>
            </w:pPr>
            <w:r>
              <w:rPr>
                <w:rFonts w:hint="eastAsia" w:ascii="宋体" w:hAnsi="宋体"/>
                <w:sz w:val="24"/>
              </w:rPr>
              <w:t>是否响应</w:t>
            </w:r>
          </w:p>
        </w:tc>
        <w:tc>
          <w:tcPr>
            <w:tcW w:w="1699" w:type="dxa"/>
            <w:tcBorders>
              <w:top w:val="single" w:color="auto" w:sz="4" w:space="0"/>
              <w:left w:val="single" w:color="auto" w:sz="4" w:space="0"/>
              <w:bottom w:val="single" w:color="auto" w:sz="4" w:space="0"/>
              <w:right w:val="single" w:color="auto" w:sz="4" w:space="0"/>
            </w:tcBorders>
          </w:tcPr>
          <w:p>
            <w:pPr>
              <w:snapToGrid w:val="0"/>
              <w:spacing w:beforeLines="50" w:line="360" w:lineRule="auto"/>
              <w:jc w:val="center"/>
              <w:rPr>
                <w:rFonts w:ascii="宋体" w:hAnsi="宋体"/>
                <w:sz w:val="24"/>
                <w:szCs w:val="20"/>
              </w:rPr>
            </w:pPr>
            <w:r>
              <w:rPr>
                <w:rFonts w:hint="eastAsia" w:ascii="宋体" w:hAnsi="宋体"/>
                <w:sz w:val="24"/>
              </w:rPr>
              <w:t>投标供应商的承诺或说明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1097"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宋体" w:hAnsi="宋体"/>
                <w:sz w:val="24"/>
              </w:rPr>
            </w:pPr>
            <w:r>
              <w:rPr>
                <w:rFonts w:hint="eastAsia" w:ascii="宋体" w:hAnsi="宋体"/>
                <w:sz w:val="24"/>
                <w:lang w:eastAsia="zh-CN"/>
              </w:rPr>
              <w:t>服务期</w:t>
            </w:r>
          </w:p>
        </w:tc>
        <w:tc>
          <w:tcPr>
            <w:tcW w:w="48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tc>
        <w:tc>
          <w:tcPr>
            <w:tcW w:w="1217"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c>
          <w:tcPr>
            <w:tcW w:w="1699"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1097"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宋体" w:hAnsi="宋体"/>
                <w:sz w:val="24"/>
                <w:szCs w:val="20"/>
              </w:rPr>
            </w:pPr>
            <w:r>
              <w:rPr>
                <w:rFonts w:hint="eastAsia" w:ascii="宋体" w:hAnsi="宋体"/>
                <w:sz w:val="24"/>
              </w:rPr>
              <w:t>付款条件</w:t>
            </w:r>
          </w:p>
        </w:tc>
        <w:tc>
          <w:tcPr>
            <w:tcW w:w="4884"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sz w:val="24"/>
              </w:rPr>
            </w:pPr>
          </w:p>
        </w:tc>
        <w:tc>
          <w:tcPr>
            <w:tcW w:w="1217"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c>
          <w:tcPr>
            <w:tcW w:w="1699"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1097"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宋体" w:hAnsi="宋体"/>
                <w:sz w:val="24"/>
                <w:szCs w:val="20"/>
              </w:rPr>
            </w:pPr>
            <w:r>
              <w:rPr>
                <w:rFonts w:hint="eastAsia" w:ascii="宋体" w:hAnsi="宋体"/>
                <w:sz w:val="24"/>
              </w:rPr>
              <w:t>其他</w:t>
            </w:r>
          </w:p>
        </w:tc>
        <w:tc>
          <w:tcPr>
            <w:tcW w:w="4884"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c>
          <w:tcPr>
            <w:tcW w:w="1217"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c>
          <w:tcPr>
            <w:tcW w:w="1699"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97"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宋体" w:hAnsi="宋体"/>
                <w:sz w:val="24"/>
                <w:szCs w:val="20"/>
              </w:rPr>
            </w:pPr>
            <w:r>
              <w:rPr>
                <w:rFonts w:hint="eastAsia" w:ascii="宋体" w:hAnsi="宋体"/>
                <w:sz w:val="24"/>
              </w:rPr>
              <w:t>…</w:t>
            </w:r>
          </w:p>
        </w:tc>
        <w:tc>
          <w:tcPr>
            <w:tcW w:w="4884"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c>
          <w:tcPr>
            <w:tcW w:w="1217"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c>
          <w:tcPr>
            <w:tcW w:w="1699"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r>
    </w:tbl>
    <w:p>
      <w:pPr>
        <w:pStyle w:val="13"/>
        <w:spacing w:line="360" w:lineRule="auto"/>
        <w:ind w:firstLine="0"/>
        <w:rPr>
          <w:rFonts w:hAnsi="宋体"/>
          <w:sz w:val="24"/>
          <w:szCs w:val="24"/>
        </w:rPr>
      </w:pPr>
      <w:r>
        <w:rPr>
          <w:rFonts w:hint="eastAsia" w:ascii="宋体" w:hAnsi="宋体" w:cs="宋体"/>
          <w:spacing w:val="20"/>
          <w:sz w:val="24"/>
        </w:rPr>
        <w:t>投标供应商（盖章）：</w:t>
      </w:r>
      <w:r>
        <w:rPr>
          <w:rFonts w:hint="eastAsia" w:ascii="宋体" w:hAnsi="宋体" w:cs="宋体"/>
          <w:spacing w:val="20"/>
          <w:sz w:val="24"/>
          <w:u w:val="single"/>
        </w:rPr>
        <w:t xml:space="preserve">            </w:t>
      </w:r>
    </w:p>
    <w:p>
      <w:pPr>
        <w:pStyle w:val="13"/>
        <w:spacing w:line="360" w:lineRule="auto"/>
        <w:ind w:firstLine="0"/>
        <w:rPr>
          <w:rFonts w:hAnsi="宋体" w:cs="宋体"/>
          <w:spacing w:val="20"/>
          <w:sz w:val="24"/>
          <w:u w:val="single"/>
        </w:rPr>
      </w:pPr>
      <w:r>
        <w:rPr>
          <w:rFonts w:hAnsi="宋体"/>
          <w:sz w:val="24"/>
          <w:szCs w:val="24"/>
        </w:rPr>
        <w:t>法定代表人或其授权代表（</w:t>
      </w:r>
      <w:r>
        <w:rPr>
          <w:rFonts w:hint="eastAsia" w:hAnsi="宋体"/>
          <w:sz w:val="24"/>
          <w:szCs w:val="24"/>
          <w:lang w:eastAsia="zh-CN"/>
        </w:rPr>
        <w:t>签字或</w:t>
      </w:r>
      <w:r>
        <w:rPr>
          <w:rFonts w:hAnsi="宋体"/>
          <w:sz w:val="24"/>
          <w:szCs w:val="24"/>
        </w:rPr>
        <w:t>盖章）</w:t>
      </w:r>
      <w:r>
        <w:rPr>
          <w:rFonts w:hAnsi="宋体" w:cs="宋体"/>
          <w:spacing w:val="20"/>
          <w:sz w:val="24"/>
        </w:rPr>
        <w:t>：</w:t>
      </w:r>
      <w:r>
        <w:rPr>
          <w:rFonts w:hAnsi="宋体" w:cs="宋体"/>
          <w:spacing w:val="20"/>
          <w:sz w:val="24"/>
          <w:u w:val="single"/>
        </w:rPr>
        <w:t xml:space="preserve">            </w:t>
      </w:r>
    </w:p>
    <w:p>
      <w:pPr>
        <w:spacing w:line="360" w:lineRule="auto"/>
        <w:rPr>
          <w:rFonts w:ascii="宋体" w:hAnsi="宋体" w:cs="宋体"/>
          <w:spacing w:val="20"/>
          <w:sz w:val="24"/>
        </w:rPr>
      </w:pPr>
      <w:r>
        <w:rPr>
          <w:rFonts w:hint="eastAsia" w:ascii="宋体" w:hAnsi="宋体" w:cs="宋体"/>
          <w:spacing w:val="20"/>
          <w:sz w:val="24"/>
        </w:rPr>
        <w:t xml:space="preserve">          </w:t>
      </w:r>
    </w:p>
    <w:p>
      <w:pPr>
        <w:spacing w:line="360" w:lineRule="auto"/>
        <w:ind w:firstLine="5740" w:firstLineChars="2050"/>
        <w:rPr>
          <w:rFonts w:ascii="宋体" w:hAnsi="宋体" w:cs="宋体"/>
          <w:spacing w:val="20"/>
          <w:sz w:val="24"/>
        </w:rPr>
      </w:pPr>
      <w:r>
        <w:rPr>
          <w:rFonts w:hint="eastAsia" w:ascii="宋体" w:hAnsi="宋体" w:cs="宋体"/>
          <w:spacing w:val="20"/>
          <w:sz w:val="24"/>
        </w:rPr>
        <w:t xml:space="preserve">  年  月  日</w:t>
      </w:r>
    </w:p>
    <w:p>
      <w:pPr>
        <w:snapToGrid w:val="0"/>
        <w:spacing w:line="360" w:lineRule="auto"/>
        <w:ind w:firstLine="482" w:firstLineChars="200"/>
        <w:jc w:val="left"/>
        <w:rPr>
          <w:rFonts w:ascii="宋体" w:hAnsi="宋体"/>
          <w:b/>
          <w:bCs/>
          <w:sz w:val="24"/>
        </w:rPr>
      </w:pPr>
    </w:p>
    <w:p>
      <w:pPr>
        <w:pStyle w:val="120"/>
        <w:numPr>
          <w:ilvl w:val="0"/>
          <w:numId w:val="0"/>
        </w:numPr>
        <w:tabs>
          <w:tab w:val="left" w:pos="1626"/>
        </w:tabs>
        <w:spacing w:before="1" w:line="360" w:lineRule="auto"/>
        <w:jc w:val="both"/>
        <w:rPr>
          <w:rFonts w:hint="eastAsia" w:ascii="宋体" w:hAnsi="宋体"/>
          <w:b/>
          <w:bCs/>
          <w:sz w:val="24"/>
          <w:lang w:val="en-US" w:eastAsia="zh-CN"/>
        </w:rPr>
      </w:pPr>
    </w:p>
    <w:p>
      <w:pPr>
        <w:pStyle w:val="20"/>
        <w:ind w:left="0" w:leftChars="0" w:firstLine="0" w:firstLineChars="0"/>
        <w:rPr>
          <w:rFonts w:ascii="宋体" w:hAnsi="宋体" w:cs="宋体"/>
          <w:b/>
          <w:sz w:val="24"/>
        </w:rPr>
      </w:pPr>
    </w:p>
    <w:p/>
    <w:p>
      <w:pPr>
        <w:pStyle w:val="19"/>
      </w:pPr>
    </w:p>
    <w:p>
      <w:pPr>
        <w:pStyle w:val="20"/>
      </w:pPr>
    </w:p>
    <w:p/>
    <w:p/>
    <w:p>
      <w:pPr>
        <w:numPr>
          <w:ilvl w:val="0"/>
          <w:numId w:val="10"/>
        </w:numPr>
        <w:spacing w:line="760" w:lineRule="exact"/>
        <w:rPr>
          <w:rFonts w:ascii="宋体" w:hAnsi="宋体" w:cs="宋体"/>
          <w:b/>
          <w:sz w:val="24"/>
        </w:rPr>
      </w:pPr>
      <w:r>
        <w:rPr>
          <w:rFonts w:hint="eastAsia" w:ascii="宋体" w:hAnsi="宋体" w:cs="宋体"/>
          <w:b/>
          <w:sz w:val="24"/>
        </w:rPr>
        <w:t>报价文件格式：</w:t>
      </w:r>
    </w:p>
    <w:p>
      <w:pPr>
        <w:pStyle w:val="21"/>
        <w:ind w:firstLine="0"/>
      </w:pPr>
    </w:p>
    <w:p>
      <w:pPr>
        <w:pStyle w:val="21"/>
        <w:ind w:firstLine="0"/>
      </w:pPr>
    </w:p>
    <w:p>
      <w:pPr>
        <w:snapToGrid w:val="0"/>
        <w:spacing w:beforeLines="50" w:after="50"/>
        <w:jc w:val="right"/>
        <w:rPr>
          <w:rFonts w:ascii="宋体" w:hAnsi="宋体" w:cs="宋体"/>
          <w:bCs/>
          <w:sz w:val="24"/>
          <w:szCs w:val="20"/>
        </w:rPr>
      </w:pPr>
      <w:r>
        <w:rPr>
          <w:rFonts w:hint="eastAsia" w:ascii="宋体" w:hAnsi="宋体" w:cs="宋体"/>
          <w:b/>
          <w:sz w:val="24"/>
          <w:szCs w:val="20"/>
        </w:rPr>
        <w:t>正本/或副本</w:t>
      </w:r>
    </w:p>
    <w:p>
      <w:pPr>
        <w:snapToGrid w:val="0"/>
        <w:spacing w:beforeLines="50" w:after="50"/>
        <w:jc w:val="center"/>
        <w:rPr>
          <w:rFonts w:ascii="宋体" w:hAnsi="宋体" w:cs="宋体"/>
          <w:bCs/>
          <w:sz w:val="24"/>
        </w:rPr>
      </w:pPr>
    </w:p>
    <w:p>
      <w:pPr>
        <w:snapToGrid w:val="0"/>
        <w:spacing w:beforeLines="50" w:after="50"/>
        <w:jc w:val="center"/>
        <w:rPr>
          <w:rFonts w:ascii="宋体" w:hAnsi="宋体" w:cs="宋体"/>
          <w:bCs/>
          <w:sz w:val="24"/>
        </w:rPr>
      </w:pPr>
    </w:p>
    <w:p>
      <w:pPr>
        <w:snapToGrid w:val="0"/>
        <w:spacing w:beforeLines="50" w:after="50"/>
        <w:jc w:val="center"/>
        <w:rPr>
          <w:rFonts w:ascii="宋体" w:hAnsi="宋体" w:cs="宋体"/>
          <w:bCs/>
          <w:sz w:val="24"/>
        </w:rPr>
      </w:pPr>
    </w:p>
    <w:p>
      <w:pPr>
        <w:snapToGrid w:val="0"/>
        <w:spacing w:beforeLines="50" w:after="50"/>
        <w:jc w:val="center"/>
        <w:rPr>
          <w:rFonts w:ascii="宋体" w:hAnsi="宋体" w:cs="宋体"/>
          <w:bCs/>
          <w:sz w:val="24"/>
          <w:szCs w:val="20"/>
        </w:rPr>
      </w:pPr>
      <w:r>
        <w:rPr>
          <w:rFonts w:hint="eastAsia" w:ascii="宋体" w:hAnsi="宋体" w:cs="宋体"/>
          <w:bCs/>
          <w:sz w:val="24"/>
        </w:rPr>
        <w:t>报价文件</w:t>
      </w:r>
    </w:p>
    <w:p>
      <w:pPr>
        <w:snapToGrid w:val="0"/>
        <w:spacing w:beforeLines="50" w:after="50"/>
        <w:rPr>
          <w:rFonts w:ascii="宋体" w:hAnsi="宋体" w:cs="宋体"/>
          <w:bCs/>
          <w:sz w:val="24"/>
          <w:szCs w:val="20"/>
        </w:rPr>
      </w:pPr>
    </w:p>
    <w:p>
      <w:pPr>
        <w:snapToGrid w:val="0"/>
        <w:spacing w:beforeLines="50" w:after="50"/>
        <w:ind w:firstLine="1068" w:firstLineChars="445"/>
        <w:rPr>
          <w:rFonts w:ascii="宋体" w:hAnsi="宋体" w:cs="宋体"/>
          <w:bCs/>
          <w:sz w:val="24"/>
        </w:rPr>
      </w:pPr>
      <w:r>
        <w:rPr>
          <w:rFonts w:hint="eastAsia" w:ascii="宋体" w:hAnsi="宋体" w:cs="宋体"/>
          <w:bCs/>
          <w:sz w:val="24"/>
        </w:rPr>
        <w:t>项目名称：</w:t>
      </w:r>
    </w:p>
    <w:p>
      <w:pPr>
        <w:snapToGrid w:val="0"/>
        <w:spacing w:beforeLines="50" w:after="50"/>
        <w:ind w:firstLine="1068" w:firstLineChars="445"/>
        <w:rPr>
          <w:rFonts w:ascii="宋体" w:hAnsi="宋体" w:cs="宋体"/>
          <w:bCs/>
          <w:sz w:val="24"/>
        </w:rPr>
      </w:pPr>
      <w:r>
        <w:rPr>
          <w:rFonts w:hint="eastAsia" w:ascii="宋体" w:hAnsi="宋体" w:cs="宋体"/>
          <w:bCs/>
          <w:sz w:val="24"/>
        </w:rPr>
        <w:t>项目编号：</w:t>
      </w:r>
    </w:p>
    <w:p>
      <w:pPr>
        <w:snapToGrid w:val="0"/>
        <w:spacing w:beforeLines="50" w:after="50"/>
        <w:ind w:firstLine="1068" w:firstLineChars="445"/>
        <w:rPr>
          <w:rFonts w:ascii="宋体" w:hAnsi="宋体" w:cs="宋体"/>
          <w:bCs/>
          <w:sz w:val="24"/>
        </w:rPr>
      </w:pPr>
      <w:r>
        <w:rPr>
          <w:rFonts w:hint="eastAsia" w:ascii="宋体" w:hAnsi="宋体" w:cs="宋体"/>
          <w:bCs/>
          <w:sz w:val="24"/>
        </w:rPr>
        <w:t>投标人名称：</w:t>
      </w:r>
    </w:p>
    <w:p>
      <w:pPr>
        <w:snapToGrid w:val="0"/>
        <w:spacing w:beforeLines="50" w:after="50"/>
        <w:ind w:firstLine="1068" w:firstLineChars="445"/>
        <w:rPr>
          <w:rFonts w:ascii="宋体" w:hAnsi="宋体" w:cs="宋体"/>
          <w:bCs/>
          <w:sz w:val="24"/>
        </w:rPr>
      </w:pPr>
      <w:r>
        <w:rPr>
          <w:rFonts w:hint="eastAsia" w:ascii="宋体" w:hAnsi="宋体" w:cs="宋体"/>
          <w:bCs/>
          <w:sz w:val="24"/>
        </w:rPr>
        <w:t>投标人地址：</w:t>
      </w:r>
    </w:p>
    <w:p>
      <w:pPr>
        <w:snapToGrid w:val="0"/>
        <w:spacing w:beforeLines="50" w:after="50"/>
        <w:ind w:firstLine="1068" w:firstLineChars="445"/>
        <w:rPr>
          <w:rFonts w:ascii="宋体" w:hAnsi="宋体" w:cs="宋体"/>
          <w:bCs/>
          <w:sz w:val="24"/>
        </w:rPr>
      </w:pPr>
      <w:r>
        <w:rPr>
          <w:rFonts w:hint="eastAsia" w:ascii="宋体" w:hAnsi="宋体" w:cs="宋体"/>
          <w:bCs/>
          <w:sz w:val="24"/>
        </w:rPr>
        <w:t>在  年  月  日  时  分之前不得启封</w:t>
      </w:r>
    </w:p>
    <w:p>
      <w:pPr>
        <w:snapToGrid w:val="0"/>
        <w:spacing w:beforeLines="50" w:after="50"/>
        <w:ind w:firstLine="4080" w:firstLineChars="1700"/>
        <w:rPr>
          <w:rFonts w:ascii="宋体" w:hAnsi="宋体" w:cs="宋体"/>
          <w:bCs/>
          <w:sz w:val="24"/>
          <w:szCs w:val="20"/>
        </w:rPr>
      </w:pPr>
    </w:p>
    <w:p>
      <w:pPr>
        <w:snapToGrid w:val="0"/>
        <w:spacing w:beforeLines="50" w:after="50"/>
        <w:ind w:firstLine="645"/>
        <w:jc w:val="right"/>
        <w:rPr>
          <w:rFonts w:ascii="宋体" w:hAnsi="宋体" w:cs="宋体"/>
          <w:bCs/>
          <w:sz w:val="24"/>
          <w:szCs w:val="20"/>
        </w:rPr>
      </w:pPr>
      <w:r>
        <w:rPr>
          <w:rFonts w:hint="eastAsia" w:ascii="宋体" w:hAnsi="宋体" w:cs="宋体"/>
          <w:bCs/>
          <w:sz w:val="24"/>
        </w:rPr>
        <w:t>年  月  日</w:t>
      </w:r>
    </w:p>
    <w:p>
      <w:pPr>
        <w:snapToGrid w:val="0"/>
        <w:spacing w:before="50" w:afterLines="50"/>
        <w:rPr>
          <w:rFonts w:ascii="宋体" w:hAnsi="宋体" w:cs="宋体"/>
          <w:b/>
          <w:sz w:val="24"/>
        </w:rPr>
      </w:pPr>
    </w:p>
    <w:p>
      <w:pPr>
        <w:pStyle w:val="13"/>
        <w:ind w:firstLine="0"/>
        <w:rPr>
          <w:rFonts w:ascii="宋体" w:hAnsi="宋体"/>
          <w:b/>
          <w:sz w:val="24"/>
        </w:rPr>
      </w:pPr>
    </w:p>
    <w:p>
      <w:pPr>
        <w:pStyle w:val="13"/>
        <w:ind w:firstLine="0"/>
        <w:rPr>
          <w:rFonts w:ascii="宋体" w:hAnsi="宋体"/>
          <w:b/>
          <w:sz w:val="24"/>
        </w:rPr>
      </w:pPr>
    </w:p>
    <w:p>
      <w:pPr>
        <w:pStyle w:val="13"/>
        <w:ind w:firstLine="0"/>
        <w:rPr>
          <w:rFonts w:ascii="宋体" w:hAnsi="宋体"/>
          <w:b/>
          <w:sz w:val="24"/>
        </w:rPr>
      </w:pPr>
    </w:p>
    <w:p>
      <w:pPr>
        <w:pStyle w:val="13"/>
        <w:ind w:firstLine="0"/>
        <w:rPr>
          <w:rFonts w:ascii="宋体" w:hAnsi="宋体"/>
          <w:b/>
          <w:sz w:val="24"/>
        </w:rPr>
      </w:pPr>
    </w:p>
    <w:p>
      <w:pPr>
        <w:pStyle w:val="13"/>
        <w:ind w:firstLine="0"/>
        <w:rPr>
          <w:rFonts w:ascii="宋体" w:hAnsi="宋体"/>
          <w:b/>
          <w:sz w:val="24"/>
        </w:rPr>
      </w:pPr>
    </w:p>
    <w:p>
      <w:pPr>
        <w:pStyle w:val="13"/>
        <w:ind w:firstLine="0"/>
        <w:rPr>
          <w:rFonts w:ascii="宋体" w:hAnsi="宋体"/>
          <w:b/>
          <w:sz w:val="24"/>
        </w:rPr>
      </w:pPr>
    </w:p>
    <w:p>
      <w:pPr>
        <w:pStyle w:val="13"/>
        <w:ind w:firstLine="0"/>
        <w:rPr>
          <w:rFonts w:ascii="宋体" w:hAnsi="宋体"/>
          <w:b/>
          <w:sz w:val="24"/>
        </w:rPr>
      </w:pPr>
    </w:p>
    <w:p>
      <w:pPr>
        <w:pStyle w:val="13"/>
        <w:ind w:firstLine="0"/>
        <w:rPr>
          <w:rFonts w:ascii="宋体" w:hAnsi="宋体"/>
          <w:b/>
          <w:sz w:val="24"/>
        </w:rPr>
      </w:pPr>
    </w:p>
    <w:p>
      <w:pPr>
        <w:pStyle w:val="13"/>
        <w:ind w:firstLine="0"/>
        <w:rPr>
          <w:rFonts w:ascii="宋体" w:hAnsi="宋体"/>
          <w:b/>
          <w:sz w:val="24"/>
        </w:rPr>
      </w:pPr>
    </w:p>
    <w:p>
      <w:pPr>
        <w:pStyle w:val="13"/>
        <w:ind w:firstLine="0"/>
        <w:rPr>
          <w:rFonts w:ascii="宋体" w:hAnsi="宋体"/>
          <w:b/>
          <w:sz w:val="24"/>
        </w:rPr>
      </w:pPr>
    </w:p>
    <w:p>
      <w:pPr>
        <w:pStyle w:val="13"/>
        <w:ind w:firstLine="0"/>
        <w:rPr>
          <w:rFonts w:ascii="宋体" w:hAnsi="宋体"/>
          <w:b/>
          <w:sz w:val="24"/>
        </w:rPr>
      </w:pPr>
    </w:p>
    <w:p>
      <w:pPr>
        <w:pStyle w:val="13"/>
        <w:ind w:firstLine="0"/>
        <w:rPr>
          <w:rFonts w:ascii="宋体" w:hAnsi="宋体"/>
          <w:b/>
          <w:sz w:val="24"/>
        </w:rPr>
      </w:pPr>
    </w:p>
    <w:p>
      <w:pPr>
        <w:pStyle w:val="13"/>
        <w:ind w:firstLine="0"/>
        <w:rPr>
          <w:rFonts w:ascii="宋体" w:hAnsi="宋体"/>
          <w:b/>
          <w:sz w:val="24"/>
        </w:rPr>
      </w:pPr>
    </w:p>
    <w:p>
      <w:pPr>
        <w:pStyle w:val="13"/>
        <w:ind w:firstLine="0"/>
        <w:rPr>
          <w:rFonts w:ascii="宋体" w:hAnsi="宋体"/>
          <w:b/>
          <w:sz w:val="24"/>
        </w:rPr>
      </w:pPr>
    </w:p>
    <w:p>
      <w:pPr>
        <w:pStyle w:val="13"/>
        <w:ind w:firstLine="0"/>
        <w:rPr>
          <w:rFonts w:ascii="宋体" w:hAnsi="宋体"/>
          <w:b/>
          <w:sz w:val="24"/>
        </w:rPr>
      </w:pPr>
    </w:p>
    <w:p>
      <w:pPr>
        <w:pStyle w:val="13"/>
        <w:ind w:firstLine="0"/>
        <w:rPr>
          <w:rFonts w:ascii="宋体" w:hAnsi="宋体"/>
          <w:b/>
          <w:sz w:val="24"/>
        </w:rPr>
      </w:pPr>
    </w:p>
    <w:p>
      <w:pPr>
        <w:pStyle w:val="13"/>
        <w:ind w:firstLine="0"/>
        <w:rPr>
          <w:rFonts w:ascii="宋体" w:hAnsi="宋体"/>
          <w:b/>
          <w:sz w:val="24"/>
        </w:rPr>
      </w:pPr>
    </w:p>
    <w:p>
      <w:pPr>
        <w:pStyle w:val="13"/>
        <w:ind w:firstLine="0"/>
        <w:rPr>
          <w:rFonts w:ascii="宋体" w:hAnsi="宋体"/>
          <w:b/>
          <w:sz w:val="24"/>
        </w:rPr>
      </w:pPr>
    </w:p>
    <w:p>
      <w:pPr>
        <w:pStyle w:val="13"/>
        <w:ind w:firstLine="0"/>
        <w:rPr>
          <w:rFonts w:ascii="宋体" w:hAnsi="宋体"/>
          <w:b/>
          <w:sz w:val="24"/>
        </w:rPr>
      </w:pPr>
    </w:p>
    <w:p>
      <w:pPr>
        <w:pStyle w:val="13"/>
        <w:ind w:firstLine="0"/>
        <w:rPr>
          <w:rFonts w:ascii="宋体" w:hAnsi="宋体"/>
          <w:b/>
          <w:sz w:val="24"/>
        </w:rPr>
      </w:pPr>
    </w:p>
    <w:p>
      <w:pPr>
        <w:pStyle w:val="13"/>
        <w:ind w:firstLine="0"/>
        <w:rPr>
          <w:rFonts w:ascii="宋体" w:hAnsi="宋体"/>
          <w:b/>
          <w:sz w:val="24"/>
        </w:rPr>
      </w:pPr>
    </w:p>
    <w:p>
      <w:pPr>
        <w:pStyle w:val="13"/>
        <w:ind w:firstLine="0"/>
        <w:rPr>
          <w:rFonts w:ascii="宋体" w:hAnsi="宋体"/>
          <w:b/>
          <w:sz w:val="24"/>
        </w:rPr>
      </w:pPr>
    </w:p>
    <w:p>
      <w:pPr>
        <w:snapToGrid w:val="0"/>
        <w:spacing w:line="360" w:lineRule="auto"/>
        <w:jc w:val="left"/>
        <w:rPr>
          <w:rFonts w:ascii="宋体" w:hAnsi="宋体"/>
          <w:sz w:val="24"/>
        </w:rPr>
      </w:pPr>
      <w:r>
        <w:rPr>
          <w:rFonts w:ascii="宋体" w:hAnsi="宋体"/>
          <w:b/>
          <w:sz w:val="24"/>
        </w:rPr>
        <w:t>报价文件</w:t>
      </w:r>
      <w:r>
        <w:rPr>
          <w:rFonts w:hint="eastAsia" w:ascii="宋体" w:hAnsi="宋体"/>
          <w:b/>
          <w:sz w:val="24"/>
        </w:rPr>
        <w:t>目录</w:t>
      </w:r>
    </w:p>
    <w:p>
      <w:pPr>
        <w:tabs>
          <w:tab w:val="left" w:pos="720"/>
        </w:tabs>
        <w:spacing w:line="360" w:lineRule="auto"/>
        <w:ind w:firstLine="480" w:firstLineChars="200"/>
        <w:rPr>
          <w:rFonts w:ascii="宋体" w:hAnsi="宋体"/>
          <w:sz w:val="24"/>
        </w:rPr>
      </w:pPr>
      <w:r>
        <w:rPr>
          <w:rFonts w:hint="eastAsia" w:ascii="宋体" w:hAnsi="宋体"/>
          <w:sz w:val="24"/>
        </w:rPr>
        <w:t>（1) 投标函；</w:t>
      </w:r>
    </w:p>
    <w:p>
      <w:pPr>
        <w:tabs>
          <w:tab w:val="left" w:pos="720"/>
        </w:tabs>
        <w:spacing w:line="360" w:lineRule="auto"/>
        <w:ind w:firstLine="480" w:firstLineChars="200"/>
        <w:rPr>
          <w:rFonts w:ascii="宋体" w:hAnsi="宋体"/>
          <w:sz w:val="24"/>
        </w:rPr>
      </w:pPr>
      <w:r>
        <w:rPr>
          <w:rFonts w:hint="eastAsia" w:ascii="宋体" w:hAnsi="宋体"/>
          <w:sz w:val="24"/>
        </w:rPr>
        <w:t>（2) 开标一览表（格式见附件）；</w:t>
      </w:r>
    </w:p>
    <w:p>
      <w:pPr>
        <w:tabs>
          <w:tab w:val="left" w:pos="720"/>
          <w:tab w:val="center" w:pos="4434"/>
        </w:tabs>
        <w:spacing w:line="360" w:lineRule="auto"/>
        <w:ind w:firstLine="480" w:firstLineChars="200"/>
        <w:rPr>
          <w:rFonts w:ascii="宋体" w:hAnsi="宋体"/>
          <w:sz w:val="24"/>
        </w:rPr>
      </w:pPr>
      <w:r>
        <w:rPr>
          <w:rFonts w:hint="eastAsia" w:ascii="宋体" w:hAnsi="宋体"/>
          <w:sz w:val="24"/>
        </w:rPr>
        <w:t>（3）报价明细表（格式见附件）；</w:t>
      </w:r>
      <w:r>
        <w:rPr>
          <w:rFonts w:hint="eastAsia" w:ascii="宋体" w:hAnsi="宋体"/>
          <w:sz w:val="24"/>
        </w:rPr>
        <w:tab/>
      </w:r>
    </w:p>
    <w:p>
      <w:pPr>
        <w:snapToGrid w:val="0"/>
        <w:spacing w:line="360" w:lineRule="auto"/>
        <w:ind w:firstLine="480" w:firstLineChars="200"/>
        <w:jc w:val="left"/>
        <w:rPr>
          <w:rFonts w:ascii="宋体" w:hAnsi="宋体"/>
          <w:sz w:val="24"/>
        </w:rPr>
      </w:pPr>
      <w:r>
        <w:rPr>
          <w:rFonts w:hint="eastAsia" w:ascii="宋体" w:hAnsi="宋体"/>
          <w:sz w:val="24"/>
        </w:rPr>
        <w:t>（4）政策分相关证明资料；</w:t>
      </w:r>
    </w:p>
    <w:p>
      <w:pPr>
        <w:snapToGrid w:val="0"/>
        <w:spacing w:line="360" w:lineRule="auto"/>
        <w:ind w:firstLine="600" w:firstLineChars="250"/>
        <w:jc w:val="left"/>
        <w:rPr>
          <w:rFonts w:ascii="宋体" w:hAnsi="宋体"/>
          <w:sz w:val="24"/>
        </w:rPr>
      </w:pPr>
      <w:r>
        <w:rPr>
          <w:rFonts w:hint="eastAsia" w:ascii="宋体" w:hAnsi="宋体"/>
          <w:sz w:val="24"/>
        </w:rPr>
        <w:t>4.1小微企业声明函、网页证明资料（若有，格式见附件）；</w:t>
      </w:r>
    </w:p>
    <w:p>
      <w:pPr>
        <w:snapToGrid w:val="0"/>
        <w:spacing w:line="360" w:lineRule="auto"/>
        <w:ind w:firstLine="600" w:firstLineChars="250"/>
        <w:jc w:val="left"/>
        <w:rPr>
          <w:rFonts w:ascii="宋体" w:hAnsi="宋体"/>
          <w:sz w:val="24"/>
        </w:rPr>
      </w:pPr>
      <w:r>
        <w:rPr>
          <w:rFonts w:hint="eastAsia" w:ascii="宋体" w:hAnsi="宋体"/>
          <w:sz w:val="24"/>
        </w:rPr>
        <w:t>4.2残疾人福利企业声明函（若有，格式见附件）；</w:t>
      </w:r>
    </w:p>
    <w:p>
      <w:pPr>
        <w:snapToGrid w:val="0"/>
        <w:spacing w:line="360" w:lineRule="auto"/>
        <w:ind w:firstLine="600" w:firstLineChars="250"/>
        <w:jc w:val="left"/>
        <w:rPr>
          <w:rFonts w:ascii="宋体" w:hAnsi="宋体"/>
          <w:sz w:val="24"/>
        </w:rPr>
      </w:pPr>
      <w:r>
        <w:rPr>
          <w:rFonts w:hint="eastAsia" w:ascii="宋体" w:hAnsi="宋体"/>
          <w:sz w:val="24"/>
        </w:rPr>
        <w:t>4.3监狱企业声明函（若有，格式见附件）；</w:t>
      </w:r>
    </w:p>
    <w:p>
      <w:pPr>
        <w:snapToGrid w:val="0"/>
        <w:spacing w:line="360" w:lineRule="auto"/>
        <w:ind w:firstLine="480" w:firstLineChars="200"/>
        <w:jc w:val="left"/>
      </w:pPr>
      <w:r>
        <w:rPr>
          <w:rFonts w:hint="eastAsia" w:ascii="宋体" w:hAnsi="宋体"/>
          <w:sz w:val="24"/>
        </w:rPr>
        <w:t>（5）招标代理服务费承诺函(格式见附件)；</w:t>
      </w:r>
    </w:p>
    <w:p>
      <w:pPr>
        <w:pStyle w:val="37"/>
        <w:spacing w:after="120" w:line="360" w:lineRule="auto"/>
        <w:ind w:firstLine="480" w:firstLineChars="200"/>
      </w:pPr>
      <w:r>
        <w:rPr>
          <w:rFonts w:hint="eastAsia"/>
        </w:rPr>
        <w:t>（6）其他投标供应商认为有必要提供的资料。</w:t>
      </w:r>
      <w:r>
        <w:tab/>
      </w:r>
    </w:p>
    <w:p>
      <w:pPr>
        <w:snapToGrid w:val="0"/>
        <w:spacing w:line="360" w:lineRule="auto"/>
        <w:rPr>
          <w:rFonts w:ascii="宋体" w:hAnsi="宋体"/>
          <w:b/>
          <w:sz w:val="24"/>
        </w:rPr>
      </w:pPr>
    </w:p>
    <w:p>
      <w:pPr>
        <w:pStyle w:val="20"/>
        <w:ind w:firstLine="240"/>
        <w:rPr>
          <w:sz w:val="24"/>
        </w:rPr>
      </w:pPr>
    </w:p>
    <w:p>
      <w:pPr>
        <w:rPr>
          <w:sz w:val="24"/>
        </w:rPr>
      </w:pPr>
    </w:p>
    <w:p>
      <w:pPr>
        <w:pStyle w:val="21"/>
        <w:rPr>
          <w:sz w:val="24"/>
        </w:rPr>
      </w:pPr>
    </w:p>
    <w:p>
      <w:pPr>
        <w:pStyle w:val="21"/>
        <w:rPr>
          <w:sz w:val="24"/>
        </w:rPr>
      </w:pPr>
    </w:p>
    <w:p>
      <w:pPr>
        <w:pStyle w:val="21"/>
        <w:rPr>
          <w:sz w:val="24"/>
        </w:rPr>
      </w:pPr>
    </w:p>
    <w:p>
      <w:pPr>
        <w:pStyle w:val="21"/>
        <w:rPr>
          <w:sz w:val="24"/>
        </w:rPr>
      </w:pPr>
    </w:p>
    <w:p>
      <w:pPr>
        <w:pStyle w:val="21"/>
        <w:rPr>
          <w:sz w:val="24"/>
        </w:rPr>
      </w:pPr>
    </w:p>
    <w:p>
      <w:pPr>
        <w:pStyle w:val="21"/>
        <w:rPr>
          <w:sz w:val="24"/>
        </w:rPr>
      </w:pPr>
    </w:p>
    <w:p>
      <w:pPr>
        <w:pStyle w:val="21"/>
        <w:rPr>
          <w:sz w:val="24"/>
        </w:rPr>
      </w:pPr>
    </w:p>
    <w:p>
      <w:pPr>
        <w:pStyle w:val="21"/>
        <w:rPr>
          <w:sz w:val="24"/>
        </w:rPr>
      </w:pPr>
    </w:p>
    <w:p>
      <w:pPr>
        <w:pStyle w:val="21"/>
        <w:rPr>
          <w:sz w:val="24"/>
        </w:rPr>
      </w:pPr>
    </w:p>
    <w:p>
      <w:pPr>
        <w:pStyle w:val="21"/>
        <w:rPr>
          <w:sz w:val="24"/>
        </w:rPr>
      </w:pPr>
    </w:p>
    <w:p>
      <w:pPr>
        <w:pStyle w:val="21"/>
        <w:rPr>
          <w:sz w:val="24"/>
        </w:rPr>
      </w:pPr>
    </w:p>
    <w:p>
      <w:pPr>
        <w:pStyle w:val="21"/>
        <w:rPr>
          <w:sz w:val="24"/>
        </w:rPr>
      </w:pPr>
    </w:p>
    <w:p>
      <w:pPr>
        <w:pStyle w:val="21"/>
        <w:rPr>
          <w:sz w:val="24"/>
        </w:rPr>
      </w:pPr>
    </w:p>
    <w:p>
      <w:pPr>
        <w:pStyle w:val="21"/>
        <w:rPr>
          <w:sz w:val="24"/>
        </w:rPr>
      </w:pPr>
    </w:p>
    <w:p>
      <w:pPr>
        <w:pStyle w:val="21"/>
        <w:rPr>
          <w:sz w:val="24"/>
        </w:rPr>
      </w:pPr>
    </w:p>
    <w:p>
      <w:pPr>
        <w:pStyle w:val="20"/>
        <w:ind w:firstLine="0" w:firstLineChars="0"/>
        <w:rPr>
          <w:sz w:val="24"/>
        </w:rPr>
      </w:pPr>
    </w:p>
    <w:p>
      <w:pPr>
        <w:snapToGrid w:val="0"/>
        <w:spacing w:line="460" w:lineRule="exact"/>
        <w:jc w:val="center"/>
        <w:rPr>
          <w:rFonts w:ascii="宋体" w:hAnsi="宋体" w:cs="宋体"/>
          <w:b/>
          <w:sz w:val="24"/>
        </w:rPr>
      </w:pPr>
      <w:r>
        <w:rPr>
          <w:rFonts w:hint="eastAsia" w:ascii="宋体" w:hAnsi="宋体" w:cs="宋体"/>
          <w:b/>
          <w:sz w:val="24"/>
        </w:rPr>
        <w:t>一、投标函</w:t>
      </w:r>
    </w:p>
    <w:p>
      <w:pPr>
        <w:snapToGrid w:val="0"/>
        <w:spacing w:line="460" w:lineRule="exact"/>
        <w:rPr>
          <w:rFonts w:ascii="宋体" w:hAnsi="宋体" w:cs="宋体"/>
          <w:sz w:val="24"/>
          <w:szCs w:val="20"/>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（采购人名称）：</w:t>
      </w:r>
    </w:p>
    <w:p>
      <w:pPr>
        <w:snapToGrid w:val="0"/>
        <w:spacing w:line="460" w:lineRule="exact"/>
        <w:ind w:firstLine="600" w:firstLineChars="250"/>
        <w:rPr>
          <w:rFonts w:ascii="宋体" w:hAnsi="宋体" w:cs="宋体"/>
          <w:sz w:val="24"/>
          <w:szCs w:val="20"/>
        </w:rPr>
      </w:pPr>
      <w:r>
        <w:rPr>
          <w:rFonts w:hint="eastAsia" w:ascii="宋体" w:hAnsi="宋体" w:cs="宋体"/>
          <w:sz w:val="24"/>
        </w:rPr>
        <w:t>根据贵方为</w:t>
      </w:r>
      <w:r>
        <w:rPr>
          <w:rFonts w:hint="eastAsia" w:ascii="宋体" w:hAnsi="宋体" w:cs="宋体"/>
          <w:sz w:val="24"/>
          <w:u w:val="single"/>
        </w:rPr>
        <w:t xml:space="preserve">                             </w:t>
      </w:r>
      <w:r>
        <w:rPr>
          <w:rFonts w:hint="eastAsia" w:ascii="宋体" w:hAnsi="宋体" w:cs="宋体"/>
          <w:sz w:val="24"/>
        </w:rPr>
        <w:t>项目的招标公告（项目编号：</w:t>
      </w:r>
      <w:r>
        <w:rPr>
          <w:rFonts w:hint="eastAsia" w:ascii="宋体" w:hAnsi="宋体" w:cs="宋体"/>
          <w:sz w:val="24"/>
          <w:u w:val="single"/>
        </w:rPr>
        <w:t xml:space="preserve">             </w:t>
      </w:r>
      <w:r>
        <w:rPr>
          <w:rFonts w:hint="eastAsia" w:ascii="宋体" w:hAnsi="宋体" w:cs="宋体"/>
          <w:sz w:val="24"/>
        </w:rPr>
        <w:t>），签字代表</w:t>
      </w:r>
      <w:r>
        <w:rPr>
          <w:rFonts w:hint="eastAsia" w:ascii="宋体" w:hAnsi="宋体" w:cs="宋体"/>
          <w:sz w:val="24"/>
          <w:u w:val="single"/>
        </w:rPr>
        <w:t xml:space="preserve">             </w:t>
      </w:r>
      <w:r>
        <w:rPr>
          <w:rFonts w:hint="eastAsia" w:ascii="宋体" w:hAnsi="宋体" w:cs="宋体"/>
          <w:sz w:val="24"/>
        </w:rPr>
        <w:t>（全名）经正式授权并代表供应商</w:t>
      </w:r>
      <w:r>
        <w:rPr>
          <w:rFonts w:hint="eastAsia" w:ascii="宋体" w:hAnsi="宋体" w:cs="宋体"/>
          <w:sz w:val="24"/>
          <w:u w:val="single"/>
        </w:rPr>
        <w:t xml:space="preserve">                             </w:t>
      </w:r>
      <w:r>
        <w:rPr>
          <w:rFonts w:hint="eastAsia" w:ascii="宋体" w:hAnsi="宋体" w:cs="宋体"/>
          <w:sz w:val="24"/>
        </w:rPr>
        <w:t>（供应商名称）提交资格文件、报价文件、技术文件、商务文件、资信及其他文件电子标书一份。</w:t>
      </w:r>
    </w:p>
    <w:p>
      <w:pPr>
        <w:snapToGrid w:val="0"/>
        <w:spacing w:line="460" w:lineRule="exact"/>
        <w:ind w:firstLine="480" w:firstLineChars="200"/>
        <w:rPr>
          <w:rFonts w:ascii="宋体" w:hAnsi="宋体" w:cs="宋体"/>
          <w:sz w:val="24"/>
          <w:szCs w:val="20"/>
        </w:rPr>
      </w:pPr>
      <w:r>
        <w:rPr>
          <w:rFonts w:hint="eastAsia" w:ascii="宋体" w:hAnsi="宋体" w:cs="宋体"/>
          <w:sz w:val="24"/>
        </w:rPr>
        <w:t>据此函，签字代表宣布同意如下：</w:t>
      </w:r>
    </w:p>
    <w:p>
      <w:pPr>
        <w:snapToGrid w:val="0"/>
        <w:spacing w:line="460" w:lineRule="exact"/>
        <w:ind w:firstLine="480" w:firstLineChars="200"/>
        <w:rPr>
          <w:rFonts w:ascii="宋体" w:hAnsi="宋体" w:cs="宋体"/>
          <w:sz w:val="24"/>
          <w:szCs w:val="20"/>
        </w:rPr>
      </w:pPr>
      <w:r>
        <w:rPr>
          <w:rFonts w:hint="eastAsia" w:ascii="宋体" w:hAnsi="宋体" w:cs="宋体"/>
          <w:sz w:val="24"/>
        </w:rPr>
        <w:t>1.供应商已详细审查全部“招标文件”，包括修改文件（如有的话）以及全部参考资料和有关附件，已经了解我方对于招标文件、采购过程、采购结果有依法进行询问、质疑、投诉的权利及相关渠道和要求。</w:t>
      </w:r>
    </w:p>
    <w:p>
      <w:pPr>
        <w:snapToGrid w:val="0"/>
        <w:spacing w:line="460" w:lineRule="exact"/>
        <w:ind w:firstLine="480" w:firstLineChars="200"/>
        <w:rPr>
          <w:rFonts w:ascii="宋体" w:hAnsi="宋体" w:cs="宋体"/>
          <w:sz w:val="24"/>
          <w:szCs w:val="20"/>
        </w:rPr>
      </w:pPr>
      <w:r>
        <w:rPr>
          <w:rFonts w:hint="eastAsia" w:ascii="宋体" w:hAnsi="宋体" w:cs="宋体"/>
          <w:sz w:val="24"/>
        </w:rPr>
        <w:t>2.供应商在竞标之前已经与贵方进行了充分的沟通，完全理解并接受招标文件的各项规定和要求，对招标文件的合理性、合法性不再有异议。</w:t>
      </w:r>
    </w:p>
    <w:p>
      <w:pPr>
        <w:snapToGrid w:val="0"/>
        <w:spacing w:line="460" w:lineRule="exact"/>
        <w:ind w:firstLine="480" w:firstLineChars="200"/>
        <w:rPr>
          <w:rFonts w:ascii="宋体" w:hAnsi="宋体" w:cs="宋体"/>
          <w:sz w:val="24"/>
          <w:szCs w:val="20"/>
        </w:rPr>
      </w:pPr>
      <w:r>
        <w:rPr>
          <w:rFonts w:hint="eastAsia" w:ascii="宋体" w:hAnsi="宋体" w:cs="宋体"/>
          <w:sz w:val="24"/>
        </w:rPr>
        <w:t>3.本投标有效期自投标日起</w:t>
      </w:r>
      <w:r>
        <w:rPr>
          <w:rFonts w:hint="eastAsia" w:ascii="宋体" w:hAnsi="宋体" w:cs="宋体"/>
          <w:sz w:val="24"/>
          <w:u w:val="single"/>
        </w:rPr>
        <w:t>60</w:t>
      </w:r>
      <w:r>
        <w:rPr>
          <w:rFonts w:hint="eastAsia" w:ascii="宋体" w:hAnsi="宋体" w:cs="宋体"/>
          <w:sz w:val="24"/>
        </w:rPr>
        <w:t>个日历天。</w:t>
      </w:r>
    </w:p>
    <w:p>
      <w:pPr>
        <w:snapToGrid w:val="0"/>
        <w:spacing w:line="460" w:lineRule="exact"/>
        <w:ind w:firstLine="480" w:firstLineChars="200"/>
        <w:rPr>
          <w:rFonts w:ascii="宋体" w:hAnsi="宋体" w:cs="宋体"/>
          <w:sz w:val="24"/>
          <w:szCs w:val="20"/>
        </w:rPr>
      </w:pPr>
      <w:r>
        <w:rPr>
          <w:rFonts w:hint="eastAsia" w:ascii="宋体" w:hAnsi="宋体" w:cs="宋体"/>
          <w:sz w:val="24"/>
        </w:rPr>
        <w:t>4.如成交，本投标文件至本项目合同履行完毕止均保持有效，本供应商将按“招标文件”及政府采购法律、法规的规定履行合同责任和义务。</w:t>
      </w:r>
    </w:p>
    <w:p>
      <w:pPr>
        <w:snapToGrid w:val="0"/>
        <w:spacing w:line="460" w:lineRule="exact"/>
        <w:ind w:firstLine="480" w:firstLineChars="200"/>
        <w:rPr>
          <w:rFonts w:ascii="宋体" w:hAnsi="宋体" w:cs="宋体"/>
          <w:sz w:val="24"/>
          <w:szCs w:val="20"/>
        </w:rPr>
      </w:pPr>
      <w:r>
        <w:rPr>
          <w:rFonts w:hint="eastAsia" w:ascii="宋体" w:hAnsi="宋体" w:cs="宋体"/>
          <w:sz w:val="24"/>
        </w:rPr>
        <w:t>5.供应商同意按照贵方要求提供与竞标有关的一切数据或资料。</w:t>
      </w:r>
    </w:p>
    <w:p>
      <w:pPr>
        <w:snapToGrid w:val="0"/>
        <w:spacing w:line="460" w:lineRule="exact"/>
        <w:ind w:firstLine="480" w:firstLineChars="200"/>
        <w:rPr>
          <w:rFonts w:ascii="宋体" w:hAnsi="宋体" w:cs="宋体"/>
          <w:sz w:val="24"/>
          <w:szCs w:val="20"/>
        </w:rPr>
      </w:pPr>
      <w:r>
        <w:rPr>
          <w:rFonts w:hint="eastAsia" w:ascii="宋体" w:hAnsi="宋体" w:cs="宋体"/>
          <w:sz w:val="24"/>
        </w:rPr>
        <w:t>6.与本竞标有关的一切正式往来信函请寄：</w:t>
      </w:r>
    </w:p>
    <w:p>
      <w:pPr>
        <w:snapToGrid w:val="0"/>
        <w:spacing w:line="560" w:lineRule="exact"/>
        <w:rPr>
          <w:rFonts w:ascii="宋体" w:hAnsi="宋体" w:cs="宋体"/>
          <w:sz w:val="24"/>
          <w:szCs w:val="20"/>
        </w:rPr>
      </w:pPr>
      <w:r>
        <w:rPr>
          <w:rFonts w:hint="eastAsia" w:ascii="宋体" w:hAnsi="宋体" w:cs="宋体"/>
          <w:sz w:val="24"/>
        </w:rPr>
        <w:t>地址：</w:t>
      </w:r>
      <w:r>
        <w:rPr>
          <w:rFonts w:hint="eastAsia" w:ascii="宋体" w:hAnsi="宋体" w:cs="宋体"/>
          <w:sz w:val="24"/>
          <w:u w:val="single"/>
        </w:rPr>
        <w:t xml:space="preserve">                        </w:t>
      </w:r>
      <w:r>
        <w:rPr>
          <w:rFonts w:hint="eastAsia" w:ascii="宋体" w:hAnsi="宋体" w:cs="宋体"/>
          <w:sz w:val="24"/>
        </w:rPr>
        <w:t>邮编：</w:t>
      </w:r>
      <w:r>
        <w:rPr>
          <w:rFonts w:hint="eastAsia" w:ascii="宋体" w:hAnsi="宋体" w:cs="宋体"/>
          <w:sz w:val="24"/>
          <w:u w:val="single"/>
        </w:rPr>
        <w:t xml:space="preserve">            </w:t>
      </w:r>
      <w:r>
        <w:rPr>
          <w:rFonts w:hint="eastAsia" w:ascii="宋体" w:hAnsi="宋体" w:cs="宋体"/>
          <w:sz w:val="24"/>
        </w:rPr>
        <w:t>电话：</w:t>
      </w:r>
      <w:r>
        <w:rPr>
          <w:rFonts w:hint="eastAsia" w:ascii="宋体" w:hAnsi="宋体" w:cs="宋体"/>
          <w:sz w:val="24"/>
          <w:u w:val="single"/>
        </w:rPr>
        <w:t xml:space="preserve">            </w:t>
      </w:r>
    </w:p>
    <w:p>
      <w:pPr>
        <w:snapToGrid w:val="0"/>
        <w:spacing w:line="560" w:lineRule="exact"/>
        <w:rPr>
          <w:rFonts w:ascii="宋体" w:hAnsi="宋体" w:cs="宋体"/>
          <w:sz w:val="24"/>
          <w:szCs w:val="20"/>
        </w:rPr>
      </w:pPr>
      <w:r>
        <w:rPr>
          <w:rFonts w:hint="eastAsia" w:ascii="宋体" w:hAnsi="宋体" w:cs="宋体"/>
          <w:sz w:val="24"/>
        </w:rPr>
        <w:t>传真：</w:t>
      </w:r>
      <w:r>
        <w:rPr>
          <w:rFonts w:hint="eastAsia" w:ascii="宋体" w:hAnsi="宋体" w:cs="宋体"/>
          <w:sz w:val="24"/>
          <w:u w:val="single"/>
        </w:rPr>
        <w:t xml:space="preserve">              </w:t>
      </w:r>
      <w:r>
        <w:rPr>
          <w:rFonts w:hint="eastAsia" w:ascii="宋体" w:hAnsi="宋体" w:cs="宋体"/>
          <w:sz w:val="24"/>
        </w:rPr>
        <w:t>供应商代表姓名：</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p>
    <w:p>
      <w:pPr>
        <w:snapToGrid w:val="0"/>
        <w:spacing w:line="560" w:lineRule="exact"/>
        <w:rPr>
          <w:rFonts w:ascii="宋体" w:hAnsi="宋体" w:cs="宋体"/>
          <w:sz w:val="24"/>
          <w:u w:val="single"/>
        </w:rPr>
      </w:pPr>
      <w:r>
        <w:rPr>
          <w:rFonts w:hint="eastAsia" w:ascii="宋体" w:hAnsi="宋体"/>
          <w:sz w:val="24"/>
        </w:rPr>
        <w:t>投标供应商</w:t>
      </w:r>
      <w:r>
        <w:rPr>
          <w:rFonts w:hint="eastAsia" w:ascii="宋体" w:hAnsi="宋体" w:cs="宋体"/>
          <w:sz w:val="24"/>
        </w:rPr>
        <w:t>(公章):</w:t>
      </w:r>
      <w:r>
        <w:rPr>
          <w:rFonts w:hint="eastAsia" w:ascii="宋体" w:hAnsi="宋体" w:cs="宋体"/>
          <w:sz w:val="24"/>
          <w:u w:val="single"/>
        </w:rPr>
        <w:t xml:space="preserve">            </w:t>
      </w:r>
    </w:p>
    <w:p>
      <w:pPr>
        <w:snapToGrid w:val="0"/>
        <w:spacing w:line="560" w:lineRule="exact"/>
        <w:rPr>
          <w:rFonts w:ascii="宋体" w:hAnsi="宋体" w:cs="宋体"/>
          <w:sz w:val="24"/>
          <w:szCs w:val="20"/>
        </w:rPr>
      </w:pPr>
      <w:r>
        <w:rPr>
          <w:rFonts w:hint="eastAsia" w:ascii="宋体" w:hAnsi="宋体" w:cs="宋体"/>
          <w:sz w:val="24"/>
        </w:rPr>
        <w:t>开户银行：</w:t>
      </w:r>
      <w:r>
        <w:rPr>
          <w:rFonts w:hint="eastAsia" w:ascii="宋体" w:hAnsi="宋体" w:cs="宋体"/>
          <w:sz w:val="24"/>
          <w:u w:val="single"/>
        </w:rPr>
        <w:t xml:space="preserve">                      </w:t>
      </w:r>
      <w:r>
        <w:rPr>
          <w:rFonts w:hint="eastAsia" w:ascii="宋体" w:hAnsi="宋体" w:cs="宋体"/>
          <w:sz w:val="24"/>
        </w:rPr>
        <w:t xml:space="preserve">   银行帐号：</w:t>
      </w:r>
      <w:r>
        <w:rPr>
          <w:rFonts w:hint="eastAsia" w:ascii="宋体" w:hAnsi="宋体" w:cs="宋体"/>
          <w:sz w:val="24"/>
          <w:u w:val="single"/>
        </w:rPr>
        <w:t xml:space="preserve">                    </w:t>
      </w:r>
      <w:r>
        <w:rPr>
          <w:rFonts w:hint="eastAsia" w:ascii="宋体" w:hAnsi="宋体" w:cs="宋体"/>
          <w:sz w:val="24"/>
        </w:rPr>
        <w:t xml:space="preserve"> </w:t>
      </w:r>
    </w:p>
    <w:p>
      <w:pPr>
        <w:snapToGrid w:val="0"/>
        <w:spacing w:line="560" w:lineRule="exact"/>
        <w:rPr>
          <w:rFonts w:ascii="宋体" w:hAnsi="宋体" w:cs="宋体"/>
          <w:sz w:val="30"/>
          <w:szCs w:val="20"/>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13"/>
        <w:spacing w:line="600" w:lineRule="exact"/>
        <w:ind w:firstLine="0"/>
        <w:rPr>
          <w:rFonts w:ascii="宋体" w:hAnsi="宋体" w:cs="宋体"/>
          <w:b/>
          <w:bCs/>
          <w:spacing w:val="24"/>
          <w:sz w:val="30"/>
        </w:rPr>
      </w:pPr>
    </w:p>
    <w:p>
      <w:pPr>
        <w:pStyle w:val="13"/>
        <w:spacing w:line="600" w:lineRule="exact"/>
        <w:ind w:firstLine="0"/>
        <w:rPr>
          <w:rFonts w:ascii="宋体" w:hAnsi="宋体" w:cs="宋体"/>
          <w:b/>
          <w:bCs/>
          <w:spacing w:val="24"/>
          <w:sz w:val="30"/>
        </w:rPr>
      </w:pPr>
    </w:p>
    <w:p>
      <w:pPr>
        <w:pStyle w:val="13"/>
        <w:spacing w:line="600" w:lineRule="exact"/>
        <w:ind w:firstLine="0"/>
        <w:rPr>
          <w:rFonts w:ascii="宋体" w:hAnsi="宋体" w:cs="宋体"/>
          <w:b/>
          <w:bCs/>
          <w:spacing w:val="24"/>
          <w:sz w:val="30"/>
        </w:rPr>
      </w:pPr>
    </w:p>
    <w:p>
      <w:pPr>
        <w:pStyle w:val="13"/>
        <w:spacing w:line="600" w:lineRule="exact"/>
        <w:ind w:firstLine="0"/>
        <w:rPr>
          <w:rFonts w:ascii="宋体" w:hAnsi="宋体" w:cs="宋体"/>
          <w:b/>
          <w:bCs/>
          <w:spacing w:val="24"/>
          <w:sz w:val="30"/>
        </w:rPr>
      </w:pPr>
    </w:p>
    <w:p>
      <w:pPr>
        <w:spacing w:line="360" w:lineRule="auto"/>
        <w:rPr>
          <w:rFonts w:ascii="宋体" w:hAnsi="宋体" w:cs="宋体"/>
          <w:b/>
          <w:bCs/>
          <w:sz w:val="24"/>
        </w:rPr>
      </w:pPr>
    </w:p>
    <w:p>
      <w:pPr>
        <w:pStyle w:val="21"/>
      </w:pPr>
    </w:p>
    <w:p>
      <w:pPr>
        <w:pStyle w:val="13"/>
      </w:pPr>
    </w:p>
    <w:p>
      <w:pPr>
        <w:pStyle w:val="27"/>
        <w:spacing w:before="295" w:after="295"/>
        <w:jc w:val="center"/>
        <w:rPr>
          <w:b/>
          <w:sz w:val="24"/>
          <w:szCs w:val="24"/>
        </w:rPr>
      </w:pPr>
      <w:r>
        <w:rPr>
          <w:rFonts w:hint="eastAsia"/>
          <w:b/>
          <w:sz w:val="24"/>
          <w:szCs w:val="24"/>
        </w:rPr>
        <w:t>二、</w:t>
      </w:r>
      <w:r>
        <w:rPr>
          <w:b/>
          <w:sz w:val="24"/>
          <w:szCs w:val="24"/>
        </w:rPr>
        <w:t>开标一览表</w:t>
      </w:r>
      <w:r>
        <w:rPr>
          <w:rFonts w:hint="eastAsia"/>
          <w:b/>
          <w:sz w:val="24"/>
          <w:szCs w:val="24"/>
        </w:rPr>
        <w:t xml:space="preserve"> </w:t>
      </w:r>
    </w:p>
    <w:p>
      <w:pPr>
        <w:adjustRightInd w:val="0"/>
        <w:snapToGrid w:val="0"/>
        <w:spacing w:line="440" w:lineRule="exact"/>
        <w:ind w:firstLine="480" w:firstLineChars="200"/>
        <w:rPr>
          <w:rFonts w:ascii="宋体" w:hAnsi="宋体"/>
          <w:sz w:val="24"/>
          <w:u w:val="single"/>
        </w:rPr>
      </w:pPr>
      <w:r>
        <w:rPr>
          <w:rFonts w:hint="eastAsia" w:ascii="宋体" w:hAnsi="宋体"/>
          <w:sz w:val="24"/>
        </w:rPr>
        <w:t xml:space="preserve">项目名称：                                   </w:t>
      </w:r>
    </w:p>
    <w:p>
      <w:pPr>
        <w:spacing w:line="500" w:lineRule="exact"/>
        <w:ind w:right="465" w:rightChars="166" w:firstLine="480" w:firstLineChars="200"/>
        <w:rPr>
          <w:rFonts w:ascii="宋体" w:hAnsi="宋体" w:cs="宋体"/>
          <w:sz w:val="24"/>
        </w:rPr>
      </w:pPr>
      <w:r>
        <w:rPr>
          <w:rFonts w:hint="eastAsia" w:ascii="宋体" w:hAnsi="宋体" w:cs="宋体"/>
          <w:sz w:val="24"/>
        </w:rPr>
        <w:t>项目编号：</w:t>
      </w:r>
    </w:p>
    <w:tbl>
      <w:tblPr>
        <w:tblStyle w:val="40"/>
        <w:tblW w:w="9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3"/>
        <w:gridCol w:w="5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4503" w:type="dxa"/>
            <w:vAlign w:val="center"/>
          </w:tcPr>
          <w:p>
            <w:pPr>
              <w:adjustRightInd w:val="0"/>
              <w:snapToGrid w:val="0"/>
              <w:spacing w:line="440" w:lineRule="exact"/>
              <w:jc w:val="center"/>
              <w:rPr>
                <w:rFonts w:ascii="宋体" w:hAnsi="宋体" w:cs="宋体"/>
                <w:kern w:val="0"/>
                <w:sz w:val="24"/>
              </w:rPr>
            </w:pPr>
            <w:r>
              <w:rPr>
                <w:rFonts w:hint="eastAsia" w:ascii="宋体" w:hAnsi="宋体" w:cs="宋体"/>
                <w:kern w:val="0"/>
                <w:sz w:val="24"/>
              </w:rPr>
              <w:t>项目名称</w:t>
            </w:r>
          </w:p>
        </w:tc>
        <w:tc>
          <w:tcPr>
            <w:tcW w:w="5279" w:type="dxa"/>
            <w:vAlign w:val="center"/>
          </w:tcPr>
          <w:p>
            <w:pPr>
              <w:adjustRightInd w:val="0"/>
              <w:snapToGrid w:val="0"/>
              <w:spacing w:line="440" w:lineRule="exact"/>
              <w:jc w:val="center"/>
              <w:rPr>
                <w:rFonts w:ascii="宋体" w:hAnsi="宋体" w:cs="宋体"/>
                <w:kern w:val="0"/>
                <w:sz w:val="24"/>
              </w:rPr>
            </w:pPr>
            <w:r>
              <w:rPr>
                <w:rFonts w:hint="eastAsia" w:hAnsi="宋体" w:cs="宋体"/>
                <w:sz w:val="24"/>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4503" w:type="dxa"/>
            <w:vAlign w:val="center"/>
          </w:tcPr>
          <w:p>
            <w:pPr>
              <w:adjustRightInd w:val="0"/>
              <w:snapToGrid w:val="0"/>
              <w:spacing w:line="440" w:lineRule="exact"/>
              <w:jc w:val="center"/>
              <w:rPr>
                <w:rFonts w:hint="eastAsia" w:ascii="宋体" w:hAnsi="宋体" w:eastAsia="宋体" w:cs="宋体"/>
                <w:kern w:val="0"/>
                <w:sz w:val="24"/>
                <w:lang w:eastAsia="zh-CN"/>
              </w:rPr>
            </w:pPr>
            <w:r>
              <w:rPr>
                <w:rFonts w:hint="eastAsia" w:ascii="宋体" w:hAnsi="宋体" w:cs="宋体"/>
                <w:b/>
                <w:bCs/>
                <w:kern w:val="0"/>
                <w:sz w:val="24"/>
                <w:lang w:eastAsia="zh-CN"/>
              </w:rPr>
              <w:t>湖州市吴兴区织里镇街区立面整治服务采购项目</w:t>
            </w:r>
          </w:p>
        </w:tc>
        <w:tc>
          <w:tcPr>
            <w:tcW w:w="5279" w:type="dxa"/>
            <w:vAlign w:val="center"/>
          </w:tcPr>
          <w:p>
            <w:pPr>
              <w:adjustRightInd w:val="0"/>
              <w:snapToGrid w:val="0"/>
              <w:spacing w:line="440" w:lineRule="exact"/>
              <w:rPr>
                <w:rFonts w:ascii="宋体" w:hAnsi="宋体" w:cs="宋体"/>
                <w:kern w:val="0"/>
                <w:sz w:val="24"/>
              </w:rPr>
            </w:pPr>
            <w:r>
              <w:rPr>
                <w:rFonts w:hint="eastAsia" w:ascii="宋体" w:hAnsi="宋体" w:cs="宋体"/>
                <w:kern w:val="0"/>
                <w:sz w:val="24"/>
              </w:rPr>
              <w:t>人民币大写：</w:t>
            </w:r>
          </w:p>
          <w:p>
            <w:pPr>
              <w:adjustRightInd w:val="0"/>
              <w:snapToGrid w:val="0"/>
              <w:spacing w:line="440" w:lineRule="exact"/>
              <w:rPr>
                <w:rFonts w:ascii="宋体" w:hAnsi="宋体" w:cs="宋体"/>
                <w:kern w:val="0"/>
                <w:sz w:val="24"/>
              </w:rPr>
            </w:pPr>
            <w:r>
              <w:rPr>
                <w:rFonts w:hint="eastAsia" w:ascii="宋体" w:hAnsi="宋体" w:cs="宋体"/>
                <w:kern w:val="0"/>
                <w:sz w:val="24"/>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4503" w:type="dxa"/>
            <w:vAlign w:val="center"/>
          </w:tcPr>
          <w:p>
            <w:pPr>
              <w:adjustRightInd w:val="0"/>
              <w:snapToGrid w:val="0"/>
              <w:spacing w:line="440" w:lineRule="exact"/>
              <w:jc w:val="center"/>
              <w:rPr>
                <w:rFonts w:ascii="宋体" w:hAnsi="宋体" w:cs="Arial"/>
                <w:b/>
                <w:sz w:val="24"/>
              </w:rPr>
            </w:pPr>
            <w:r>
              <w:rPr>
                <w:rFonts w:hint="eastAsia" w:hAnsi="宋体"/>
                <w:b/>
                <w:sz w:val="24"/>
              </w:rPr>
              <w:t>是否符合小微企业价格扣除政策的情形</w:t>
            </w:r>
          </w:p>
        </w:tc>
        <w:tc>
          <w:tcPr>
            <w:tcW w:w="5279" w:type="dxa"/>
          </w:tcPr>
          <w:p>
            <w:pPr>
              <w:spacing w:line="480" w:lineRule="exact"/>
              <w:jc w:val="center"/>
              <w:rPr>
                <w:rFonts w:ascii="宋体" w:hAnsi="宋体" w:cs="宋体"/>
                <w:sz w:val="24"/>
              </w:rPr>
            </w:pPr>
            <w:r>
              <w:rPr>
                <w:rFonts w:hint="eastAsia" w:ascii="宋体" w:hAnsi="宋体" w:cs="宋体"/>
                <w:sz w:val="24"/>
              </w:rPr>
              <w:t>是   □</w:t>
            </w:r>
          </w:p>
          <w:p>
            <w:pPr>
              <w:adjustRightInd w:val="0"/>
              <w:snapToGrid w:val="0"/>
              <w:spacing w:line="440" w:lineRule="exact"/>
              <w:jc w:val="center"/>
              <w:rPr>
                <w:rFonts w:ascii="宋体" w:hAnsi="宋体" w:cs="宋体"/>
                <w:kern w:val="0"/>
                <w:sz w:val="24"/>
              </w:rPr>
            </w:pPr>
            <w:r>
              <w:rPr>
                <w:rFonts w:hint="eastAsia" w:hAnsi="宋体" w:cs="宋体"/>
                <w:sz w:val="24"/>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4503" w:type="dxa"/>
            <w:vAlign w:val="center"/>
          </w:tcPr>
          <w:p>
            <w:pPr>
              <w:adjustRightInd w:val="0"/>
              <w:snapToGrid w:val="0"/>
              <w:spacing w:line="440" w:lineRule="exact"/>
              <w:jc w:val="center"/>
              <w:rPr>
                <w:rFonts w:ascii="宋体" w:hAnsi="宋体" w:cs="Arial"/>
                <w:b/>
                <w:sz w:val="24"/>
              </w:rPr>
            </w:pPr>
            <w:r>
              <w:rPr>
                <w:rFonts w:hint="eastAsia" w:hAnsi="宋体"/>
                <w:b/>
                <w:sz w:val="24"/>
              </w:rPr>
              <w:t>扣除后合计金额（元）</w:t>
            </w:r>
          </w:p>
        </w:tc>
        <w:tc>
          <w:tcPr>
            <w:tcW w:w="5279" w:type="dxa"/>
          </w:tcPr>
          <w:p>
            <w:pPr>
              <w:adjustRightInd w:val="0"/>
              <w:snapToGrid w:val="0"/>
              <w:spacing w:line="440" w:lineRule="exact"/>
              <w:rPr>
                <w:rFonts w:ascii="宋体" w:hAnsi="宋体" w:cs="宋体"/>
                <w:kern w:val="0"/>
                <w:sz w:val="24"/>
              </w:rPr>
            </w:pPr>
          </w:p>
        </w:tc>
      </w:tr>
    </w:tbl>
    <w:p>
      <w:pPr>
        <w:spacing w:line="500" w:lineRule="exact"/>
        <w:ind w:left="663" w:leftChars="105" w:hanging="369" w:hangingChars="154"/>
        <w:rPr>
          <w:rFonts w:ascii="宋体" w:hAnsi="宋体" w:cs="宋体"/>
          <w:sz w:val="24"/>
        </w:rPr>
      </w:pPr>
      <w:r>
        <w:rPr>
          <w:rFonts w:hint="eastAsia" w:ascii="宋体" w:hAnsi="宋体" w:cs="宋体"/>
          <w:sz w:val="24"/>
        </w:rPr>
        <w:t>说明：</w:t>
      </w:r>
    </w:p>
    <w:p>
      <w:pPr>
        <w:spacing w:line="500" w:lineRule="exact"/>
        <w:ind w:left="546" w:leftChars="106" w:hanging="249" w:hangingChars="104"/>
        <w:rPr>
          <w:rFonts w:ascii="宋体" w:hAnsi="宋体" w:cs="宋体"/>
          <w:sz w:val="24"/>
        </w:rPr>
      </w:pPr>
      <w:r>
        <w:rPr>
          <w:rFonts w:hint="eastAsia" w:ascii="宋体" w:hAnsi="宋体" w:cs="宋体"/>
          <w:sz w:val="24"/>
        </w:rPr>
        <w:t>1. 开标一览表中的报价为完成本项目的所有费用。</w:t>
      </w:r>
    </w:p>
    <w:p>
      <w:pPr>
        <w:spacing w:line="500" w:lineRule="exact"/>
        <w:ind w:left="546" w:leftChars="106" w:hanging="249" w:hangingChars="104"/>
        <w:rPr>
          <w:rFonts w:ascii="宋体" w:hAnsi="宋体" w:cs="宋体"/>
          <w:sz w:val="24"/>
        </w:rPr>
      </w:pPr>
      <w:r>
        <w:rPr>
          <w:rFonts w:hint="eastAsia" w:ascii="宋体" w:hAnsi="宋体" w:cs="宋体"/>
          <w:sz w:val="24"/>
        </w:rPr>
        <w:t>2. 此栏内投标总价应与 “</w:t>
      </w:r>
      <w:r>
        <w:rPr>
          <w:rFonts w:hint="eastAsia" w:ascii="宋体" w:hAnsi="宋体" w:cs="宋体"/>
          <w:bCs/>
          <w:sz w:val="24"/>
        </w:rPr>
        <w:t>报价明细表</w:t>
      </w:r>
      <w:r>
        <w:rPr>
          <w:rFonts w:hint="eastAsia" w:ascii="宋体" w:hAnsi="宋体" w:cs="宋体"/>
          <w:sz w:val="24"/>
        </w:rPr>
        <w:t>”中汇总金额相一致。</w:t>
      </w:r>
    </w:p>
    <w:p>
      <w:pPr>
        <w:spacing w:line="500" w:lineRule="exact"/>
        <w:ind w:left="546" w:leftChars="106" w:hanging="249" w:hangingChars="104"/>
        <w:rPr>
          <w:rFonts w:ascii="宋体" w:hAnsi="宋体" w:cs="宋体"/>
          <w:sz w:val="24"/>
        </w:rPr>
      </w:pPr>
      <w:r>
        <w:rPr>
          <w:rFonts w:hint="eastAsia" w:ascii="宋体" w:hAnsi="宋体"/>
          <w:sz w:val="24"/>
        </w:rPr>
        <w:t>3.报价一经涂改，应在涂改处加盖单位公章或者由法定代表人或授权委托人签字或盖章，否则其投标作无效标处理。</w:t>
      </w:r>
    </w:p>
    <w:p>
      <w:pPr>
        <w:spacing w:line="500" w:lineRule="exact"/>
        <w:ind w:left="546" w:leftChars="106" w:hanging="249" w:hangingChars="104"/>
        <w:rPr>
          <w:rFonts w:ascii="宋体" w:hAnsi="宋体" w:cs="宋体"/>
          <w:sz w:val="24"/>
        </w:rPr>
      </w:pPr>
    </w:p>
    <w:p>
      <w:pPr>
        <w:jc w:val="left"/>
        <w:rPr>
          <w:rFonts w:ascii="宋体" w:hAnsi="宋体" w:cs="宋体"/>
          <w:b/>
          <w:sz w:val="24"/>
          <w:u w:val="single"/>
        </w:rPr>
      </w:pPr>
    </w:p>
    <w:p>
      <w:pPr>
        <w:jc w:val="left"/>
        <w:rPr>
          <w:rFonts w:ascii="宋体" w:hAnsi="宋体" w:cs="宋体"/>
          <w:b/>
          <w:sz w:val="24"/>
          <w:u w:val="single"/>
        </w:rPr>
      </w:pPr>
    </w:p>
    <w:p>
      <w:pPr>
        <w:jc w:val="left"/>
        <w:rPr>
          <w:b/>
          <w:sz w:val="24"/>
        </w:rPr>
      </w:pPr>
    </w:p>
    <w:p>
      <w:pPr>
        <w:spacing w:line="360" w:lineRule="auto"/>
        <w:jc w:val="left"/>
        <w:rPr>
          <w:sz w:val="24"/>
        </w:rPr>
      </w:pPr>
      <w:r>
        <w:rPr>
          <w:rFonts w:hint="eastAsia"/>
          <w:sz w:val="24"/>
        </w:rPr>
        <w:t>投标供应商全称（加盖公章）：</w:t>
      </w:r>
    </w:p>
    <w:p>
      <w:pPr>
        <w:spacing w:line="360" w:lineRule="auto"/>
        <w:jc w:val="left"/>
        <w:rPr>
          <w:sz w:val="24"/>
        </w:rPr>
      </w:pPr>
      <w:r>
        <w:rPr>
          <w:rFonts w:hint="eastAsia"/>
          <w:sz w:val="24"/>
        </w:rPr>
        <w:t>法定代表人或其授权代理人（</w:t>
      </w:r>
      <w:r>
        <w:rPr>
          <w:rFonts w:hint="eastAsia"/>
          <w:sz w:val="24"/>
          <w:lang w:eastAsia="zh-CN"/>
        </w:rPr>
        <w:t>签字或</w:t>
      </w:r>
      <w:r>
        <w:rPr>
          <w:rFonts w:hint="eastAsia"/>
          <w:sz w:val="24"/>
        </w:rPr>
        <w:t>盖章）：</w:t>
      </w:r>
    </w:p>
    <w:p>
      <w:pPr>
        <w:spacing w:line="360" w:lineRule="auto"/>
        <w:jc w:val="left"/>
        <w:rPr>
          <w:sz w:val="24"/>
        </w:rPr>
      </w:pPr>
    </w:p>
    <w:p>
      <w:pPr>
        <w:spacing w:line="360" w:lineRule="auto"/>
        <w:jc w:val="left"/>
        <w:rPr>
          <w:sz w:val="24"/>
        </w:rPr>
      </w:pPr>
    </w:p>
    <w:p>
      <w:pPr>
        <w:spacing w:line="360" w:lineRule="auto"/>
        <w:jc w:val="left"/>
        <w:rPr>
          <w:sz w:val="24"/>
        </w:rPr>
      </w:pPr>
      <w:r>
        <w:rPr>
          <w:rFonts w:hint="eastAsia"/>
          <w:sz w:val="24"/>
        </w:rPr>
        <w:t xml:space="preserve">                                                日期：   年   月  日 </w:t>
      </w:r>
    </w:p>
    <w:p>
      <w:pPr>
        <w:spacing w:line="360" w:lineRule="auto"/>
        <w:rPr>
          <w:rFonts w:ascii="宋体" w:hAnsi="宋体" w:cs="宋体"/>
          <w:b/>
          <w:szCs w:val="28"/>
        </w:rPr>
      </w:pPr>
    </w:p>
    <w:p>
      <w:pPr>
        <w:pStyle w:val="20"/>
        <w:ind w:firstLine="240"/>
        <w:rPr>
          <w:sz w:val="24"/>
        </w:rPr>
      </w:pPr>
    </w:p>
    <w:p>
      <w:pPr>
        <w:pStyle w:val="20"/>
        <w:ind w:firstLine="240"/>
        <w:rPr>
          <w:sz w:val="24"/>
        </w:rPr>
      </w:pPr>
    </w:p>
    <w:p>
      <w:pPr>
        <w:pStyle w:val="20"/>
        <w:ind w:firstLine="0" w:firstLineChars="0"/>
        <w:rPr>
          <w:sz w:val="24"/>
        </w:rPr>
      </w:pPr>
    </w:p>
    <w:p>
      <w:pPr>
        <w:pStyle w:val="20"/>
        <w:ind w:firstLine="0" w:firstLineChars="0"/>
        <w:rPr>
          <w:sz w:val="24"/>
        </w:rPr>
      </w:pPr>
    </w:p>
    <w:p>
      <w:pPr>
        <w:spacing w:line="400" w:lineRule="exact"/>
        <w:jc w:val="center"/>
        <w:rPr>
          <w:rFonts w:hAnsi="宋体"/>
          <w:b/>
          <w:sz w:val="24"/>
        </w:rPr>
      </w:pPr>
      <w:r>
        <w:rPr>
          <w:rFonts w:hint="eastAsia" w:hAnsi="宋体"/>
          <w:b/>
          <w:sz w:val="24"/>
        </w:rPr>
        <w:t>三、</w:t>
      </w:r>
      <w:r>
        <w:rPr>
          <w:rFonts w:hAnsi="宋体"/>
          <w:b/>
          <w:sz w:val="24"/>
        </w:rPr>
        <w:t>报价明细表</w:t>
      </w:r>
      <w:r>
        <w:rPr>
          <w:rFonts w:hint="eastAsia" w:hAnsi="宋体"/>
          <w:b/>
          <w:sz w:val="24"/>
        </w:rPr>
        <w:t xml:space="preserve">  </w:t>
      </w:r>
    </w:p>
    <w:tbl>
      <w:tblPr>
        <w:tblStyle w:val="40"/>
        <w:tblpPr w:leftFromText="180" w:rightFromText="180" w:vertAnchor="text" w:horzAnchor="page" w:tblpX="1140" w:tblpY="394"/>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478"/>
        <w:gridCol w:w="1694"/>
        <w:gridCol w:w="1123"/>
        <w:gridCol w:w="1320"/>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序号</w:t>
            </w: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名称</w:t>
            </w: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详细说明</w:t>
            </w: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单价</w:t>
            </w: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数量</w:t>
            </w: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2140"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总价</w:t>
            </w:r>
          </w:p>
        </w:tc>
        <w:tc>
          <w:tcPr>
            <w:tcW w:w="2424" w:type="pct"/>
            <w:gridSpan w:val="3"/>
            <w:tcBorders>
              <w:top w:val="single" w:color="auto" w:sz="4" w:space="0"/>
              <w:left w:val="single" w:color="auto" w:sz="4" w:space="0"/>
              <w:bottom w:val="single" w:color="auto" w:sz="4" w:space="0"/>
              <w:right w:val="single" w:color="auto" w:sz="4" w:space="0"/>
            </w:tcBorders>
            <w:vAlign w:val="center"/>
          </w:tcPr>
          <w:p>
            <w:pPr>
              <w:spacing w:before="240" w:line="360" w:lineRule="auto"/>
              <w:jc w:val="center"/>
              <w:rPr>
                <w:sz w:val="24"/>
              </w:rPr>
            </w:pPr>
            <w:r>
              <w:rPr>
                <w:rFonts w:hint="eastAsia"/>
                <w:sz w:val="24"/>
              </w:rPr>
              <w:t>人民币</w:t>
            </w:r>
            <w:r>
              <w:rPr>
                <w:sz w:val="24"/>
                <w:u w:val="single"/>
              </w:rPr>
              <w:t xml:space="preserve">         </w:t>
            </w:r>
            <w:r>
              <w:rPr>
                <w:rFonts w:hint="eastAsia"/>
                <w:sz w:val="24"/>
                <w:u w:val="single"/>
              </w:rPr>
              <w:t xml:space="preserve">      </w:t>
            </w:r>
            <w:r>
              <w:rPr>
                <w:sz w:val="24"/>
                <w:u w:val="single"/>
              </w:rPr>
              <w:t xml:space="preserve">    </w:t>
            </w:r>
            <w:r>
              <w:rPr>
                <w:rFonts w:hint="eastAsia"/>
                <w:sz w:val="24"/>
              </w:rPr>
              <w:t>元（￥</w:t>
            </w:r>
            <w:r>
              <w:rPr>
                <w:sz w:val="24"/>
                <w:u w:val="single"/>
              </w:rPr>
              <w:t xml:space="preserve">          </w:t>
            </w:r>
            <w:r>
              <w:rPr>
                <w:rFonts w:hint="eastAsia"/>
                <w:sz w:val="24"/>
              </w:rPr>
              <w:t>）</w:t>
            </w:r>
          </w:p>
        </w:tc>
      </w:tr>
    </w:tbl>
    <w:p>
      <w:pPr>
        <w:spacing w:line="400" w:lineRule="exact"/>
        <w:jc w:val="center"/>
        <w:rPr>
          <w:rFonts w:ascii="宋体" w:hAnsi="宋体"/>
          <w:b/>
          <w:sz w:val="24"/>
          <w:szCs w:val="20"/>
        </w:rPr>
      </w:pPr>
      <w:r>
        <w:rPr>
          <w:rFonts w:hint="eastAsia"/>
        </w:rPr>
        <w:t xml:space="preserve">  </w:t>
      </w:r>
      <w:r>
        <w:rPr>
          <w:rFonts w:hint="eastAsia"/>
          <w:b/>
        </w:rPr>
        <w:t xml:space="preserve"> </w:t>
      </w:r>
    </w:p>
    <w:p>
      <w:pPr>
        <w:spacing w:line="360" w:lineRule="auto"/>
        <w:rPr>
          <w:sz w:val="24"/>
        </w:rPr>
      </w:pPr>
    </w:p>
    <w:p>
      <w:pPr>
        <w:snapToGrid w:val="0"/>
        <w:spacing w:beforeLines="50"/>
        <w:jc w:val="left"/>
        <w:rPr>
          <w:rFonts w:ascii="宋体" w:hAnsi="宋体"/>
          <w:sz w:val="24"/>
        </w:rPr>
      </w:pPr>
      <w:r>
        <w:rPr>
          <w:rFonts w:hint="eastAsia" w:ascii="宋体" w:hAnsi="宋体"/>
          <w:sz w:val="24"/>
        </w:rPr>
        <w:t>投标供应商全称（公章）：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napToGrid w:val="0"/>
        <w:spacing w:beforeLines="50"/>
        <w:jc w:val="left"/>
        <w:rPr>
          <w:rFonts w:ascii="宋体" w:hAnsi="宋体"/>
          <w:sz w:val="24"/>
          <w:szCs w:val="20"/>
          <w:u w:val="single"/>
        </w:rPr>
      </w:pPr>
      <w:r>
        <w:rPr>
          <w:rFonts w:hint="eastAsia" w:ascii="宋体" w:hAnsi="宋体"/>
          <w:sz w:val="24"/>
        </w:rPr>
        <w:t>法定代表人或其授权代表（</w:t>
      </w:r>
      <w:r>
        <w:rPr>
          <w:rFonts w:hint="eastAsia"/>
          <w:sz w:val="24"/>
          <w:lang w:eastAsia="zh-CN"/>
        </w:rPr>
        <w:t>签字或</w:t>
      </w:r>
      <w:r>
        <w:rPr>
          <w:rFonts w:hint="eastAsia" w:ascii="宋体" w:hAnsi="宋体"/>
          <w:sz w:val="24"/>
        </w:rPr>
        <w:t>盖章）：</w:t>
      </w:r>
      <w:r>
        <w:rPr>
          <w:rFonts w:ascii="宋体" w:hAnsi="宋体"/>
          <w:sz w:val="24"/>
          <w:u w:val="single"/>
        </w:rPr>
        <w:t xml:space="preserve">             </w:t>
      </w:r>
    </w:p>
    <w:p>
      <w:pPr>
        <w:snapToGrid w:val="0"/>
        <w:spacing w:beforeLines="50" w:after="50"/>
        <w:ind w:firstLine="6840" w:firstLineChars="2850"/>
        <w:rPr>
          <w:rFonts w:ascii="宋体" w:hAnsi="宋体"/>
          <w:sz w:val="24"/>
        </w:rPr>
      </w:pPr>
      <w:r>
        <w:rPr>
          <w:rFonts w:ascii="宋体" w:hAnsi="宋体"/>
          <w:sz w:val="24"/>
        </w:rPr>
        <w:t xml:space="preserve"> </w:t>
      </w:r>
      <w:r>
        <w:rPr>
          <w:rFonts w:hint="eastAsia" w:ascii="宋体" w:hAnsi="宋体"/>
          <w:sz w:val="24"/>
        </w:rPr>
        <w:t>年   月   日</w:t>
      </w:r>
    </w:p>
    <w:p>
      <w:pPr>
        <w:snapToGrid w:val="0"/>
        <w:spacing w:line="360" w:lineRule="auto"/>
        <w:ind w:firstLine="602" w:firstLineChars="250"/>
        <w:jc w:val="center"/>
        <w:rPr>
          <w:rFonts w:ascii="宋体" w:hAnsi="宋体"/>
          <w:b/>
          <w:sz w:val="24"/>
        </w:rPr>
      </w:pPr>
    </w:p>
    <w:p>
      <w:pPr>
        <w:spacing w:line="360" w:lineRule="auto"/>
        <w:jc w:val="center"/>
        <w:rPr>
          <w:rFonts w:ascii="Tahoma" w:hAnsi="Tahoma"/>
          <w:b/>
          <w:sz w:val="24"/>
        </w:rPr>
      </w:pPr>
    </w:p>
    <w:p>
      <w:pPr>
        <w:pStyle w:val="13"/>
        <w:rPr>
          <w:rFonts w:ascii="Tahoma" w:hAnsi="Tahoma"/>
          <w:b/>
          <w:sz w:val="24"/>
        </w:rPr>
      </w:pPr>
    </w:p>
    <w:p>
      <w:pPr>
        <w:pStyle w:val="13"/>
        <w:rPr>
          <w:rFonts w:ascii="Tahoma" w:hAnsi="Tahoma"/>
          <w:b/>
          <w:sz w:val="24"/>
        </w:rPr>
      </w:pPr>
    </w:p>
    <w:p>
      <w:pPr>
        <w:pStyle w:val="13"/>
        <w:rPr>
          <w:rFonts w:ascii="Tahoma" w:hAnsi="Tahoma"/>
          <w:b/>
          <w:sz w:val="24"/>
        </w:rPr>
      </w:pPr>
    </w:p>
    <w:p>
      <w:pPr>
        <w:pStyle w:val="13"/>
        <w:rPr>
          <w:rFonts w:ascii="Tahoma" w:hAnsi="Tahoma"/>
          <w:b/>
          <w:sz w:val="24"/>
        </w:rPr>
      </w:pPr>
    </w:p>
    <w:p>
      <w:pPr>
        <w:pStyle w:val="13"/>
        <w:rPr>
          <w:rFonts w:ascii="Tahoma" w:hAnsi="Tahoma"/>
          <w:b/>
          <w:sz w:val="24"/>
        </w:rPr>
      </w:pPr>
    </w:p>
    <w:p>
      <w:pPr>
        <w:pStyle w:val="13"/>
        <w:rPr>
          <w:rFonts w:ascii="Tahoma" w:hAnsi="Tahoma"/>
          <w:b/>
          <w:sz w:val="24"/>
        </w:rPr>
      </w:pPr>
    </w:p>
    <w:p>
      <w:pPr>
        <w:pStyle w:val="13"/>
        <w:rPr>
          <w:rFonts w:ascii="Tahoma" w:hAnsi="Tahoma"/>
          <w:b/>
          <w:sz w:val="24"/>
        </w:rPr>
      </w:pPr>
    </w:p>
    <w:p>
      <w:pPr>
        <w:pStyle w:val="13"/>
        <w:rPr>
          <w:rFonts w:ascii="Tahoma" w:hAnsi="Tahoma"/>
          <w:b/>
          <w:sz w:val="24"/>
        </w:rPr>
      </w:pPr>
    </w:p>
    <w:p>
      <w:pPr>
        <w:pStyle w:val="13"/>
        <w:rPr>
          <w:rFonts w:ascii="Tahoma" w:hAnsi="Tahoma"/>
          <w:b/>
          <w:sz w:val="24"/>
        </w:rPr>
      </w:pPr>
    </w:p>
    <w:p>
      <w:pPr>
        <w:pStyle w:val="13"/>
        <w:rPr>
          <w:rFonts w:ascii="Tahoma" w:hAnsi="Tahoma"/>
          <w:b/>
          <w:sz w:val="24"/>
        </w:rPr>
      </w:pPr>
    </w:p>
    <w:p>
      <w:pPr>
        <w:snapToGrid w:val="0"/>
        <w:spacing w:line="360" w:lineRule="auto"/>
        <w:jc w:val="center"/>
        <w:rPr>
          <w:rFonts w:ascii="宋体" w:hAnsi="宋体"/>
          <w:b/>
          <w:sz w:val="24"/>
        </w:rPr>
      </w:pPr>
      <w:r>
        <w:rPr>
          <w:rFonts w:hint="eastAsia" w:ascii="宋体" w:hAnsi="宋体"/>
          <w:b/>
          <w:sz w:val="24"/>
        </w:rPr>
        <w:t>四、政策分相关证明资料</w:t>
      </w:r>
    </w:p>
    <w:p>
      <w:pPr>
        <w:snapToGrid w:val="0"/>
        <w:spacing w:line="360" w:lineRule="auto"/>
        <w:jc w:val="both"/>
        <w:rPr>
          <w:rFonts w:ascii="宋体" w:hAnsi="宋体"/>
          <w:b/>
          <w:sz w:val="24"/>
        </w:rPr>
      </w:pPr>
    </w:p>
    <w:p>
      <w:pPr>
        <w:snapToGrid w:val="0"/>
        <w:spacing w:line="360" w:lineRule="auto"/>
        <w:jc w:val="center"/>
        <w:rPr>
          <w:rFonts w:ascii="宋体" w:hAnsi="宋体"/>
          <w:b/>
          <w:sz w:val="24"/>
        </w:rPr>
      </w:pPr>
      <w:r>
        <w:rPr>
          <w:rFonts w:hint="eastAsia" w:ascii="宋体" w:hAnsi="宋体"/>
          <w:b/>
          <w:sz w:val="24"/>
        </w:rPr>
        <w:t>4.1小微企业声明函、网页证明资料</w:t>
      </w:r>
    </w:p>
    <w:p>
      <w:pPr>
        <w:snapToGrid w:val="0"/>
        <w:spacing w:line="360" w:lineRule="auto"/>
        <w:jc w:val="center"/>
      </w:pPr>
      <w:r>
        <w:rPr>
          <w:rFonts w:hint="eastAsia" w:ascii="宋体" w:hAnsi="宋体" w:cs="宋体"/>
          <w:color w:val="000000"/>
          <w:kern w:val="0"/>
          <w:sz w:val="24"/>
        </w:rPr>
        <w:t>【非小微企业不用提供】</w:t>
      </w:r>
    </w:p>
    <w:p>
      <w:pPr>
        <w:snapToGrid w:val="0"/>
        <w:spacing w:line="360" w:lineRule="auto"/>
        <w:ind w:firstLine="602" w:firstLineChars="250"/>
        <w:jc w:val="center"/>
        <w:rPr>
          <w:rFonts w:ascii="宋体" w:hAnsi="宋体"/>
          <w:b/>
          <w:sz w:val="24"/>
        </w:rPr>
      </w:pPr>
    </w:p>
    <w:p>
      <w:pPr>
        <w:spacing w:line="360" w:lineRule="auto"/>
        <w:jc w:val="center"/>
        <w:rPr>
          <w:rFonts w:ascii="宋体" w:hAnsi="宋体"/>
          <w:sz w:val="28"/>
          <w:szCs w:val="28"/>
        </w:rPr>
      </w:pPr>
      <w:r>
        <w:rPr>
          <w:rFonts w:hint="eastAsia" w:ascii="宋体" w:hAnsi="宋体"/>
          <w:b/>
          <w:sz w:val="28"/>
          <w:szCs w:val="28"/>
        </w:rPr>
        <w:t>中小企业声明函</w:t>
      </w:r>
    </w:p>
    <w:p>
      <w:pPr>
        <w:spacing w:line="360" w:lineRule="auto"/>
        <w:ind w:firstLine="480" w:firstLineChars="200"/>
        <w:rPr>
          <w:rFonts w:ascii="宋体" w:hAnsi="宋体" w:cs="仿宋"/>
          <w:kern w:val="0"/>
          <w:sz w:val="24"/>
        </w:rPr>
      </w:pPr>
      <w:r>
        <w:rPr>
          <w:rFonts w:hint="eastAsia" w:ascii="宋体" w:hAnsi="宋体" w:cs="仿宋"/>
          <w:kern w:val="0"/>
          <w:sz w:val="24"/>
        </w:rPr>
        <w:t>本公司（联合体）郑重声明，根据《政府采购促进中小企业发展管理办法》（财库</w:t>
      </w:r>
      <w:r>
        <w:rPr>
          <w:rFonts w:hint="eastAsia" w:ascii="宋体" w:hAnsi="宋体" w:cs="宋体"/>
          <w:kern w:val="0"/>
          <w:sz w:val="24"/>
        </w:rPr>
        <w:t>﹝</w:t>
      </w:r>
      <w:r>
        <w:rPr>
          <w:rFonts w:ascii="宋体" w:hAnsi="宋体" w:cs="仿宋"/>
          <w:kern w:val="0"/>
          <w:sz w:val="24"/>
        </w:rPr>
        <w:t>2020</w:t>
      </w:r>
      <w:r>
        <w:rPr>
          <w:rFonts w:hint="eastAsia" w:ascii="宋体" w:hAnsi="宋体" w:cs="宋体"/>
          <w:kern w:val="0"/>
          <w:sz w:val="24"/>
        </w:rPr>
        <w:t>﹞</w:t>
      </w:r>
      <w:r>
        <w:rPr>
          <w:rFonts w:ascii="宋体" w:hAnsi="宋体" w:cs="仿宋"/>
          <w:kern w:val="0"/>
          <w:sz w:val="24"/>
        </w:rPr>
        <w:t xml:space="preserve">46 </w:t>
      </w:r>
      <w:r>
        <w:rPr>
          <w:rFonts w:hint="eastAsia" w:ascii="宋体" w:hAnsi="宋体" w:cs="仿宋"/>
          <w:kern w:val="0"/>
          <w:sz w:val="24"/>
        </w:rPr>
        <w:t>号）的规定，本公司（联合体）参加（单位名称）的（项目名称）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仿宋"/>
          <w:kern w:val="0"/>
          <w:sz w:val="24"/>
        </w:rPr>
      </w:pPr>
      <w:r>
        <w:rPr>
          <w:rFonts w:ascii="宋体" w:hAnsi="宋体" w:cs="仿宋"/>
          <w:kern w:val="0"/>
          <w:sz w:val="24"/>
        </w:rPr>
        <w:t xml:space="preserve">1. </w:t>
      </w:r>
      <w:r>
        <w:rPr>
          <w:rFonts w:hint="eastAsia" w:ascii="宋体" w:hAnsi="宋体" w:cs="仿宋"/>
          <w:kern w:val="0"/>
          <w:sz w:val="24"/>
        </w:rPr>
        <w:t>（标的名称）</w:t>
      </w:r>
      <w:r>
        <w:rPr>
          <w:rFonts w:ascii="宋体" w:hAnsi="宋体" w:cs="仿宋"/>
          <w:kern w:val="0"/>
          <w:sz w:val="24"/>
        </w:rPr>
        <w:t xml:space="preserve"> </w:t>
      </w:r>
      <w:r>
        <w:rPr>
          <w:rFonts w:hint="eastAsia" w:ascii="宋体" w:hAnsi="宋体" w:cs="仿宋"/>
          <w:kern w:val="0"/>
          <w:sz w:val="24"/>
        </w:rPr>
        <w:t>，属于（采购文件中明确的所属行业）行业；制造商为（企业名称），从业人员人，营业收入为万元，资产总额为万元</w:t>
      </w:r>
      <w:r>
        <w:rPr>
          <w:rFonts w:ascii="宋体" w:hAnsi="宋体" w:cs="仿宋"/>
          <w:kern w:val="0"/>
          <w:sz w:val="24"/>
        </w:rPr>
        <w:t>1</w:t>
      </w:r>
      <w:r>
        <w:rPr>
          <w:rFonts w:hint="eastAsia" w:ascii="宋体" w:hAnsi="宋体" w:cs="仿宋"/>
          <w:kern w:val="0"/>
          <w:sz w:val="24"/>
        </w:rPr>
        <w:t>，属于（中型企业、小型企业、微型企业）；</w:t>
      </w:r>
    </w:p>
    <w:p>
      <w:pPr>
        <w:spacing w:line="360" w:lineRule="auto"/>
        <w:ind w:firstLine="480" w:firstLineChars="200"/>
        <w:rPr>
          <w:rFonts w:ascii="宋体" w:hAnsi="宋体" w:cs="仿宋"/>
          <w:kern w:val="0"/>
          <w:sz w:val="24"/>
        </w:rPr>
      </w:pPr>
      <w:r>
        <w:rPr>
          <w:rFonts w:ascii="宋体" w:hAnsi="宋体" w:cs="仿宋"/>
          <w:kern w:val="0"/>
          <w:sz w:val="24"/>
        </w:rPr>
        <w:t xml:space="preserve">2. </w:t>
      </w:r>
      <w:r>
        <w:rPr>
          <w:rFonts w:hint="eastAsia" w:ascii="宋体" w:hAnsi="宋体" w:cs="仿宋"/>
          <w:kern w:val="0"/>
          <w:sz w:val="24"/>
        </w:rPr>
        <w:t>（标的名称）</w:t>
      </w:r>
      <w:r>
        <w:rPr>
          <w:rFonts w:ascii="宋体" w:hAnsi="宋体" w:cs="仿宋"/>
          <w:kern w:val="0"/>
          <w:sz w:val="24"/>
        </w:rPr>
        <w:t xml:space="preserve"> </w:t>
      </w:r>
      <w:r>
        <w:rPr>
          <w:rFonts w:hint="eastAsia" w:ascii="宋体" w:hAnsi="宋体" w:cs="仿宋"/>
          <w:kern w:val="0"/>
          <w:sz w:val="24"/>
        </w:rPr>
        <w:t>，属于（采购文件中明确的所属行业）行业；制造商为（企业名称），从业人员人，营业收入为万元，资产总额为万元，属于（中型企业、小型企业、微型企业）；</w:t>
      </w:r>
    </w:p>
    <w:p>
      <w:pPr>
        <w:spacing w:line="360" w:lineRule="auto"/>
        <w:ind w:firstLine="480" w:firstLineChars="200"/>
        <w:rPr>
          <w:rFonts w:ascii="宋体" w:hAnsi="宋体" w:cs="仿宋"/>
          <w:kern w:val="0"/>
          <w:sz w:val="24"/>
        </w:rPr>
      </w:pPr>
      <w:r>
        <w:rPr>
          <w:rFonts w:hint="eastAsia" w:ascii="宋体" w:hAnsi="宋体" w:cs="仿宋"/>
          <w:kern w:val="0"/>
          <w:sz w:val="24"/>
        </w:rPr>
        <w:t>……</w:t>
      </w:r>
    </w:p>
    <w:p>
      <w:pPr>
        <w:spacing w:line="360" w:lineRule="auto"/>
        <w:ind w:firstLine="480" w:firstLineChars="200"/>
        <w:rPr>
          <w:rFonts w:ascii="宋体" w:hAnsi="宋体" w:cs="仿宋"/>
          <w:kern w:val="0"/>
          <w:sz w:val="24"/>
        </w:rPr>
      </w:pPr>
      <w:r>
        <w:rPr>
          <w:rFonts w:hint="eastAsia" w:ascii="宋体" w:hAnsi="宋体" w:cs="仿宋"/>
          <w:kern w:val="0"/>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仿宋"/>
          <w:kern w:val="0"/>
          <w:sz w:val="24"/>
        </w:rPr>
      </w:pPr>
      <w:r>
        <w:rPr>
          <w:rFonts w:hint="eastAsia" w:ascii="宋体" w:hAnsi="宋体" w:cs="仿宋"/>
          <w:kern w:val="0"/>
          <w:sz w:val="24"/>
        </w:rPr>
        <w:t>本企业对上述声明内容的真实性负责。如有虚假，将依法承担相应责任。</w:t>
      </w:r>
    </w:p>
    <w:p>
      <w:pPr>
        <w:spacing w:line="360" w:lineRule="auto"/>
        <w:ind w:firstLine="5640" w:firstLineChars="2350"/>
        <w:rPr>
          <w:rFonts w:ascii="宋体" w:hAnsi="宋体" w:cs="仿宋"/>
          <w:kern w:val="0"/>
          <w:sz w:val="24"/>
        </w:rPr>
      </w:pPr>
    </w:p>
    <w:p>
      <w:pPr>
        <w:spacing w:line="360" w:lineRule="auto"/>
        <w:ind w:firstLine="5640" w:firstLineChars="2350"/>
        <w:rPr>
          <w:rFonts w:ascii="宋体" w:hAnsi="宋体" w:cs="仿宋"/>
          <w:kern w:val="0"/>
          <w:sz w:val="24"/>
        </w:rPr>
      </w:pPr>
    </w:p>
    <w:p>
      <w:pPr>
        <w:spacing w:line="360" w:lineRule="auto"/>
        <w:ind w:firstLine="5640" w:firstLineChars="2350"/>
        <w:rPr>
          <w:rFonts w:ascii="宋体" w:hAnsi="宋体" w:cs="仿宋"/>
          <w:kern w:val="0"/>
          <w:sz w:val="24"/>
        </w:rPr>
      </w:pPr>
      <w:r>
        <w:rPr>
          <w:rFonts w:hint="eastAsia" w:ascii="宋体" w:hAnsi="宋体" w:cs="仿宋"/>
          <w:kern w:val="0"/>
          <w:sz w:val="24"/>
        </w:rPr>
        <w:t>企业名称（盖章）：</w:t>
      </w:r>
    </w:p>
    <w:p>
      <w:pPr>
        <w:spacing w:line="360" w:lineRule="auto"/>
        <w:ind w:firstLine="5640" w:firstLineChars="2350"/>
        <w:rPr>
          <w:rFonts w:ascii="宋体" w:hAnsi="宋体"/>
          <w:bCs/>
          <w:sz w:val="24"/>
        </w:rPr>
      </w:pPr>
      <w:r>
        <w:rPr>
          <w:rFonts w:hint="eastAsia" w:ascii="宋体" w:hAnsi="宋体" w:cs="仿宋"/>
          <w:kern w:val="0"/>
          <w:sz w:val="24"/>
        </w:rPr>
        <w:t>日期：</w:t>
      </w:r>
    </w:p>
    <w:p>
      <w:pPr>
        <w:spacing w:line="440" w:lineRule="atLeast"/>
        <w:rPr>
          <w:rFonts w:ascii="宋体"/>
          <w:sz w:val="22"/>
        </w:rPr>
      </w:pPr>
      <w:r>
        <w:rPr>
          <w:rFonts w:hint="eastAsia" w:ascii="宋体"/>
          <w:sz w:val="22"/>
        </w:rPr>
        <w:t xml:space="preserve">小微企业名录 </w:t>
      </w:r>
      <w:r>
        <w:rPr>
          <w:rFonts w:ascii="宋体"/>
          <w:sz w:val="22"/>
        </w:rPr>
        <w:t>http://xwqy.gsxt.gov.cn/</w:t>
      </w:r>
      <w:r>
        <w:rPr>
          <w:rFonts w:hint="eastAsia" w:ascii="宋体"/>
          <w:sz w:val="22"/>
        </w:rPr>
        <w:t>（搜索结果查询截图复印件加盖投标供应商公章）</w:t>
      </w:r>
    </w:p>
    <w:p>
      <w:pPr>
        <w:spacing w:line="440" w:lineRule="atLeast"/>
        <w:rPr>
          <w:rFonts w:ascii="宋体"/>
          <w:sz w:val="22"/>
        </w:rPr>
      </w:pPr>
    </w:p>
    <w:p>
      <w:pPr>
        <w:pStyle w:val="13"/>
        <w:rPr>
          <w:rFonts w:ascii="宋体"/>
          <w:sz w:val="22"/>
        </w:rPr>
      </w:pPr>
      <w:r>
        <w:rPr>
          <w:rFonts w:ascii="宋体"/>
          <w:sz w:val="22"/>
        </w:rPr>
        <w:drawing>
          <wp:inline distT="0" distB="0" distL="0" distR="0">
            <wp:extent cx="5281930" cy="1215390"/>
            <wp:effectExtent l="19050" t="0" r="0" b="0"/>
            <wp:docPr id="1" name="图片 10" descr="1530926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1530926988(1)"/>
                    <pic:cNvPicPr>
                      <a:picLocks noChangeAspect="1" noChangeArrowheads="1"/>
                    </pic:cNvPicPr>
                  </pic:nvPicPr>
                  <pic:blipFill>
                    <a:blip r:embed="rId6" cstate="print"/>
                    <a:srcRect/>
                    <a:stretch>
                      <a:fillRect/>
                    </a:stretch>
                  </pic:blipFill>
                  <pic:spPr>
                    <a:xfrm>
                      <a:off x="0" y="0"/>
                      <a:ext cx="5281930" cy="1215390"/>
                    </a:xfrm>
                    <a:prstGeom prst="rect">
                      <a:avLst/>
                    </a:prstGeom>
                    <a:noFill/>
                    <a:ln w="9525">
                      <a:noFill/>
                      <a:miter lim="800000"/>
                      <a:headEnd/>
                      <a:tailEnd/>
                    </a:ln>
                  </pic:spPr>
                </pic:pic>
              </a:graphicData>
            </a:graphic>
          </wp:inline>
        </w:drawing>
      </w:r>
    </w:p>
    <w:p>
      <w:pPr>
        <w:pStyle w:val="13"/>
        <w:rPr>
          <w:rFonts w:ascii="宋体"/>
          <w:sz w:val="22"/>
        </w:rPr>
      </w:pPr>
    </w:p>
    <w:p>
      <w:pPr>
        <w:pStyle w:val="13"/>
        <w:rPr>
          <w:rFonts w:ascii="宋体"/>
          <w:sz w:val="22"/>
        </w:rPr>
      </w:pPr>
    </w:p>
    <w:p>
      <w:pPr>
        <w:pStyle w:val="13"/>
        <w:rPr>
          <w:rFonts w:ascii="宋体"/>
          <w:sz w:val="22"/>
        </w:rPr>
      </w:pPr>
    </w:p>
    <w:p>
      <w:pPr>
        <w:pStyle w:val="13"/>
        <w:rPr>
          <w:rFonts w:ascii="宋体"/>
          <w:sz w:val="22"/>
        </w:rPr>
      </w:pPr>
    </w:p>
    <w:p>
      <w:pPr>
        <w:snapToGrid w:val="0"/>
        <w:spacing w:line="360" w:lineRule="auto"/>
        <w:jc w:val="center"/>
        <w:rPr>
          <w:rFonts w:ascii="宋体" w:hAnsi="宋体"/>
          <w:b/>
          <w:sz w:val="24"/>
        </w:rPr>
      </w:pPr>
      <w:r>
        <w:rPr>
          <w:rFonts w:hint="eastAsia" w:ascii="宋体" w:hAnsi="宋体"/>
          <w:b/>
          <w:sz w:val="24"/>
        </w:rPr>
        <w:t>4.2残疾人福利企业声明函</w:t>
      </w:r>
    </w:p>
    <w:p>
      <w:pPr>
        <w:widowControl/>
        <w:spacing w:line="360" w:lineRule="auto"/>
        <w:jc w:val="center"/>
      </w:pPr>
      <w:r>
        <w:rPr>
          <w:rFonts w:hint="eastAsia" w:ascii="宋体" w:hAnsi="宋体" w:cs="宋体"/>
          <w:color w:val="000000"/>
          <w:kern w:val="0"/>
          <w:sz w:val="24"/>
        </w:rPr>
        <w:t>【非残疾人福利性单位不用提供】</w:t>
      </w:r>
    </w:p>
    <w:p>
      <w:pPr>
        <w:snapToGrid w:val="0"/>
        <w:spacing w:line="360" w:lineRule="auto"/>
        <w:ind w:firstLine="602" w:firstLineChars="250"/>
        <w:jc w:val="center"/>
        <w:rPr>
          <w:rFonts w:ascii="宋体" w:hAnsi="宋体"/>
          <w:b/>
          <w:sz w:val="24"/>
        </w:rPr>
      </w:pPr>
    </w:p>
    <w:p>
      <w:pPr>
        <w:snapToGrid w:val="0"/>
        <w:spacing w:line="360" w:lineRule="auto"/>
        <w:ind w:firstLine="480" w:firstLineChars="200"/>
        <w:rPr>
          <w:rFonts w:ascii="宋体" w:hAnsi="宋体"/>
          <w:sz w:val="24"/>
        </w:rPr>
      </w:pPr>
      <w:r>
        <w:rPr>
          <w:rFonts w:hint="eastAsia" w:ascii="宋体" w:hAnsi="宋体"/>
          <w:sz w:val="24"/>
        </w:rPr>
        <w:t>本单位郑重声明，根据《财政部民政部中国残疾人联合会关于促进残疾人就业政府采购政策的通知》（财库〔</w:t>
      </w:r>
      <w:r>
        <w:rPr>
          <w:rFonts w:ascii="宋体" w:hAnsi="宋体"/>
          <w:sz w:val="24"/>
        </w:rPr>
        <w:t>2017</w:t>
      </w:r>
      <w:r>
        <w:rPr>
          <w:rFonts w:hint="eastAsia" w:ascii="宋体" w:hAnsi="宋体"/>
          <w:sz w:val="24"/>
        </w:rPr>
        <w:t>〕</w:t>
      </w:r>
      <w:r>
        <w:rPr>
          <w:rFonts w:ascii="宋体" w:hAnsi="宋体"/>
          <w:sz w:val="24"/>
        </w:rPr>
        <w:t xml:space="preserve"> 141</w:t>
      </w:r>
      <w:r>
        <w:rPr>
          <w:rFonts w:hint="eastAsia" w:ascii="宋体" w:hAnsi="宋体"/>
          <w:sz w:val="24"/>
        </w:rPr>
        <w:t>号）的规定，本单位为符合条件的残疾人福利性单位，且本单位参加</w:t>
      </w:r>
      <w:r>
        <w:rPr>
          <w:rFonts w:ascii="宋体" w:hAnsi="宋体"/>
          <w:sz w:val="24"/>
        </w:rPr>
        <w:t>______</w:t>
      </w:r>
      <w:r>
        <w:rPr>
          <w:rFonts w:hint="eastAsia" w:ascii="宋体" w:hAnsi="宋体"/>
          <w:sz w:val="24"/>
        </w:rPr>
        <w:t>单位的</w:t>
      </w:r>
      <w:r>
        <w:rPr>
          <w:rFonts w:ascii="宋体" w:hAnsi="宋体"/>
          <w:sz w:val="24"/>
        </w:rPr>
        <w:t>______</w:t>
      </w:r>
      <w:r>
        <w:rPr>
          <w:rFonts w:hint="eastAsia" w:ascii="宋体" w:hAnsi="宋体"/>
          <w:sz w:val="24"/>
        </w:rPr>
        <w:t>项目采购活动提供本单位制造的货物（由本单位承担工程</w:t>
      </w:r>
      <w:r>
        <w:rPr>
          <w:rFonts w:ascii="宋体" w:hAnsi="宋体"/>
          <w:sz w:val="24"/>
        </w:rPr>
        <w:t>/</w:t>
      </w:r>
      <w:r>
        <w:rPr>
          <w:rFonts w:hint="eastAsia" w:ascii="宋体" w:hAnsi="宋体"/>
          <w:sz w:val="24"/>
        </w:rPr>
        <w:t>提供服务），或者提供其他残疾人福利性单位制造的货物（不包括使用非残疾人福利性单位注册商标的货物）。</w:t>
      </w:r>
    </w:p>
    <w:p>
      <w:pPr>
        <w:snapToGrid w:val="0"/>
        <w:spacing w:line="360" w:lineRule="auto"/>
        <w:ind w:firstLine="480" w:firstLineChars="200"/>
        <w:rPr>
          <w:rFonts w:ascii="宋体" w:hAnsi="宋体"/>
          <w:sz w:val="24"/>
        </w:rPr>
      </w:pPr>
      <w:r>
        <w:rPr>
          <w:rFonts w:hint="eastAsia" w:ascii="宋体" w:hAnsi="宋体"/>
          <w:sz w:val="24"/>
        </w:rPr>
        <w:t>本单位对上述声明的真实性负责。如有虚假，将依法承担相应责任。</w:t>
      </w:r>
    </w:p>
    <w:p>
      <w:pPr>
        <w:snapToGrid w:val="0"/>
        <w:spacing w:line="360" w:lineRule="auto"/>
        <w:ind w:firstLine="480" w:firstLineChars="200"/>
        <w:rPr>
          <w:rFonts w:ascii="宋体" w:hAnsi="宋体"/>
          <w:sz w:val="24"/>
        </w:rPr>
      </w:pPr>
    </w:p>
    <w:p>
      <w:pPr>
        <w:spacing w:line="588" w:lineRule="exact"/>
        <w:ind w:firstLine="480" w:firstLineChars="200"/>
        <w:rPr>
          <w:rFonts w:ascii="宋体" w:hAnsi="宋体"/>
          <w:sz w:val="24"/>
        </w:rPr>
      </w:pPr>
    </w:p>
    <w:p>
      <w:pPr>
        <w:snapToGrid w:val="0"/>
        <w:spacing w:line="360" w:lineRule="auto"/>
        <w:ind w:firstLine="480" w:firstLineChars="200"/>
        <w:jc w:val="right"/>
        <w:rPr>
          <w:rFonts w:ascii="宋体" w:hAnsi="宋体"/>
          <w:sz w:val="24"/>
        </w:rPr>
      </w:pPr>
      <w:r>
        <w:rPr>
          <w:rFonts w:hint="eastAsia" w:ascii="宋体" w:hAnsi="宋体"/>
          <w:sz w:val="24"/>
        </w:rPr>
        <w:t>单位名称（盖章）：</w:t>
      </w:r>
    </w:p>
    <w:p>
      <w:pPr>
        <w:snapToGrid w:val="0"/>
        <w:spacing w:line="360" w:lineRule="auto"/>
        <w:ind w:firstLine="480" w:firstLineChars="200"/>
        <w:jc w:val="right"/>
        <w:rPr>
          <w:rFonts w:ascii="宋体" w:hAnsi="宋体"/>
          <w:sz w:val="24"/>
        </w:rPr>
      </w:pPr>
      <w:r>
        <w:rPr>
          <w:rFonts w:hint="eastAsia" w:ascii="宋体" w:hAnsi="宋体"/>
          <w:sz w:val="24"/>
        </w:rPr>
        <w:t>日期：</w:t>
      </w:r>
    </w:p>
    <w:p>
      <w:pPr>
        <w:tabs>
          <w:tab w:val="left" w:pos="465"/>
        </w:tabs>
        <w:ind w:firstLine="2783" w:firstLineChars="990"/>
        <w:rPr>
          <w:rFonts w:ascii="仿宋" w:hAnsi="仿宋" w:eastAsia="仿宋"/>
          <w:b/>
          <w:bCs/>
          <w:szCs w:val="28"/>
        </w:rPr>
      </w:pPr>
    </w:p>
    <w:p>
      <w:pPr>
        <w:snapToGrid w:val="0"/>
        <w:spacing w:line="360" w:lineRule="auto"/>
        <w:rPr>
          <w:rFonts w:ascii="宋体" w:hAnsi="宋体"/>
          <w:b/>
          <w:sz w:val="24"/>
        </w:rPr>
      </w:pPr>
    </w:p>
    <w:p>
      <w:pPr>
        <w:tabs>
          <w:tab w:val="left" w:pos="4860"/>
        </w:tabs>
        <w:spacing w:line="588" w:lineRule="exact"/>
        <w:ind w:right="1560"/>
        <w:jc w:val="left"/>
        <w:rPr>
          <w:rFonts w:ascii="宋体"/>
          <w:sz w:val="22"/>
          <w:szCs w:val="22"/>
        </w:rPr>
      </w:pPr>
      <w:r>
        <w:rPr>
          <w:rFonts w:hint="eastAsia" w:ascii="宋体"/>
          <w:sz w:val="22"/>
          <w:szCs w:val="22"/>
        </w:rPr>
        <w:t>备注说明：</w:t>
      </w:r>
    </w:p>
    <w:p>
      <w:pPr>
        <w:spacing w:line="588" w:lineRule="exact"/>
        <w:ind w:firstLine="464" w:firstLineChars="200"/>
        <w:rPr>
          <w:rFonts w:ascii="宋体"/>
          <w:spacing w:val="6"/>
          <w:sz w:val="22"/>
          <w:szCs w:val="22"/>
        </w:rPr>
      </w:pPr>
      <w:r>
        <w:rPr>
          <w:rFonts w:hint="eastAsia" w:ascii="宋体"/>
          <w:spacing w:val="6"/>
          <w:sz w:val="22"/>
          <w:szCs w:val="22"/>
        </w:rPr>
        <w:t>1、如中标，将在中标公告中将此残疾人福利性单位声明函予以公示，接受社会监督；</w:t>
      </w:r>
    </w:p>
    <w:p>
      <w:pPr>
        <w:spacing w:line="588" w:lineRule="exact"/>
        <w:ind w:firstLine="464" w:firstLineChars="200"/>
        <w:rPr>
          <w:rFonts w:ascii="宋体"/>
          <w:spacing w:val="6"/>
          <w:sz w:val="22"/>
          <w:szCs w:val="22"/>
        </w:rPr>
      </w:pPr>
      <w:r>
        <w:rPr>
          <w:rFonts w:ascii="宋体"/>
          <w:spacing w:val="6"/>
          <w:sz w:val="22"/>
          <w:szCs w:val="22"/>
        </w:rPr>
        <w:t>2</w:t>
      </w:r>
      <w:r>
        <w:rPr>
          <w:rFonts w:hint="eastAsia" w:ascii="宋体"/>
          <w:spacing w:val="6"/>
          <w:sz w:val="22"/>
          <w:szCs w:val="22"/>
        </w:rPr>
        <w:t>、 供应商提供的《残疾人福利性单位声明函》与事实不符的，依照《政府采购法》第七十七条第一款的规定追究法律责任。</w:t>
      </w:r>
    </w:p>
    <w:p>
      <w:pPr>
        <w:pStyle w:val="13"/>
        <w:rPr>
          <w:rFonts w:ascii="宋体"/>
          <w:sz w:val="22"/>
        </w:rPr>
      </w:pPr>
    </w:p>
    <w:p>
      <w:pPr>
        <w:pStyle w:val="13"/>
        <w:rPr>
          <w:rFonts w:ascii="宋体"/>
          <w:sz w:val="22"/>
        </w:rPr>
      </w:pPr>
    </w:p>
    <w:p>
      <w:pPr>
        <w:pStyle w:val="13"/>
        <w:rPr>
          <w:rFonts w:ascii="宋体"/>
          <w:sz w:val="22"/>
        </w:rPr>
      </w:pPr>
    </w:p>
    <w:p>
      <w:pPr>
        <w:pStyle w:val="13"/>
        <w:rPr>
          <w:rFonts w:ascii="宋体"/>
          <w:sz w:val="22"/>
        </w:rPr>
      </w:pPr>
    </w:p>
    <w:p>
      <w:pPr>
        <w:pStyle w:val="13"/>
        <w:rPr>
          <w:rFonts w:ascii="宋体"/>
          <w:sz w:val="22"/>
        </w:rPr>
      </w:pPr>
    </w:p>
    <w:p>
      <w:pPr>
        <w:pStyle w:val="13"/>
        <w:rPr>
          <w:rFonts w:ascii="宋体"/>
          <w:sz w:val="22"/>
        </w:rPr>
      </w:pPr>
    </w:p>
    <w:p>
      <w:pPr>
        <w:pStyle w:val="13"/>
        <w:rPr>
          <w:rFonts w:ascii="宋体"/>
          <w:sz w:val="22"/>
        </w:rPr>
      </w:pPr>
    </w:p>
    <w:p>
      <w:pPr>
        <w:pStyle w:val="13"/>
        <w:rPr>
          <w:rFonts w:ascii="宋体"/>
          <w:sz w:val="22"/>
        </w:rPr>
      </w:pPr>
    </w:p>
    <w:p>
      <w:pPr>
        <w:pStyle w:val="13"/>
        <w:rPr>
          <w:rFonts w:ascii="宋体"/>
          <w:sz w:val="22"/>
        </w:rPr>
      </w:pPr>
    </w:p>
    <w:p>
      <w:pPr>
        <w:pStyle w:val="13"/>
        <w:rPr>
          <w:rFonts w:ascii="宋体"/>
          <w:sz w:val="22"/>
        </w:rPr>
      </w:pPr>
    </w:p>
    <w:p>
      <w:pPr>
        <w:pStyle w:val="13"/>
        <w:rPr>
          <w:rFonts w:ascii="宋体"/>
          <w:sz w:val="22"/>
        </w:rPr>
      </w:pPr>
    </w:p>
    <w:p>
      <w:pPr>
        <w:pStyle w:val="13"/>
        <w:rPr>
          <w:rFonts w:ascii="宋体"/>
          <w:sz w:val="22"/>
        </w:rPr>
      </w:pPr>
    </w:p>
    <w:p>
      <w:pPr>
        <w:pStyle w:val="13"/>
        <w:rPr>
          <w:rFonts w:ascii="宋体"/>
          <w:sz w:val="22"/>
        </w:rPr>
      </w:pPr>
    </w:p>
    <w:p>
      <w:pPr>
        <w:pStyle w:val="13"/>
        <w:rPr>
          <w:rFonts w:ascii="宋体"/>
          <w:sz w:val="22"/>
        </w:rPr>
      </w:pPr>
    </w:p>
    <w:p>
      <w:pPr>
        <w:pStyle w:val="13"/>
        <w:rPr>
          <w:rFonts w:ascii="宋体"/>
          <w:sz w:val="22"/>
        </w:rPr>
      </w:pPr>
    </w:p>
    <w:p>
      <w:pPr>
        <w:pStyle w:val="13"/>
        <w:rPr>
          <w:rFonts w:ascii="宋体"/>
          <w:sz w:val="22"/>
        </w:rPr>
      </w:pPr>
    </w:p>
    <w:p>
      <w:pPr>
        <w:pStyle w:val="13"/>
        <w:rPr>
          <w:rFonts w:ascii="宋体"/>
          <w:sz w:val="22"/>
        </w:rPr>
      </w:pPr>
    </w:p>
    <w:p>
      <w:pPr>
        <w:snapToGrid w:val="0"/>
        <w:spacing w:line="360" w:lineRule="auto"/>
        <w:jc w:val="center"/>
        <w:rPr>
          <w:rFonts w:ascii="宋体" w:hAnsi="宋体"/>
          <w:b/>
          <w:sz w:val="24"/>
        </w:rPr>
      </w:pPr>
      <w:r>
        <w:rPr>
          <w:rFonts w:hint="eastAsia" w:ascii="宋体" w:hAnsi="宋体"/>
          <w:b/>
          <w:sz w:val="24"/>
        </w:rPr>
        <w:t>4.3监狱企业声明函</w:t>
      </w:r>
    </w:p>
    <w:p>
      <w:pPr>
        <w:widowControl/>
        <w:jc w:val="center"/>
      </w:pPr>
      <w:r>
        <w:rPr>
          <w:rFonts w:hint="eastAsia" w:ascii="宋体" w:hAnsi="宋体" w:cs="宋体"/>
          <w:color w:val="000000"/>
          <w:kern w:val="0"/>
          <w:sz w:val="24"/>
        </w:rPr>
        <w:t>【非监狱企业的不用提供】</w:t>
      </w:r>
    </w:p>
    <w:p>
      <w:pPr>
        <w:widowControl/>
        <w:spacing w:line="360" w:lineRule="auto"/>
        <w:ind w:firstLine="480" w:firstLineChars="200"/>
        <w:jc w:val="left"/>
        <w:rPr>
          <w:rFonts w:ascii="宋体" w:hAnsi="宋体" w:cs="宋体"/>
          <w:color w:val="000000"/>
          <w:kern w:val="0"/>
          <w:sz w:val="24"/>
        </w:rPr>
      </w:pPr>
    </w:p>
    <w:p>
      <w:pPr>
        <w:widowControl/>
        <w:spacing w:line="360" w:lineRule="auto"/>
        <w:ind w:firstLine="480" w:firstLineChars="200"/>
        <w:jc w:val="left"/>
        <w:rPr>
          <w:sz w:val="24"/>
        </w:rPr>
      </w:pPr>
      <w:r>
        <w:rPr>
          <w:rFonts w:hint="eastAsia" w:ascii="宋体" w:hAnsi="宋体" w:cs="宋体"/>
          <w:color w:val="000000"/>
          <w:kern w:val="0"/>
          <w:sz w:val="24"/>
        </w:rPr>
        <w:t xml:space="preserve">本企业郑重声明，根据《关于政府采购支持监狱企业发展有关间想的通知》(财库[2014]68 号）的规定，本企业为监狱企业。 </w:t>
      </w:r>
    </w:p>
    <w:p>
      <w:pPr>
        <w:widowControl/>
        <w:spacing w:line="360" w:lineRule="auto"/>
        <w:ind w:firstLine="480" w:firstLineChars="200"/>
        <w:jc w:val="left"/>
        <w:rPr>
          <w:sz w:val="24"/>
        </w:rPr>
      </w:pPr>
      <w:r>
        <w:rPr>
          <w:rFonts w:hint="eastAsia" w:ascii="宋体" w:hAnsi="宋体" w:cs="宋体"/>
          <w:color w:val="000000"/>
          <w:kern w:val="0"/>
          <w:sz w:val="24"/>
        </w:rPr>
        <w:t xml:space="preserve">根据上述标准，我企业属于监狱企业的理由为: </w:t>
      </w:r>
    </w:p>
    <w:p>
      <w:pPr>
        <w:widowControl/>
        <w:spacing w:line="360" w:lineRule="auto"/>
        <w:ind w:firstLine="480" w:firstLineChars="200"/>
        <w:jc w:val="left"/>
        <w:rPr>
          <w:sz w:val="24"/>
        </w:rPr>
      </w:pPr>
      <w:r>
        <w:rPr>
          <w:rFonts w:hint="eastAsia" w:ascii="宋体" w:hAnsi="宋体" w:cs="宋体"/>
          <w:color w:val="000000"/>
          <w:kern w:val="0"/>
          <w:sz w:val="24"/>
        </w:rPr>
        <w:t>本企业为参加 (项目名称)</w:t>
      </w:r>
      <w:r>
        <w:rPr>
          <w:rFonts w:hint="eastAsia" w:ascii="宋体" w:hAnsi="宋体" w:cs="宋体"/>
          <w:color w:val="000000"/>
          <w:kern w:val="0"/>
          <w:sz w:val="24"/>
          <w:u w:val="single"/>
        </w:rPr>
        <w:t xml:space="preserve">           </w:t>
      </w:r>
      <w:r>
        <w:rPr>
          <w:rFonts w:hint="eastAsia" w:ascii="宋体" w:hAnsi="宋体" w:cs="宋体"/>
          <w:color w:val="000000"/>
          <w:kern w:val="0"/>
          <w:sz w:val="24"/>
        </w:rPr>
        <w:t>(项目编号: )</w:t>
      </w:r>
      <w:r>
        <w:rPr>
          <w:rFonts w:hint="eastAsia" w:ascii="宋体" w:hAnsi="宋体" w:cs="宋体"/>
          <w:color w:val="000000"/>
          <w:kern w:val="0"/>
          <w:sz w:val="24"/>
          <w:u w:val="single"/>
        </w:rPr>
        <w:t xml:space="preserve">           </w:t>
      </w:r>
      <w:r>
        <w:rPr>
          <w:rFonts w:hint="eastAsia" w:ascii="宋体" w:hAnsi="宋体" w:cs="宋体"/>
          <w:color w:val="000000"/>
          <w:kern w:val="0"/>
          <w:sz w:val="24"/>
        </w:rPr>
        <w:t xml:space="preserve">采购活动提供本企业的产品。 </w:t>
      </w:r>
    </w:p>
    <w:p>
      <w:pPr>
        <w:widowControl/>
        <w:spacing w:line="360" w:lineRule="auto"/>
        <w:ind w:firstLine="480" w:firstLineChars="200"/>
        <w:jc w:val="left"/>
        <w:rPr>
          <w:sz w:val="24"/>
        </w:rPr>
      </w:pPr>
      <w:r>
        <w:rPr>
          <w:rFonts w:hint="eastAsia" w:ascii="宋体" w:hAnsi="宋体" w:cs="宋体"/>
          <w:color w:val="000000"/>
          <w:kern w:val="0"/>
          <w:sz w:val="24"/>
        </w:rPr>
        <w:t xml:space="preserve">本企业对上述声明的真实性负责。如有虚假，将依法承担相应责任。 </w:t>
      </w: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sz w:val="24"/>
        </w:rPr>
      </w:pPr>
      <w:r>
        <w:rPr>
          <w:rFonts w:hint="eastAsia" w:ascii="宋体" w:hAnsi="宋体" w:cs="宋体"/>
          <w:color w:val="000000"/>
          <w:kern w:val="0"/>
          <w:sz w:val="24"/>
        </w:rPr>
        <w:t xml:space="preserve">供应商名称(盖章) : </w:t>
      </w:r>
    </w:p>
    <w:p>
      <w:pPr>
        <w:widowControl/>
        <w:spacing w:line="360" w:lineRule="auto"/>
        <w:jc w:val="left"/>
        <w:rPr>
          <w:sz w:val="24"/>
        </w:rPr>
      </w:pPr>
      <w:r>
        <w:rPr>
          <w:rFonts w:hint="eastAsia" w:ascii="宋体" w:hAnsi="宋体" w:cs="宋体"/>
          <w:color w:val="000000"/>
          <w:kern w:val="0"/>
          <w:sz w:val="24"/>
        </w:rPr>
        <w:t xml:space="preserve">日期: 年 月 日 </w:t>
      </w: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监狱企业参加政府采购活动时，应当提供由省级以上监狱管理局、戒毒管理局(新 疆生产建设兵团)出具的属于监狱企业的证明文件。</w:t>
      </w:r>
    </w:p>
    <w:p>
      <w:pPr>
        <w:widowControl/>
        <w:spacing w:line="360" w:lineRule="auto"/>
        <w:ind w:firstLine="480" w:firstLineChars="200"/>
        <w:jc w:val="left"/>
        <w:rPr>
          <w:rFonts w:hint="eastAsia" w:eastAsia="宋体"/>
          <w:sz w:val="24"/>
          <w:lang w:val="en-US" w:eastAsia="zh-CN"/>
        </w:rPr>
      </w:pPr>
      <w:r>
        <w:rPr>
          <w:rFonts w:hint="eastAsia" w:ascii="宋体" w:hAnsi="宋体" w:cs="宋体"/>
          <w:color w:val="000000"/>
          <w:kern w:val="0"/>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r>
        <w:rPr>
          <w:rFonts w:hint="eastAsia" w:ascii="宋体" w:hAnsi="宋体" w:cs="宋体"/>
          <w:color w:val="000000"/>
          <w:kern w:val="0"/>
          <w:sz w:val="24"/>
          <w:lang w:eastAsia="zh-CN"/>
        </w:rPr>
        <w:t>。</w:t>
      </w:r>
    </w:p>
    <w:p>
      <w:pPr>
        <w:pStyle w:val="13"/>
        <w:spacing w:line="360" w:lineRule="auto"/>
        <w:rPr>
          <w:sz w:val="24"/>
          <w:szCs w:val="24"/>
        </w:rPr>
      </w:pPr>
    </w:p>
    <w:p>
      <w:pPr>
        <w:pStyle w:val="13"/>
        <w:spacing w:line="360" w:lineRule="auto"/>
        <w:rPr>
          <w:sz w:val="24"/>
          <w:szCs w:val="24"/>
        </w:rPr>
      </w:pPr>
    </w:p>
    <w:p>
      <w:pPr>
        <w:snapToGrid w:val="0"/>
        <w:spacing w:before="50" w:after="50" w:line="540" w:lineRule="exact"/>
        <w:jc w:val="center"/>
        <w:rPr>
          <w:rFonts w:ascii="宋体" w:hAnsi="宋体" w:cs="宋体"/>
          <w:b/>
          <w:sz w:val="24"/>
        </w:rPr>
      </w:pPr>
    </w:p>
    <w:p>
      <w:pPr>
        <w:snapToGrid w:val="0"/>
        <w:spacing w:before="50" w:after="50" w:line="540" w:lineRule="exact"/>
        <w:jc w:val="center"/>
        <w:rPr>
          <w:rFonts w:ascii="宋体" w:hAnsi="宋体" w:cs="宋体"/>
          <w:b/>
          <w:sz w:val="24"/>
        </w:rPr>
      </w:pPr>
    </w:p>
    <w:p>
      <w:pPr>
        <w:snapToGrid w:val="0"/>
        <w:spacing w:before="50" w:after="50" w:line="540" w:lineRule="exact"/>
        <w:jc w:val="center"/>
        <w:rPr>
          <w:rFonts w:ascii="宋体" w:hAnsi="宋体" w:cs="宋体"/>
          <w:b/>
          <w:sz w:val="24"/>
        </w:rPr>
      </w:pPr>
    </w:p>
    <w:p>
      <w:pPr>
        <w:snapToGrid w:val="0"/>
        <w:spacing w:before="50" w:after="50" w:line="540" w:lineRule="exact"/>
        <w:jc w:val="center"/>
        <w:rPr>
          <w:rFonts w:ascii="宋体" w:hAnsi="宋体" w:cs="宋体"/>
          <w:b/>
          <w:sz w:val="24"/>
        </w:rPr>
      </w:pPr>
    </w:p>
    <w:p>
      <w:pPr>
        <w:snapToGrid w:val="0"/>
        <w:spacing w:before="50" w:after="50" w:line="540" w:lineRule="exact"/>
        <w:jc w:val="center"/>
        <w:rPr>
          <w:rFonts w:ascii="宋体" w:hAnsi="宋体" w:cs="宋体"/>
          <w:b/>
          <w:sz w:val="24"/>
        </w:rPr>
      </w:pPr>
    </w:p>
    <w:p>
      <w:pPr>
        <w:snapToGrid w:val="0"/>
        <w:spacing w:before="50" w:after="50" w:line="540" w:lineRule="exact"/>
        <w:jc w:val="center"/>
        <w:rPr>
          <w:rFonts w:ascii="宋体" w:hAnsi="宋体" w:cs="宋体"/>
          <w:b/>
          <w:sz w:val="24"/>
        </w:rPr>
      </w:pPr>
    </w:p>
    <w:p>
      <w:pPr>
        <w:pStyle w:val="20"/>
        <w:ind w:firstLine="280"/>
      </w:pPr>
    </w:p>
    <w:p>
      <w:pPr>
        <w:snapToGrid w:val="0"/>
        <w:spacing w:before="50" w:after="50" w:line="540" w:lineRule="exact"/>
        <w:jc w:val="center"/>
        <w:rPr>
          <w:rFonts w:ascii="宋体" w:hAnsi="宋体" w:cs="宋体"/>
          <w:b/>
          <w:sz w:val="24"/>
        </w:rPr>
      </w:pPr>
      <w:r>
        <w:rPr>
          <w:rFonts w:hint="eastAsia" w:ascii="宋体" w:hAnsi="宋体" w:cs="宋体"/>
          <w:b/>
          <w:sz w:val="24"/>
        </w:rPr>
        <w:t>五、招标代理服务费承诺函</w:t>
      </w:r>
    </w:p>
    <w:p>
      <w:pPr>
        <w:spacing w:line="540" w:lineRule="exact"/>
        <w:jc w:val="center"/>
        <w:rPr>
          <w:rFonts w:ascii="宋体" w:hAnsi="宋体"/>
          <w:b/>
          <w:sz w:val="24"/>
          <w:szCs w:val="20"/>
        </w:rPr>
      </w:pPr>
    </w:p>
    <w:p>
      <w:pPr>
        <w:tabs>
          <w:tab w:val="left" w:pos="2996"/>
        </w:tabs>
        <w:spacing w:line="480" w:lineRule="auto"/>
        <w:ind w:firstLine="480" w:firstLineChars="200"/>
        <w:rPr>
          <w:rFonts w:ascii="宋体" w:hAnsi="宋体" w:cs="宋体"/>
          <w:sz w:val="24"/>
        </w:rPr>
      </w:pPr>
      <w:r>
        <w:rPr>
          <w:rFonts w:hint="eastAsia" w:ascii="宋体" w:hAnsi="宋体" w:cs="宋体"/>
          <w:sz w:val="24"/>
        </w:rPr>
        <w:t>根据国家计委、物价局文件和招标文件的规定，一旦我公司中标，我公司同意按本招标文件规定向代理机构交纳招标代理费，在收到中标通知书的当日一次性向招标代理机构缴清。</w:t>
      </w:r>
    </w:p>
    <w:p>
      <w:pPr>
        <w:spacing w:line="480" w:lineRule="auto"/>
        <w:rPr>
          <w:rFonts w:ascii="宋体" w:hAnsi="宋体" w:cs="宋体"/>
          <w:sz w:val="24"/>
        </w:rPr>
      </w:pPr>
    </w:p>
    <w:p>
      <w:pPr>
        <w:pStyle w:val="27"/>
        <w:spacing w:before="120" w:after="120"/>
        <w:rPr>
          <w:rFonts w:hAnsi="宋体" w:cs="宋体"/>
        </w:rPr>
      </w:pPr>
    </w:p>
    <w:p>
      <w:pPr>
        <w:pStyle w:val="27"/>
        <w:spacing w:before="120" w:after="120"/>
        <w:rPr>
          <w:rFonts w:hAnsi="宋体" w:cs="宋体"/>
        </w:rPr>
      </w:pPr>
    </w:p>
    <w:p>
      <w:pPr>
        <w:pStyle w:val="27"/>
        <w:spacing w:before="120" w:after="120"/>
        <w:rPr>
          <w:rFonts w:hAnsi="宋体" w:cs="宋体"/>
        </w:rPr>
      </w:pPr>
    </w:p>
    <w:p>
      <w:pPr>
        <w:pStyle w:val="27"/>
        <w:spacing w:before="120" w:after="120"/>
        <w:rPr>
          <w:rFonts w:hAnsi="宋体" w:cs="宋体"/>
        </w:rPr>
      </w:pPr>
    </w:p>
    <w:p>
      <w:pPr>
        <w:snapToGrid w:val="0"/>
        <w:spacing w:beforeLines="50"/>
        <w:rPr>
          <w:rFonts w:ascii="宋体" w:hAnsi="宋体" w:cs="宋体"/>
          <w:sz w:val="24"/>
          <w:u w:val="single"/>
        </w:rPr>
      </w:pPr>
      <w:r>
        <w:rPr>
          <w:rFonts w:hint="eastAsia" w:ascii="宋体" w:hAnsi="宋体" w:cs="宋体"/>
          <w:sz w:val="24"/>
        </w:rPr>
        <w:t>法定代表人或授权代表签字：</w:t>
      </w:r>
      <w:r>
        <w:rPr>
          <w:rFonts w:hint="eastAsia" w:ascii="宋体" w:hAnsi="宋体" w:cs="宋体"/>
          <w:sz w:val="24"/>
          <w:u w:val="single"/>
        </w:rPr>
        <w:t xml:space="preserve">             </w:t>
      </w:r>
    </w:p>
    <w:p>
      <w:pPr>
        <w:snapToGrid w:val="0"/>
        <w:spacing w:beforeLines="50" w:after="50"/>
        <w:rPr>
          <w:rFonts w:ascii="宋体" w:hAnsi="宋体" w:cs="宋体"/>
          <w:sz w:val="24"/>
        </w:rPr>
      </w:pPr>
      <w:r>
        <w:rPr>
          <w:rFonts w:hint="eastAsia" w:cs="宋体"/>
          <w:sz w:val="24"/>
        </w:rPr>
        <w:t>供应商</w:t>
      </w:r>
      <w:r>
        <w:rPr>
          <w:rFonts w:hint="eastAsia" w:ascii="宋体" w:hAnsi="宋体" w:cs="宋体"/>
          <w:sz w:val="24"/>
        </w:rPr>
        <w:t>公章：</w:t>
      </w:r>
      <w:r>
        <w:rPr>
          <w:rFonts w:hint="eastAsia" w:ascii="宋体" w:hAnsi="宋体" w:cs="宋体"/>
          <w:sz w:val="24"/>
          <w:u w:val="single"/>
        </w:rPr>
        <w:t xml:space="preserve">               </w:t>
      </w:r>
      <w:r>
        <w:rPr>
          <w:rFonts w:hint="eastAsia" w:ascii="宋体" w:hAnsi="宋体" w:cs="宋体"/>
          <w:sz w:val="24"/>
        </w:rPr>
        <w:t xml:space="preserve">                      </w:t>
      </w:r>
    </w:p>
    <w:p>
      <w:pPr>
        <w:snapToGrid w:val="0"/>
        <w:spacing w:beforeLines="50" w:after="50"/>
        <w:ind w:firstLine="6240" w:firstLineChars="2600"/>
        <w:rPr>
          <w:rFonts w:ascii="宋体" w:hAnsi="宋体" w:cs="宋体"/>
          <w:sz w:val="24"/>
        </w:rPr>
      </w:pPr>
    </w:p>
    <w:p>
      <w:pPr>
        <w:snapToGrid w:val="0"/>
        <w:spacing w:beforeLines="50" w:after="50"/>
        <w:ind w:firstLine="6240" w:firstLineChars="2600"/>
        <w:rPr>
          <w:rFonts w:ascii="宋体" w:hAnsi="宋体" w:cs="宋体"/>
          <w:sz w:val="24"/>
        </w:rPr>
      </w:pPr>
      <w:r>
        <w:rPr>
          <w:rFonts w:hint="eastAsia" w:ascii="宋体" w:hAnsi="宋体" w:cs="宋体"/>
          <w:sz w:val="24"/>
        </w:rPr>
        <w:t>年    月    日</w:t>
      </w:r>
    </w:p>
    <w:p>
      <w:pPr>
        <w:tabs>
          <w:tab w:val="left" w:pos="3780"/>
        </w:tabs>
        <w:spacing w:after="160"/>
        <w:jc w:val="center"/>
        <w:rPr>
          <w:rFonts w:ascii="宋体" w:hAnsi="宋体" w:cs="宋体"/>
          <w:position w:val="-6"/>
        </w:rPr>
      </w:pPr>
    </w:p>
    <w:p>
      <w:pPr>
        <w:tabs>
          <w:tab w:val="left" w:pos="3780"/>
        </w:tabs>
        <w:spacing w:after="160"/>
        <w:jc w:val="center"/>
        <w:rPr>
          <w:rFonts w:ascii="宋体" w:hAnsi="宋体" w:cs="宋体"/>
          <w:position w:val="-6"/>
        </w:rPr>
      </w:pPr>
    </w:p>
    <w:p>
      <w:pPr>
        <w:snapToGrid w:val="0"/>
        <w:spacing w:before="50" w:after="50" w:line="540" w:lineRule="exact"/>
        <w:rPr>
          <w:rFonts w:ascii="宋体" w:hAnsi="宋体"/>
          <w:b/>
          <w:sz w:val="24"/>
          <w:szCs w:val="30"/>
        </w:rPr>
      </w:pPr>
    </w:p>
    <w:p>
      <w:pPr>
        <w:pStyle w:val="13"/>
        <w:spacing w:line="360" w:lineRule="auto"/>
        <w:rPr>
          <w:sz w:val="24"/>
          <w:szCs w:val="24"/>
        </w:rPr>
      </w:pPr>
    </w:p>
    <w:p>
      <w:pPr>
        <w:pStyle w:val="37"/>
        <w:spacing w:after="120" w:line="360" w:lineRule="auto"/>
        <w:ind w:firstLine="482" w:firstLineChars="200"/>
        <w:jc w:val="center"/>
        <w:rPr>
          <w:b/>
          <w:bCs/>
        </w:rPr>
      </w:pPr>
      <w:r>
        <w:rPr>
          <w:rFonts w:hint="eastAsia"/>
          <w:b/>
          <w:bCs/>
        </w:rPr>
        <w:t>六、 其他投标供应商认为有必要提供的资料。</w:t>
      </w:r>
    </w:p>
    <w:p>
      <w:pPr>
        <w:pStyle w:val="13"/>
        <w:ind w:firstLine="0"/>
        <w:rPr>
          <w:rFonts w:ascii="宋体"/>
          <w:sz w:val="22"/>
        </w:rPr>
      </w:pPr>
    </w:p>
    <w:sectPr>
      <w:headerReference r:id="rId3" w:type="default"/>
      <w:footerReference r:id="rId4" w:type="default"/>
      <w:pgSz w:w="11907" w:h="16840"/>
      <w:pgMar w:top="1134" w:right="1247" w:bottom="1191" w:left="1128" w:header="454" w:footer="1020"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onospace">
    <w:altName w:val="Courier New"/>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MS PGothic">
    <w:panose1 w:val="020B0600070205080204"/>
    <w:charset w:val="80"/>
    <w:family w:val="swiss"/>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ascii="黑体" w:hAnsi="MS PGothic"/>
      </w:rPr>
    </w:pPr>
    <w:r>
      <w:rPr>
        <w:sz w:val="21"/>
      </w:rPr>
      <mc:AlternateContent>
        <mc:Choice Requires="wps">
          <w:drawing>
            <wp:anchor distT="0" distB="0" distL="114300" distR="114300" simplePos="0" relativeHeight="251658240" behindDoc="0" locked="0" layoutInCell="1" allowOverlap="1">
              <wp:simplePos x="0" y="0"/>
              <wp:positionH relativeFrom="margin">
                <wp:posOffset>5633720</wp:posOffset>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pPr>
                          <w:r>
                            <w:fldChar w:fldCharType="begin"/>
                          </w:r>
                          <w:r>
                            <w:instrText xml:space="preserve"> PAGE  \* MERGEFORMAT </w:instrText>
                          </w:r>
                          <w:r>
                            <w:fldChar w:fldCharType="separate"/>
                          </w:r>
                          <w:r>
                            <w:t>9</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left:443.6pt;margin-top:0pt;height:144pt;width:144pt;mso-position-horizontal-relative:margin;mso-wrap-style:none;z-index:251658240;mso-width-relative:page;mso-height-relative:page;" filled="f" stroked="f" coordsize="21600,21600" o:gfxdata="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4jIJ9QAAAAJAQAADwAAAAAAAAABACAAAAAiAAAAZHJzL2Rv&#10;d25yZXYueG1sUEsBAhQAFAAAAAgAh07iQKicdNjMAQAAnAMAAA4AAAAAAAAAAQAgAAAAIwEAAGRy&#10;cy9lMm9Eb2MueG1sUEsFBgAAAAAGAAYAWQEAAGEFAAAAAA==&#10;">
              <v:fill on="f" focussize="0,0"/>
              <v:stroke on="f"/>
              <v:imagedata o:title=""/>
              <o:lock v:ext="edit" aspectratio="f"/>
              <v:textbox inset="0mm,0mm,0mm,0mm" style="mso-fit-shape-to-text:t;">
                <w:txbxContent>
                  <w:p>
                    <w:pPr>
                      <w:pStyle w:val="31"/>
                    </w:pPr>
                    <w:r>
                      <w:fldChar w:fldCharType="begin"/>
                    </w:r>
                    <w:r>
                      <w:instrText xml:space="preserve"> PAGE  \* MERGEFORMAT </w:instrText>
                    </w:r>
                    <w:r>
                      <w:fldChar w:fldCharType="separate"/>
                    </w:r>
                    <w:r>
                      <w:t>9</w:t>
                    </w:r>
                    <w:r>
                      <w:fldChar w:fldCharType="end"/>
                    </w:r>
                  </w:p>
                </w:txbxContent>
              </v:textbox>
            </v:shape>
          </w:pict>
        </mc:Fallback>
      </mc:AlternateContent>
    </w:r>
    <w:r>
      <w:rPr>
        <w:rFonts w:hint="eastAsia"/>
        <w:color w:val="000000"/>
        <w:sz w:val="21"/>
        <w:szCs w:val="21"/>
        <w:lang w:eastAsia="zh-CN"/>
      </w:rPr>
      <w:t>宁波建信工程造价咨询事务所有限公司</w:t>
    </w:r>
    <w:r>
      <w:rPr>
        <w:rFonts w:hint="eastAsia"/>
        <w:color w:val="000000"/>
        <w:sz w:val="21"/>
        <w:szCs w:val="21"/>
      </w:rPr>
      <w:t xml:space="preserve">        电话：0572-2</w:t>
    </w:r>
    <w:r>
      <w:rPr>
        <w:rFonts w:hint="eastAsia"/>
        <w:color w:val="000000"/>
        <w:sz w:val="21"/>
        <w:szCs w:val="21"/>
        <w:lang w:val="en-US" w:eastAsia="zh-CN"/>
      </w:rPr>
      <w:t>125808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left" w:pos="8388"/>
        <w:tab w:val="clear" w:pos="8306"/>
      </w:tabs>
      <w:jc w:val="both"/>
      <w:rPr>
        <w:rFonts w:ascii="宋体" w:hAnsi="宋体" w:cs="宋体"/>
        <w:snapToGrid w:val="0"/>
        <w:sz w:val="21"/>
        <w:szCs w:val="21"/>
      </w:rPr>
    </w:pPr>
  </w:p>
  <w:p>
    <w:pPr>
      <w:pStyle w:val="32"/>
      <w:tabs>
        <w:tab w:val="left" w:pos="8388"/>
        <w:tab w:val="clear" w:pos="8306"/>
      </w:tabs>
      <w:jc w:val="both"/>
      <w:rPr>
        <w:rFonts w:ascii="宋体" w:hAnsi="宋体" w:cs="宋体"/>
        <w:sz w:val="21"/>
        <w:szCs w:val="21"/>
      </w:rPr>
    </w:pPr>
    <w:r>
      <w:rPr>
        <w:rFonts w:hint="eastAsia" w:ascii="宋体" w:hAnsi="宋体" w:cs="宋体"/>
        <w:snapToGrid w:val="0"/>
        <w:sz w:val="21"/>
        <w:szCs w:val="21"/>
        <w:lang w:eastAsia="zh-CN"/>
      </w:rPr>
      <w:t>湖州市吴兴区织里镇街区立面整治服务采购项目</w:t>
    </w:r>
    <w:r>
      <w:rPr>
        <w:rFonts w:hint="eastAsia" w:ascii="宋体" w:hAnsi="宋体" w:cs="宋体"/>
        <w:snapToGrid w:val="0"/>
        <w:sz w:val="21"/>
        <w:szCs w:val="21"/>
      </w:rPr>
      <w:t xml:space="preserve">                     </w:t>
    </w:r>
    <w:r>
      <w:rPr>
        <w:rFonts w:hint="eastAsia" w:ascii="宋体" w:hAnsi="宋体" w:cs="宋体"/>
        <w:snapToGrid w:val="0"/>
        <w:sz w:val="21"/>
        <w:szCs w:val="21"/>
        <w:lang w:val="en-US" w:eastAsia="zh-CN"/>
      </w:rPr>
      <w:t xml:space="preserve">     </w:t>
    </w:r>
    <w:r>
      <w:rPr>
        <w:rFonts w:hint="eastAsia" w:ascii="宋体" w:hAnsi="宋体" w:cs="宋体"/>
        <w:snapToGrid w:val="0"/>
        <w:sz w:val="21"/>
        <w:szCs w:val="21"/>
      </w:rPr>
      <w:t xml:space="preserve">  </w:t>
    </w:r>
    <w:r>
      <w:rPr>
        <w:rFonts w:hint="eastAsia" w:ascii="宋体" w:hAnsi="宋体" w:cs="宋体"/>
        <w:snapToGrid w:val="0"/>
        <w:sz w:val="21"/>
        <w:szCs w:val="21"/>
        <w:lang w:val="en-US" w:eastAsia="zh-CN"/>
      </w:rPr>
      <w:t xml:space="preserve">           </w:t>
    </w:r>
    <w:r>
      <w:rPr>
        <w:rFonts w:hint="eastAsia" w:ascii="宋体" w:hAnsi="宋体" w:cs="宋体"/>
        <w:snapToGrid w:val="0"/>
        <w:sz w:val="21"/>
        <w:szCs w:val="21"/>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4FD4D2"/>
    <w:multiLevelType w:val="singleLevel"/>
    <w:tmpl w:val="B84FD4D2"/>
    <w:lvl w:ilvl="0" w:tentative="0">
      <w:start w:val="1"/>
      <w:numFmt w:val="decimal"/>
      <w:suff w:val="nothing"/>
      <w:lvlText w:val="%1、"/>
      <w:lvlJc w:val="left"/>
    </w:lvl>
  </w:abstractNum>
  <w:abstractNum w:abstractNumId="1">
    <w:nsid w:val="BA12D2F5"/>
    <w:multiLevelType w:val="singleLevel"/>
    <w:tmpl w:val="BA12D2F5"/>
    <w:lvl w:ilvl="0" w:tentative="0">
      <w:start w:val="6"/>
      <w:numFmt w:val="chineseCounting"/>
      <w:suff w:val="space"/>
      <w:lvlText w:val="第%1章"/>
      <w:lvlJc w:val="left"/>
      <w:rPr>
        <w:rFonts w:hint="eastAsia"/>
      </w:rPr>
    </w:lvl>
  </w:abstractNum>
  <w:abstractNum w:abstractNumId="2">
    <w:nsid w:val="D9649A96"/>
    <w:multiLevelType w:val="singleLevel"/>
    <w:tmpl w:val="D9649A96"/>
    <w:lvl w:ilvl="0" w:tentative="0">
      <w:start w:val="4"/>
      <w:numFmt w:val="chineseCounting"/>
      <w:suff w:val="nothing"/>
      <w:lvlText w:val="%1、"/>
      <w:lvlJc w:val="left"/>
      <w:rPr>
        <w:rFonts w:hint="eastAsia"/>
      </w:rPr>
    </w:lvl>
  </w:abstractNum>
  <w:abstractNum w:abstractNumId="3">
    <w:nsid w:val="E327E1F2"/>
    <w:multiLevelType w:val="singleLevel"/>
    <w:tmpl w:val="E327E1F2"/>
    <w:lvl w:ilvl="0" w:tentative="0">
      <w:start w:val="1"/>
      <w:numFmt w:val="chineseCounting"/>
      <w:suff w:val="nothing"/>
      <w:lvlText w:val="%1、"/>
      <w:lvlJc w:val="left"/>
      <w:rPr>
        <w:rFonts w:hint="eastAsia"/>
      </w:rPr>
    </w:lvl>
  </w:abstractNum>
  <w:abstractNum w:abstractNumId="4">
    <w:nsid w:val="FDF116DE"/>
    <w:multiLevelType w:val="singleLevel"/>
    <w:tmpl w:val="FDF116DE"/>
    <w:lvl w:ilvl="0" w:tentative="0">
      <w:start w:val="1"/>
      <w:numFmt w:val="chineseCounting"/>
      <w:suff w:val="nothing"/>
      <w:lvlText w:val="（%1）"/>
      <w:lvlJc w:val="left"/>
      <w:rPr>
        <w:rFonts w:hint="eastAsia"/>
      </w:rPr>
    </w:lvl>
  </w:abstractNum>
  <w:abstractNum w:abstractNumId="5">
    <w:nsid w:val="FFFFFF7E"/>
    <w:multiLevelType w:val="singleLevel"/>
    <w:tmpl w:val="FFFFFF7E"/>
    <w:lvl w:ilvl="0" w:tentative="0">
      <w:start w:val="1"/>
      <w:numFmt w:val="decimal"/>
      <w:pStyle w:val="23"/>
      <w:lvlText w:val="%1."/>
      <w:lvlJc w:val="left"/>
      <w:pPr>
        <w:tabs>
          <w:tab w:val="left" w:pos="1200"/>
        </w:tabs>
        <w:ind w:left="1200" w:hanging="360"/>
      </w:pPr>
    </w:lvl>
  </w:abstractNum>
  <w:abstractNum w:abstractNumId="6">
    <w:nsid w:val="FFFFFF82"/>
    <w:multiLevelType w:val="singleLevel"/>
    <w:tmpl w:val="FFFFFF82"/>
    <w:lvl w:ilvl="0" w:tentative="0">
      <w:start w:val="1"/>
      <w:numFmt w:val="bullet"/>
      <w:pStyle w:val="18"/>
      <w:lvlText w:val=""/>
      <w:lvlJc w:val="left"/>
      <w:pPr>
        <w:tabs>
          <w:tab w:val="left" w:pos="1200"/>
        </w:tabs>
        <w:ind w:left="1200" w:hanging="360"/>
      </w:pPr>
      <w:rPr>
        <w:rFonts w:hint="default" w:ascii="Wingdings" w:hAnsi="Wingdings"/>
      </w:rPr>
    </w:lvl>
  </w:abstractNum>
  <w:abstractNum w:abstractNumId="7">
    <w:nsid w:val="139079B9"/>
    <w:multiLevelType w:val="singleLevel"/>
    <w:tmpl w:val="139079B9"/>
    <w:lvl w:ilvl="0" w:tentative="0">
      <w:start w:val="2"/>
      <w:numFmt w:val="decimal"/>
      <w:lvlText w:val="%1."/>
      <w:lvlJc w:val="left"/>
      <w:pPr>
        <w:tabs>
          <w:tab w:val="left" w:pos="312"/>
        </w:tabs>
      </w:pPr>
    </w:lvl>
  </w:abstractNum>
  <w:abstractNum w:abstractNumId="8">
    <w:nsid w:val="3666AC1A"/>
    <w:multiLevelType w:val="singleLevel"/>
    <w:tmpl w:val="3666AC1A"/>
    <w:lvl w:ilvl="0" w:tentative="0">
      <w:start w:val="11"/>
      <w:numFmt w:val="chineseCounting"/>
      <w:suff w:val="nothing"/>
      <w:lvlText w:val="%1、"/>
      <w:lvlJc w:val="left"/>
      <w:rPr>
        <w:rFonts w:hint="eastAsia"/>
      </w:rPr>
    </w:lvl>
  </w:abstractNum>
  <w:abstractNum w:abstractNumId="9">
    <w:nsid w:val="60AE39CC"/>
    <w:multiLevelType w:val="multilevel"/>
    <w:tmpl w:val="60AE39CC"/>
    <w:lvl w:ilvl="0" w:tentative="0">
      <w:start w:val="1"/>
      <w:numFmt w:val="none"/>
      <w:pStyle w:val="3"/>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8"/>
      <w:lvlText w:val="           "/>
      <w:lvlJc w:val="left"/>
      <w:pPr>
        <w:tabs>
          <w:tab w:val="left" w:pos="1440"/>
        </w:tabs>
        <w:ind w:left="1152" w:hanging="1152"/>
      </w:pPr>
      <w:rPr>
        <w:rFonts w:hint="eastAsia"/>
      </w:rPr>
    </w:lvl>
    <w:lvl w:ilvl="6" w:tentative="0">
      <w:start w:val="1"/>
      <w:numFmt w:val="decimal"/>
      <w:pStyle w:val="9"/>
      <w:lvlText w:val="%1.%2.%3.%4.%5.%6.%7"/>
      <w:lvlJc w:val="left"/>
      <w:pPr>
        <w:tabs>
          <w:tab w:val="left" w:pos="2520"/>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num w:numId="1">
    <w:abstractNumId w:val="9"/>
  </w:num>
  <w:num w:numId="2">
    <w:abstractNumId w:val="6"/>
  </w:num>
  <w:num w:numId="3">
    <w:abstractNumId w:val="5"/>
  </w:num>
  <w:num w:numId="4">
    <w:abstractNumId w:val="4"/>
  </w:num>
  <w:num w:numId="5">
    <w:abstractNumId w:val="0"/>
  </w:num>
  <w:num w:numId="6">
    <w:abstractNumId w:val="1"/>
  </w:num>
  <w:num w:numId="7">
    <w:abstractNumId w:val="3"/>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48"/>
    <w:rsid w:val="000006B4"/>
    <w:rsid w:val="000007E4"/>
    <w:rsid w:val="00000FEC"/>
    <w:rsid w:val="00001C64"/>
    <w:rsid w:val="00003D00"/>
    <w:rsid w:val="00004639"/>
    <w:rsid w:val="00005C6E"/>
    <w:rsid w:val="00005D9D"/>
    <w:rsid w:val="0000609E"/>
    <w:rsid w:val="00006378"/>
    <w:rsid w:val="0000673A"/>
    <w:rsid w:val="00011A3E"/>
    <w:rsid w:val="000126C5"/>
    <w:rsid w:val="00015824"/>
    <w:rsid w:val="00015EF2"/>
    <w:rsid w:val="00016668"/>
    <w:rsid w:val="00017645"/>
    <w:rsid w:val="00020D43"/>
    <w:rsid w:val="00020EFB"/>
    <w:rsid w:val="00021451"/>
    <w:rsid w:val="00022443"/>
    <w:rsid w:val="000233E6"/>
    <w:rsid w:val="00024B55"/>
    <w:rsid w:val="000256CF"/>
    <w:rsid w:val="00027D87"/>
    <w:rsid w:val="00030720"/>
    <w:rsid w:val="00031679"/>
    <w:rsid w:val="00032E33"/>
    <w:rsid w:val="000341E2"/>
    <w:rsid w:val="00034488"/>
    <w:rsid w:val="0003471A"/>
    <w:rsid w:val="000349A0"/>
    <w:rsid w:val="0003574D"/>
    <w:rsid w:val="00035752"/>
    <w:rsid w:val="0003627D"/>
    <w:rsid w:val="00037665"/>
    <w:rsid w:val="00037F55"/>
    <w:rsid w:val="00041814"/>
    <w:rsid w:val="00043CCD"/>
    <w:rsid w:val="0004481C"/>
    <w:rsid w:val="00045A61"/>
    <w:rsid w:val="000516E4"/>
    <w:rsid w:val="00051EE9"/>
    <w:rsid w:val="00052DBB"/>
    <w:rsid w:val="00053BA4"/>
    <w:rsid w:val="0005559D"/>
    <w:rsid w:val="00057159"/>
    <w:rsid w:val="000571F3"/>
    <w:rsid w:val="0005747C"/>
    <w:rsid w:val="00057CB4"/>
    <w:rsid w:val="000610ED"/>
    <w:rsid w:val="000618FD"/>
    <w:rsid w:val="0006399B"/>
    <w:rsid w:val="00063ED0"/>
    <w:rsid w:val="00065560"/>
    <w:rsid w:val="00066AEF"/>
    <w:rsid w:val="00066E08"/>
    <w:rsid w:val="000737D2"/>
    <w:rsid w:val="000739C8"/>
    <w:rsid w:val="00074C4F"/>
    <w:rsid w:val="00075446"/>
    <w:rsid w:val="00075763"/>
    <w:rsid w:val="00076278"/>
    <w:rsid w:val="00076CD5"/>
    <w:rsid w:val="00076DCA"/>
    <w:rsid w:val="0007747B"/>
    <w:rsid w:val="00077713"/>
    <w:rsid w:val="00077780"/>
    <w:rsid w:val="00080AA5"/>
    <w:rsid w:val="00084129"/>
    <w:rsid w:val="00084E47"/>
    <w:rsid w:val="000864BC"/>
    <w:rsid w:val="00086A51"/>
    <w:rsid w:val="00086B4D"/>
    <w:rsid w:val="00086B76"/>
    <w:rsid w:val="00087359"/>
    <w:rsid w:val="00087551"/>
    <w:rsid w:val="0009104E"/>
    <w:rsid w:val="000911F8"/>
    <w:rsid w:val="000918E9"/>
    <w:rsid w:val="00092CD3"/>
    <w:rsid w:val="00092E76"/>
    <w:rsid w:val="00095E80"/>
    <w:rsid w:val="00097B83"/>
    <w:rsid w:val="00097D35"/>
    <w:rsid w:val="000A12B2"/>
    <w:rsid w:val="000A134C"/>
    <w:rsid w:val="000A2363"/>
    <w:rsid w:val="000A2FC9"/>
    <w:rsid w:val="000A359E"/>
    <w:rsid w:val="000A4A49"/>
    <w:rsid w:val="000A5B8E"/>
    <w:rsid w:val="000A6713"/>
    <w:rsid w:val="000B021B"/>
    <w:rsid w:val="000B29AF"/>
    <w:rsid w:val="000B4D21"/>
    <w:rsid w:val="000B66FB"/>
    <w:rsid w:val="000B7CB9"/>
    <w:rsid w:val="000C1898"/>
    <w:rsid w:val="000C3124"/>
    <w:rsid w:val="000C5CAB"/>
    <w:rsid w:val="000C5CD6"/>
    <w:rsid w:val="000C67B9"/>
    <w:rsid w:val="000C7A22"/>
    <w:rsid w:val="000D07D7"/>
    <w:rsid w:val="000D0F71"/>
    <w:rsid w:val="000D14D9"/>
    <w:rsid w:val="000D1D42"/>
    <w:rsid w:val="000D2DBE"/>
    <w:rsid w:val="000D3A1B"/>
    <w:rsid w:val="000D4174"/>
    <w:rsid w:val="000D5789"/>
    <w:rsid w:val="000D672B"/>
    <w:rsid w:val="000D73D5"/>
    <w:rsid w:val="000D7CCE"/>
    <w:rsid w:val="000D7F5F"/>
    <w:rsid w:val="000E29F4"/>
    <w:rsid w:val="000E3FAC"/>
    <w:rsid w:val="000E40AF"/>
    <w:rsid w:val="000E4ED4"/>
    <w:rsid w:val="000E526D"/>
    <w:rsid w:val="000E5BEB"/>
    <w:rsid w:val="000F38F3"/>
    <w:rsid w:val="000F48A6"/>
    <w:rsid w:val="000F4A8A"/>
    <w:rsid w:val="000F63C9"/>
    <w:rsid w:val="000F6D52"/>
    <w:rsid w:val="000F70F9"/>
    <w:rsid w:val="001019A4"/>
    <w:rsid w:val="00101E7C"/>
    <w:rsid w:val="00102F8E"/>
    <w:rsid w:val="00104914"/>
    <w:rsid w:val="001055CE"/>
    <w:rsid w:val="00107E28"/>
    <w:rsid w:val="001102D6"/>
    <w:rsid w:val="00111D8B"/>
    <w:rsid w:val="0011234E"/>
    <w:rsid w:val="00113D3D"/>
    <w:rsid w:val="00114C0A"/>
    <w:rsid w:val="0012174E"/>
    <w:rsid w:val="00125885"/>
    <w:rsid w:val="00125C58"/>
    <w:rsid w:val="001261EA"/>
    <w:rsid w:val="00126655"/>
    <w:rsid w:val="00127FEA"/>
    <w:rsid w:val="001326CC"/>
    <w:rsid w:val="001329E5"/>
    <w:rsid w:val="00132C2A"/>
    <w:rsid w:val="00132F9E"/>
    <w:rsid w:val="001345A3"/>
    <w:rsid w:val="0013520D"/>
    <w:rsid w:val="00137655"/>
    <w:rsid w:val="001425AE"/>
    <w:rsid w:val="001455CA"/>
    <w:rsid w:val="00145AFD"/>
    <w:rsid w:val="00145B6A"/>
    <w:rsid w:val="0014678D"/>
    <w:rsid w:val="0014727E"/>
    <w:rsid w:val="00147644"/>
    <w:rsid w:val="0015062B"/>
    <w:rsid w:val="001509EA"/>
    <w:rsid w:val="00151340"/>
    <w:rsid w:val="001522D2"/>
    <w:rsid w:val="00152353"/>
    <w:rsid w:val="00152840"/>
    <w:rsid w:val="00152DB7"/>
    <w:rsid w:val="001543C1"/>
    <w:rsid w:val="001554C4"/>
    <w:rsid w:val="00155704"/>
    <w:rsid w:val="00156609"/>
    <w:rsid w:val="001625E5"/>
    <w:rsid w:val="00163E62"/>
    <w:rsid w:val="00164FC6"/>
    <w:rsid w:val="00165614"/>
    <w:rsid w:val="00165CE2"/>
    <w:rsid w:val="001662D4"/>
    <w:rsid w:val="00167820"/>
    <w:rsid w:val="00167D75"/>
    <w:rsid w:val="00173549"/>
    <w:rsid w:val="00173D9B"/>
    <w:rsid w:val="00175C06"/>
    <w:rsid w:val="00176078"/>
    <w:rsid w:val="00176E63"/>
    <w:rsid w:val="00177185"/>
    <w:rsid w:val="0018050D"/>
    <w:rsid w:val="00180954"/>
    <w:rsid w:val="00180AE6"/>
    <w:rsid w:val="00183168"/>
    <w:rsid w:val="00185247"/>
    <w:rsid w:val="00186C85"/>
    <w:rsid w:val="00190B98"/>
    <w:rsid w:val="001912E7"/>
    <w:rsid w:val="00191FF8"/>
    <w:rsid w:val="00192534"/>
    <w:rsid w:val="001929B8"/>
    <w:rsid w:val="00192C15"/>
    <w:rsid w:val="00195551"/>
    <w:rsid w:val="00197193"/>
    <w:rsid w:val="00197FAF"/>
    <w:rsid w:val="001A1613"/>
    <w:rsid w:val="001A6B3B"/>
    <w:rsid w:val="001B0C1E"/>
    <w:rsid w:val="001B178D"/>
    <w:rsid w:val="001B2A4A"/>
    <w:rsid w:val="001B5168"/>
    <w:rsid w:val="001B68B9"/>
    <w:rsid w:val="001B79EE"/>
    <w:rsid w:val="001B7DAC"/>
    <w:rsid w:val="001C141E"/>
    <w:rsid w:val="001C1E56"/>
    <w:rsid w:val="001C2BC7"/>
    <w:rsid w:val="001C3C26"/>
    <w:rsid w:val="001C45E0"/>
    <w:rsid w:val="001C4C9A"/>
    <w:rsid w:val="001D1C6F"/>
    <w:rsid w:val="001D21C5"/>
    <w:rsid w:val="001D34FA"/>
    <w:rsid w:val="001D3EA7"/>
    <w:rsid w:val="001D56D0"/>
    <w:rsid w:val="001D58FB"/>
    <w:rsid w:val="001E2638"/>
    <w:rsid w:val="001E4395"/>
    <w:rsid w:val="001E799F"/>
    <w:rsid w:val="001F0282"/>
    <w:rsid w:val="001F364A"/>
    <w:rsid w:val="001F3937"/>
    <w:rsid w:val="001F5A39"/>
    <w:rsid w:val="001F6363"/>
    <w:rsid w:val="001F7865"/>
    <w:rsid w:val="001F7A0E"/>
    <w:rsid w:val="001F7A82"/>
    <w:rsid w:val="002005B9"/>
    <w:rsid w:val="00201914"/>
    <w:rsid w:val="0020224E"/>
    <w:rsid w:val="00202472"/>
    <w:rsid w:val="00202CD5"/>
    <w:rsid w:val="00202E28"/>
    <w:rsid w:val="002039C8"/>
    <w:rsid w:val="002049C5"/>
    <w:rsid w:val="00204B83"/>
    <w:rsid w:val="002074C4"/>
    <w:rsid w:val="00207A59"/>
    <w:rsid w:val="00210540"/>
    <w:rsid w:val="00210B1E"/>
    <w:rsid w:val="0021276F"/>
    <w:rsid w:val="00213AF4"/>
    <w:rsid w:val="0021557D"/>
    <w:rsid w:val="00216820"/>
    <w:rsid w:val="00217987"/>
    <w:rsid w:val="0022077B"/>
    <w:rsid w:val="00224F11"/>
    <w:rsid w:val="002257A2"/>
    <w:rsid w:val="00225B92"/>
    <w:rsid w:val="002304CE"/>
    <w:rsid w:val="002306EF"/>
    <w:rsid w:val="00230DE5"/>
    <w:rsid w:val="00232C9A"/>
    <w:rsid w:val="002356F5"/>
    <w:rsid w:val="00236C01"/>
    <w:rsid w:val="00237FA1"/>
    <w:rsid w:val="00245542"/>
    <w:rsid w:val="00245FE7"/>
    <w:rsid w:val="0024603D"/>
    <w:rsid w:val="00246630"/>
    <w:rsid w:val="00247808"/>
    <w:rsid w:val="00251F52"/>
    <w:rsid w:val="00252946"/>
    <w:rsid w:val="00254D64"/>
    <w:rsid w:val="002615CC"/>
    <w:rsid w:val="00261ECB"/>
    <w:rsid w:val="00262D59"/>
    <w:rsid w:val="00263392"/>
    <w:rsid w:val="0026374F"/>
    <w:rsid w:val="00265BE2"/>
    <w:rsid w:val="00271A26"/>
    <w:rsid w:val="002731B6"/>
    <w:rsid w:val="00273B90"/>
    <w:rsid w:val="00273EE7"/>
    <w:rsid w:val="00274006"/>
    <w:rsid w:val="00275310"/>
    <w:rsid w:val="002772DE"/>
    <w:rsid w:val="002819D4"/>
    <w:rsid w:val="00282DFE"/>
    <w:rsid w:val="0028313A"/>
    <w:rsid w:val="002841EF"/>
    <w:rsid w:val="00286021"/>
    <w:rsid w:val="00286952"/>
    <w:rsid w:val="00286B1F"/>
    <w:rsid w:val="002901C6"/>
    <w:rsid w:val="002911DB"/>
    <w:rsid w:val="002913EA"/>
    <w:rsid w:val="002944B8"/>
    <w:rsid w:val="002947BB"/>
    <w:rsid w:val="002947ED"/>
    <w:rsid w:val="00295270"/>
    <w:rsid w:val="00296F1F"/>
    <w:rsid w:val="002A0074"/>
    <w:rsid w:val="002A1033"/>
    <w:rsid w:val="002A2D66"/>
    <w:rsid w:val="002A5548"/>
    <w:rsid w:val="002A5E87"/>
    <w:rsid w:val="002A7472"/>
    <w:rsid w:val="002A7BCC"/>
    <w:rsid w:val="002B0042"/>
    <w:rsid w:val="002B07AF"/>
    <w:rsid w:val="002B206F"/>
    <w:rsid w:val="002B231B"/>
    <w:rsid w:val="002B235A"/>
    <w:rsid w:val="002B2B68"/>
    <w:rsid w:val="002B44BC"/>
    <w:rsid w:val="002B48F6"/>
    <w:rsid w:val="002C01E9"/>
    <w:rsid w:val="002C07B2"/>
    <w:rsid w:val="002C0BE4"/>
    <w:rsid w:val="002C1549"/>
    <w:rsid w:val="002C16AD"/>
    <w:rsid w:val="002C20E0"/>
    <w:rsid w:val="002C271F"/>
    <w:rsid w:val="002C3028"/>
    <w:rsid w:val="002C3EFC"/>
    <w:rsid w:val="002C7F25"/>
    <w:rsid w:val="002C7F88"/>
    <w:rsid w:val="002D0336"/>
    <w:rsid w:val="002D09A5"/>
    <w:rsid w:val="002D2353"/>
    <w:rsid w:val="002D346A"/>
    <w:rsid w:val="002D3A82"/>
    <w:rsid w:val="002D3B8D"/>
    <w:rsid w:val="002D47CD"/>
    <w:rsid w:val="002E0938"/>
    <w:rsid w:val="002E21CF"/>
    <w:rsid w:val="002E254E"/>
    <w:rsid w:val="002E275C"/>
    <w:rsid w:val="002E4525"/>
    <w:rsid w:val="002F55E7"/>
    <w:rsid w:val="002F58DA"/>
    <w:rsid w:val="002F695A"/>
    <w:rsid w:val="003009DA"/>
    <w:rsid w:val="0030212D"/>
    <w:rsid w:val="00302B85"/>
    <w:rsid w:val="0030653F"/>
    <w:rsid w:val="00307264"/>
    <w:rsid w:val="00307BF4"/>
    <w:rsid w:val="00310A92"/>
    <w:rsid w:val="00310AD2"/>
    <w:rsid w:val="0031126E"/>
    <w:rsid w:val="003115D3"/>
    <w:rsid w:val="0031292C"/>
    <w:rsid w:val="00314101"/>
    <w:rsid w:val="003210A5"/>
    <w:rsid w:val="00321BB2"/>
    <w:rsid w:val="00322AB0"/>
    <w:rsid w:val="00326BFD"/>
    <w:rsid w:val="00326C1D"/>
    <w:rsid w:val="00330FEB"/>
    <w:rsid w:val="00332F23"/>
    <w:rsid w:val="00333A85"/>
    <w:rsid w:val="00334802"/>
    <w:rsid w:val="00335161"/>
    <w:rsid w:val="00337E90"/>
    <w:rsid w:val="0034071A"/>
    <w:rsid w:val="0034071D"/>
    <w:rsid w:val="00342A1D"/>
    <w:rsid w:val="00342D91"/>
    <w:rsid w:val="003433A5"/>
    <w:rsid w:val="003451B3"/>
    <w:rsid w:val="00346493"/>
    <w:rsid w:val="00346F76"/>
    <w:rsid w:val="00347A74"/>
    <w:rsid w:val="00350C64"/>
    <w:rsid w:val="00353DBB"/>
    <w:rsid w:val="00354088"/>
    <w:rsid w:val="0035553F"/>
    <w:rsid w:val="003555A8"/>
    <w:rsid w:val="00356713"/>
    <w:rsid w:val="003575FF"/>
    <w:rsid w:val="003629E7"/>
    <w:rsid w:val="003633E9"/>
    <w:rsid w:val="00364C98"/>
    <w:rsid w:val="0036513A"/>
    <w:rsid w:val="00366B31"/>
    <w:rsid w:val="00371683"/>
    <w:rsid w:val="003722FA"/>
    <w:rsid w:val="00380D67"/>
    <w:rsid w:val="00381344"/>
    <w:rsid w:val="0038432D"/>
    <w:rsid w:val="003857A5"/>
    <w:rsid w:val="00386345"/>
    <w:rsid w:val="00386515"/>
    <w:rsid w:val="00386769"/>
    <w:rsid w:val="003872E8"/>
    <w:rsid w:val="00390AEF"/>
    <w:rsid w:val="00392196"/>
    <w:rsid w:val="003924F1"/>
    <w:rsid w:val="00392DE0"/>
    <w:rsid w:val="00393D08"/>
    <w:rsid w:val="00394394"/>
    <w:rsid w:val="003956E2"/>
    <w:rsid w:val="00395D21"/>
    <w:rsid w:val="0039638E"/>
    <w:rsid w:val="003968A6"/>
    <w:rsid w:val="00397269"/>
    <w:rsid w:val="00397368"/>
    <w:rsid w:val="003A060C"/>
    <w:rsid w:val="003A069E"/>
    <w:rsid w:val="003A0F0E"/>
    <w:rsid w:val="003A1410"/>
    <w:rsid w:val="003A18CD"/>
    <w:rsid w:val="003A572A"/>
    <w:rsid w:val="003A7F5D"/>
    <w:rsid w:val="003B2618"/>
    <w:rsid w:val="003B273D"/>
    <w:rsid w:val="003B51B2"/>
    <w:rsid w:val="003B521C"/>
    <w:rsid w:val="003B524C"/>
    <w:rsid w:val="003B5F91"/>
    <w:rsid w:val="003B6F83"/>
    <w:rsid w:val="003C09E3"/>
    <w:rsid w:val="003C10C2"/>
    <w:rsid w:val="003C16ED"/>
    <w:rsid w:val="003C299A"/>
    <w:rsid w:val="003C3790"/>
    <w:rsid w:val="003C3DB0"/>
    <w:rsid w:val="003C5596"/>
    <w:rsid w:val="003C599C"/>
    <w:rsid w:val="003C6092"/>
    <w:rsid w:val="003D3FD1"/>
    <w:rsid w:val="003D465C"/>
    <w:rsid w:val="003D4A0C"/>
    <w:rsid w:val="003D542D"/>
    <w:rsid w:val="003E0228"/>
    <w:rsid w:val="003E2C04"/>
    <w:rsid w:val="003E2D6A"/>
    <w:rsid w:val="003E3451"/>
    <w:rsid w:val="003E5215"/>
    <w:rsid w:val="003E54DF"/>
    <w:rsid w:val="003E5D2C"/>
    <w:rsid w:val="003E6BB4"/>
    <w:rsid w:val="003E6FC9"/>
    <w:rsid w:val="003F3352"/>
    <w:rsid w:val="003F371D"/>
    <w:rsid w:val="003F3AD6"/>
    <w:rsid w:val="003F59B0"/>
    <w:rsid w:val="003F6354"/>
    <w:rsid w:val="00405C14"/>
    <w:rsid w:val="004061D7"/>
    <w:rsid w:val="00407728"/>
    <w:rsid w:val="00414A33"/>
    <w:rsid w:val="0041641E"/>
    <w:rsid w:val="004165B7"/>
    <w:rsid w:val="0041683F"/>
    <w:rsid w:val="004177D7"/>
    <w:rsid w:val="004205D1"/>
    <w:rsid w:val="004211E6"/>
    <w:rsid w:val="00421BA6"/>
    <w:rsid w:val="004223D1"/>
    <w:rsid w:val="00422AED"/>
    <w:rsid w:val="004244C9"/>
    <w:rsid w:val="00427C34"/>
    <w:rsid w:val="00431A63"/>
    <w:rsid w:val="00432153"/>
    <w:rsid w:val="00434157"/>
    <w:rsid w:val="00437751"/>
    <w:rsid w:val="00441A5B"/>
    <w:rsid w:val="004421F7"/>
    <w:rsid w:val="00442665"/>
    <w:rsid w:val="004437D1"/>
    <w:rsid w:val="0044392E"/>
    <w:rsid w:val="0044463D"/>
    <w:rsid w:val="00447F34"/>
    <w:rsid w:val="00452299"/>
    <w:rsid w:val="00453421"/>
    <w:rsid w:val="00457C22"/>
    <w:rsid w:val="0046048A"/>
    <w:rsid w:val="004638DB"/>
    <w:rsid w:val="00465FEF"/>
    <w:rsid w:val="0046650E"/>
    <w:rsid w:val="00466682"/>
    <w:rsid w:val="004712CA"/>
    <w:rsid w:val="00472215"/>
    <w:rsid w:val="004730B7"/>
    <w:rsid w:val="0047403F"/>
    <w:rsid w:val="00475BB4"/>
    <w:rsid w:val="00476512"/>
    <w:rsid w:val="004766B2"/>
    <w:rsid w:val="00476BCA"/>
    <w:rsid w:val="00476D84"/>
    <w:rsid w:val="00477022"/>
    <w:rsid w:val="004770BB"/>
    <w:rsid w:val="0047778E"/>
    <w:rsid w:val="00477F1F"/>
    <w:rsid w:val="00482117"/>
    <w:rsid w:val="00482248"/>
    <w:rsid w:val="0048285A"/>
    <w:rsid w:val="00482E7B"/>
    <w:rsid w:val="004844AE"/>
    <w:rsid w:val="00485123"/>
    <w:rsid w:val="0048572B"/>
    <w:rsid w:val="004865F5"/>
    <w:rsid w:val="0048689E"/>
    <w:rsid w:val="00491047"/>
    <w:rsid w:val="00492105"/>
    <w:rsid w:val="00493649"/>
    <w:rsid w:val="00494735"/>
    <w:rsid w:val="00495D51"/>
    <w:rsid w:val="004972E5"/>
    <w:rsid w:val="0049758E"/>
    <w:rsid w:val="00497BA7"/>
    <w:rsid w:val="004A00E9"/>
    <w:rsid w:val="004A213D"/>
    <w:rsid w:val="004A4114"/>
    <w:rsid w:val="004A7CB9"/>
    <w:rsid w:val="004B1A47"/>
    <w:rsid w:val="004B1D36"/>
    <w:rsid w:val="004B21EC"/>
    <w:rsid w:val="004B2808"/>
    <w:rsid w:val="004B34DE"/>
    <w:rsid w:val="004B6332"/>
    <w:rsid w:val="004B6822"/>
    <w:rsid w:val="004B68D8"/>
    <w:rsid w:val="004B77A9"/>
    <w:rsid w:val="004C1C68"/>
    <w:rsid w:val="004C2E7A"/>
    <w:rsid w:val="004C4030"/>
    <w:rsid w:val="004C537C"/>
    <w:rsid w:val="004C6EE7"/>
    <w:rsid w:val="004C7CD7"/>
    <w:rsid w:val="004D0365"/>
    <w:rsid w:val="004D049E"/>
    <w:rsid w:val="004D1D81"/>
    <w:rsid w:val="004D283D"/>
    <w:rsid w:val="004D2B5A"/>
    <w:rsid w:val="004D57FB"/>
    <w:rsid w:val="004D5FA5"/>
    <w:rsid w:val="004D6F47"/>
    <w:rsid w:val="004E0974"/>
    <w:rsid w:val="004E0A93"/>
    <w:rsid w:val="004E1F3C"/>
    <w:rsid w:val="004E22CB"/>
    <w:rsid w:val="004E2DF8"/>
    <w:rsid w:val="004E4D24"/>
    <w:rsid w:val="004E55B5"/>
    <w:rsid w:val="004E62B0"/>
    <w:rsid w:val="004F058F"/>
    <w:rsid w:val="004F0A2E"/>
    <w:rsid w:val="004F15EA"/>
    <w:rsid w:val="004F2777"/>
    <w:rsid w:val="004F3740"/>
    <w:rsid w:val="004F4390"/>
    <w:rsid w:val="004F6992"/>
    <w:rsid w:val="004F69F6"/>
    <w:rsid w:val="004F7659"/>
    <w:rsid w:val="005009B9"/>
    <w:rsid w:val="00502268"/>
    <w:rsid w:val="00502388"/>
    <w:rsid w:val="00504781"/>
    <w:rsid w:val="005070F9"/>
    <w:rsid w:val="005104FF"/>
    <w:rsid w:val="00510704"/>
    <w:rsid w:val="00513D85"/>
    <w:rsid w:val="00513E2A"/>
    <w:rsid w:val="00515858"/>
    <w:rsid w:val="005168A6"/>
    <w:rsid w:val="00516BA8"/>
    <w:rsid w:val="00517DD2"/>
    <w:rsid w:val="00520259"/>
    <w:rsid w:val="00522A52"/>
    <w:rsid w:val="005250C9"/>
    <w:rsid w:val="00525430"/>
    <w:rsid w:val="0052606B"/>
    <w:rsid w:val="00531EA1"/>
    <w:rsid w:val="00533FCB"/>
    <w:rsid w:val="005344A7"/>
    <w:rsid w:val="00535912"/>
    <w:rsid w:val="0053653C"/>
    <w:rsid w:val="00541CDE"/>
    <w:rsid w:val="005421AD"/>
    <w:rsid w:val="00543010"/>
    <w:rsid w:val="0054323E"/>
    <w:rsid w:val="005441A7"/>
    <w:rsid w:val="00544204"/>
    <w:rsid w:val="00545728"/>
    <w:rsid w:val="00545BAC"/>
    <w:rsid w:val="00545DD3"/>
    <w:rsid w:val="005502B3"/>
    <w:rsid w:val="00550D5F"/>
    <w:rsid w:val="00550E89"/>
    <w:rsid w:val="005510F5"/>
    <w:rsid w:val="0055135C"/>
    <w:rsid w:val="0055158C"/>
    <w:rsid w:val="00551670"/>
    <w:rsid w:val="00551E26"/>
    <w:rsid w:val="00551F07"/>
    <w:rsid w:val="0055461E"/>
    <w:rsid w:val="005564AA"/>
    <w:rsid w:val="005566C8"/>
    <w:rsid w:val="00560274"/>
    <w:rsid w:val="00560D5C"/>
    <w:rsid w:val="00564BCE"/>
    <w:rsid w:val="005666EF"/>
    <w:rsid w:val="00570DB5"/>
    <w:rsid w:val="00570F53"/>
    <w:rsid w:val="00570FE6"/>
    <w:rsid w:val="00572038"/>
    <w:rsid w:val="00572D78"/>
    <w:rsid w:val="0057326D"/>
    <w:rsid w:val="005768CC"/>
    <w:rsid w:val="00576A6F"/>
    <w:rsid w:val="005776ED"/>
    <w:rsid w:val="00580607"/>
    <w:rsid w:val="005807FB"/>
    <w:rsid w:val="00580BF9"/>
    <w:rsid w:val="00581715"/>
    <w:rsid w:val="00582849"/>
    <w:rsid w:val="0058339C"/>
    <w:rsid w:val="00583C08"/>
    <w:rsid w:val="0058495D"/>
    <w:rsid w:val="00586158"/>
    <w:rsid w:val="005903E4"/>
    <w:rsid w:val="005909E6"/>
    <w:rsid w:val="0059518D"/>
    <w:rsid w:val="005955E9"/>
    <w:rsid w:val="00595DB8"/>
    <w:rsid w:val="005A0353"/>
    <w:rsid w:val="005A1180"/>
    <w:rsid w:val="005A4448"/>
    <w:rsid w:val="005A5AC7"/>
    <w:rsid w:val="005A6568"/>
    <w:rsid w:val="005B04EC"/>
    <w:rsid w:val="005B5846"/>
    <w:rsid w:val="005B7195"/>
    <w:rsid w:val="005B71A8"/>
    <w:rsid w:val="005C159E"/>
    <w:rsid w:val="005C1623"/>
    <w:rsid w:val="005C1FA1"/>
    <w:rsid w:val="005C32C9"/>
    <w:rsid w:val="005C3C57"/>
    <w:rsid w:val="005C4042"/>
    <w:rsid w:val="005C4DA7"/>
    <w:rsid w:val="005C54BD"/>
    <w:rsid w:val="005C6772"/>
    <w:rsid w:val="005D1173"/>
    <w:rsid w:val="005D2652"/>
    <w:rsid w:val="005D30CA"/>
    <w:rsid w:val="005D3B29"/>
    <w:rsid w:val="005D3F86"/>
    <w:rsid w:val="005D486B"/>
    <w:rsid w:val="005D770A"/>
    <w:rsid w:val="005E01AB"/>
    <w:rsid w:val="005E43BD"/>
    <w:rsid w:val="005E6C25"/>
    <w:rsid w:val="005E754E"/>
    <w:rsid w:val="005E7E3F"/>
    <w:rsid w:val="005F37C5"/>
    <w:rsid w:val="005F3940"/>
    <w:rsid w:val="005F43D5"/>
    <w:rsid w:val="005F4BAF"/>
    <w:rsid w:val="005F5772"/>
    <w:rsid w:val="005F79D5"/>
    <w:rsid w:val="00601356"/>
    <w:rsid w:val="00601ADE"/>
    <w:rsid w:val="00602E24"/>
    <w:rsid w:val="006053A9"/>
    <w:rsid w:val="00607DBE"/>
    <w:rsid w:val="00610210"/>
    <w:rsid w:val="00611DC4"/>
    <w:rsid w:val="006124D2"/>
    <w:rsid w:val="006135A8"/>
    <w:rsid w:val="0061501B"/>
    <w:rsid w:val="00615231"/>
    <w:rsid w:val="00620507"/>
    <w:rsid w:val="006221D9"/>
    <w:rsid w:val="00623712"/>
    <w:rsid w:val="006261AC"/>
    <w:rsid w:val="0063501C"/>
    <w:rsid w:val="0063527A"/>
    <w:rsid w:val="0064035E"/>
    <w:rsid w:val="00641B56"/>
    <w:rsid w:val="00643D7A"/>
    <w:rsid w:val="006442B7"/>
    <w:rsid w:val="00644532"/>
    <w:rsid w:val="00644C71"/>
    <w:rsid w:val="00644D42"/>
    <w:rsid w:val="00644F37"/>
    <w:rsid w:val="0064644B"/>
    <w:rsid w:val="00646E5F"/>
    <w:rsid w:val="00651366"/>
    <w:rsid w:val="006517B8"/>
    <w:rsid w:val="0065192D"/>
    <w:rsid w:val="0065313E"/>
    <w:rsid w:val="0065378C"/>
    <w:rsid w:val="0065380F"/>
    <w:rsid w:val="00653CF4"/>
    <w:rsid w:val="00654EE0"/>
    <w:rsid w:val="00655272"/>
    <w:rsid w:val="006573B9"/>
    <w:rsid w:val="006602F1"/>
    <w:rsid w:val="0066060F"/>
    <w:rsid w:val="00661E30"/>
    <w:rsid w:val="006641C8"/>
    <w:rsid w:val="00664249"/>
    <w:rsid w:val="00664350"/>
    <w:rsid w:val="006659E4"/>
    <w:rsid w:val="00665E10"/>
    <w:rsid w:val="00666F98"/>
    <w:rsid w:val="00667337"/>
    <w:rsid w:val="00671091"/>
    <w:rsid w:val="00672397"/>
    <w:rsid w:val="006723C6"/>
    <w:rsid w:val="0067582B"/>
    <w:rsid w:val="00675EA6"/>
    <w:rsid w:val="006772F7"/>
    <w:rsid w:val="00680CF9"/>
    <w:rsid w:val="0068139A"/>
    <w:rsid w:val="00681D53"/>
    <w:rsid w:val="006843D9"/>
    <w:rsid w:val="006868C8"/>
    <w:rsid w:val="006914F4"/>
    <w:rsid w:val="006941A7"/>
    <w:rsid w:val="00694E4E"/>
    <w:rsid w:val="006953CA"/>
    <w:rsid w:val="00695FA0"/>
    <w:rsid w:val="0069691B"/>
    <w:rsid w:val="006A0031"/>
    <w:rsid w:val="006A01F7"/>
    <w:rsid w:val="006A4AFB"/>
    <w:rsid w:val="006A5D7C"/>
    <w:rsid w:val="006A60F3"/>
    <w:rsid w:val="006B03D5"/>
    <w:rsid w:val="006B05A0"/>
    <w:rsid w:val="006B0ED8"/>
    <w:rsid w:val="006B1939"/>
    <w:rsid w:val="006B19E6"/>
    <w:rsid w:val="006B33A6"/>
    <w:rsid w:val="006B366C"/>
    <w:rsid w:val="006B6EBF"/>
    <w:rsid w:val="006B7E4A"/>
    <w:rsid w:val="006C285C"/>
    <w:rsid w:val="006C2B15"/>
    <w:rsid w:val="006C45BF"/>
    <w:rsid w:val="006C653C"/>
    <w:rsid w:val="006C6FAE"/>
    <w:rsid w:val="006D0583"/>
    <w:rsid w:val="006D0938"/>
    <w:rsid w:val="006D25BE"/>
    <w:rsid w:val="006D40E1"/>
    <w:rsid w:val="006D5796"/>
    <w:rsid w:val="006D6882"/>
    <w:rsid w:val="006D739B"/>
    <w:rsid w:val="006E0515"/>
    <w:rsid w:val="006E1F5E"/>
    <w:rsid w:val="006E2FD2"/>
    <w:rsid w:val="006E47BD"/>
    <w:rsid w:val="006E4B68"/>
    <w:rsid w:val="006E676E"/>
    <w:rsid w:val="006E69C1"/>
    <w:rsid w:val="006E7559"/>
    <w:rsid w:val="006F02CD"/>
    <w:rsid w:val="006F2B42"/>
    <w:rsid w:val="006F3D22"/>
    <w:rsid w:val="006F6098"/>
    <w:rsid w:val="006F6DEF"/>
    <w:rsid w:val="007019C1"/>
    <w:rsid w:val="0070321E"/>
    <w:rsid w:val="007143A1"/>
    <w:rsid w:val="00722B4E"/>
    <w:rsid w:val="00722E43"/>
    <w:rsid w:val="0072408B"/>
    <w:rsid w:val="007241EF"/>
    <w:rsid w:val="00724BF7"/>
    <w:rsid w:val="007272FF"/>
    <w:rsid w:val="00727A33"/>
    <w:rsid w:val="00727E7E"/>
    <w:rsid w:val="00730680"/>
    <w:rsid w:val="00730E32"/>
    <w:rsid w:val="00732652"/>
    <w:rsid w:val="00732F2C"/>
    <w:rsid w:val="00733057"/>
    <w:rsid w:val="00733811"/>
    <w:rsid w:val="00734125"/>
    <w:rsid w:val="0073417A"/>
    <w:rsid w:val="00734223"/>
    <w:rsid w:val="0073580F"/>
    <w:rsid w:val="00735D3B"/>
    <w:rsid w:val="00736C4E"/>
    <w:rsid w:val="007376DD"/>
    <w:rsid w:val="00740501"/>
    <w:rsid w:val="00743E85"/>
    <w:rsid w:val="00746748"/>
    <w:rsid w:val="007476E4"/>
    <w:rsid w:val="00747980"/>
    <w:rsid w:val="007500F3"/>
    <w:rsid w:val="00750362"/>
    <w:rsid w:val="007517E5"/>
    <w:rsid w:val="0075285E"/>
    <w:rsid w:val="007531AF"/>
    <w:rsid w:val="00753F42"/>
    <w:rsid w:val="00754E2F"/>
    <w:rsid w:val="007578D4"/>
    <w:rsid w:val="00760AE6"/>
    <w:rsid w:val="007626D7"/>
    <w:rsid w:val="007629B0"/>
    <w:rsid w:val="00762AE6"/>
    <w:rsid w:val="00762FB6"/>
    <w:rsid w:val="00763A5A"/>
    <w:rsid w:val="00763EF6"/>
    <w:rsid w:val="00766F69"/>
    <w:rsid w:val="00767FFD"/>
    <w:rsid w:val="007712A4"/>
    <w:rsid w:val="0077251E"/>
    <w:rsid w:val="00772FBD"/>
    <w:rsid w:val="0077327B"/>
    <w:rsid w:val="00775B89"/>
    <w:rsid w:val="00776580"/>
    <w:rsid w:val="00776EF3"/>
    <w:rsid w:val="0077773D"/>
    <w:rsid w:val="00781997"/>
    <w:rsid w:val="00782F1A"/>
    <w:rsid w:val="0078454A"/>
    <w:rsid w:val="007856C5"/>
    <w:rsid w:val="0078585D"/>
    <w:rsid w:val="00790EC3"/>
    <w:rsid w:val="00791418"/>
    <w:rsid w:val="00792DA2"/>
    <w:rsid w:val="00793268"/>
    <w:rsid w:val="00794F3B"/>
    <w:rsid w:val="00795A5E"/>
    <w:rsid w:val="00795AB0"/>
    <w:rsid w:val="007966FC"/>
    <w:rsid w:val="00796C33"/>
    <w:rsid w:val="007A20F9"/>
    <w:rsid w:val="007A3469"/>
    <w:rsid w:val="007A3AF2"/>
    <w:rsid w:val="007B0315"/>
    <w:rsid w:val="007B206B"/>
    <w:rsid w:val="007B56B6"/>
    <w:rsid w:val="007B5895"/>
    <w:rsid w:val="007B71CA"/>
    <w:rsid w:val="007C0EA8"/>
    <w:rsid w:val="007C2762"/>
    <w:rsid w:val="007C5492"/>
    <w:rsid w:val="007C6B1D"/>
    <w:rsid w:val="007D0E21"/>
    <w:rsid w:val="007D10D8"/>
    <w:rsid w:val="007D286F"/>
    <w:rsid w:val="007D287D"/>
    <w:rsid w:val="007D2965"/>
    <w:rsid w:val="007D2F05"/>
    <w:rsid w:val="007D51EC"/>
    <w:rsid w:val="007D6504"/>
    <w:rsid w:val="007D79B3"/>
    <w:rsid w:val="007E031B"/>
    <w:rsid w:val="007E0B66"/>
    <w:rsid w:val="007E0C15"/>
    <w:rsid w:val="007E0F7D"/>
    <w:rsid w:val="007E18E8"/>
    <w:rsid w:val="007E197D"/>
    <w:rsid w:val="007E1E3B"/>
    <w:rsid w:val="007E7EEA"/>
    <w:rsid w:val="007F0FE7"/>
    <w:rsid w:val="007F1932"/>
    <w:rsid w:val="007F1A80"/>
    <w:rsid w:val="007F5FC0"/>
    <w:rsid w:val="007F683F"/>
    <w:rsid w:val="008007C8"/>
    <w:rsid w:val="00800E9E"/>
    <w:rsid w:val="00806E32"/>
    <w:rsid w:val="00807F39"/>
    <w:rsid w:val="0081104F"/>
    <w:rsid w:val="0081349C"/>
    <w:rsid w:val="008140B5"/>
    <w:rsid w:val="00814EE8"/>
    <w:rsid w:val="00815510"/>
    <w:rsid w:val="008169F6"/>
    <w:rsid w:val="00816CC9"/>
    <w:rsid w:val="0082047E"/>
    <w:rsid w:val="008209A9"/>
    <w:rsid w:val="00821600"/>
    <w:rsid w:val="00822FC9"/>
    <w:rsid w:val="00823339"/>
    <w:rsid w:val="00825106"/>
    <w:rsid w:val="0082662F"/>
    <w:rsid w:val="008305C0"/>
    <w:rsid w:val="008341E0"/>
    <w:rsid w:val="008348E6"/>
    <w:rsid w:val="00835BB9"/>
    <w:rsid w:val="008369A2"/>
    <w:rsid w:val="00837235"/>
    <w:rsid w:val="00837565"/>
    <w:rsid w:val="00840648"/>
    <w:rsid w:val="00840DCC"/>
    <w:rsid w:val="00840FFE"/>
    <w:rsid w:val="008455B9"/>
    <w:rsid w:val="0084637D"/>
    <w:rsid w:val="0084712F"/>
    <w:rsid w:val="0084786B"/>
    <w:rsid w:val="00847C38"/>
    <w:rsid w:val="00850DA9"/>
    <w:rsid w:val="0085148E"/>
    <w:rsid w:val="00851ECE"/>
    <w:rsid w:val="00854534"/>
    <w:rsid w:val="008546F0"/>
    <w:rsid w:val="00855503"/>
    <w:rsid w:val="008578C4"/>
    <w:rsid w:val="00860C28"/>
    <w:rsid w:val="00862FFD"/>
    <w:rsid w:val="00863155"/>
    <w:rsid w:val="00864E19"/>
    <w:rsid w:val="008701AC"/>
    <w:rsid w:val="00871860"/>
    <w:rsid w:val="00872F9B"/>
    <w:rsid w:val="008733C9"/>
    <w:rsid w:val="00873BD7"/>
    <w:rsid w:val="00875249"/>
    <w:rsid w:val="00875ECD"/>
    <w:rsid w:val="00876599"/>
    <w:rsid w:val="00876EF9"/>
    <w:rsid w:val="00880BC2"/>
    <w:rsid w:val="00882066"/>
    <w:rsid w:val="00885CAE"/>
    <w:rsid w:val="0088641C"/>
    <w:rsid w:val="0088673E"/>
    <w:rsid w:val="008870EE"/>
    <w:rsid w:val="0088713E"/>
    <w:rsid w:val="00887D95"/>
    <w:rsid w:val="00890AF5"/>
    <w:rsid w:val="00892F8C"/>
    <w:rsid w:val="00894073"/>
    <w:rsid w:val="0089431B"/>
    <w:rsid w:val="0089498F"/>
    <w:rsid w:val="008956AC"/>
    <w:rsid w:val="008962B8"/>
    <w:rsid w:val="00897306"/>
    <w:rsid w:val="008A0079"/>
    <w:rsid w:val="008A1D84"/>
    <w:rsid w:val="008A3867"/>
    <w:rsid w:val="008A3989"/>
    <w:rsid w:val="008A5583"/>
    <w:rsid w:val="008A6732"/>
    <w:rsid w:val="008B1025"/>
    <w:rsid w:val="008B48C2"/>
    <w:rsid w:val="008B552B"/>
    <w:rsid w:val="008B5F34"/>
    <w:rsid w:val="008B62EF"/>
    <w:rsid w:val="008B67A9"/>
    <w:rsid w:val="008C0102"/>
    <w:rsid w:val="008C042D"/>
    <w:rsid w:val="008C24FF"/>
    <w:rsid w:val="008C282C"/>
    <w:rsid w:val="008C4D47"/>
    <w:rsid w:val="008C554B"/>
    <w:rsid w:val="008D0E45"/>
    <w:rsid w:val="008D18AE"/>
    <w:rsid w:val="008D3FE7"/>
    <w:rsid w:val="008D55B9"/>
    <w:rsid w:val="008D7FEA"/>
    <w:rsid w:val="008E0EFE"/>
    <w:rsid w:val="008E12B3"/>
    <w:rsid w:val="008E2F85"/>
    <w:rsid w:val="008E3414"/>
    <w:rsid w:val="008E380D"/>
    <w:rsid w:val="008E4380"/>
    <w:rsid w:val="008E4AE0"/>
    <w:rsid w:val="008E4ED3"/>
    <w:rsid w:val="008E550B"/>
    <w:rsid w:val="008E6ACB"/>
    <w:rsid w:val="008E703C"/>
    <w:rsid w:val="008E7AFB"/>
    <w:rsid w:val="008E7C2E"/>
    <w:rsid w:val="008F0C63"/>
    <w:rsid w:val="008F2D1A"/>
    <w:rsid w:val="008F4B69"/>
    <w:rsid w:val="008F6A11"/>
    <w:rsid w:val="00901E39"/>
    <w:rsid w:val="00904908"/>
    <w:rsid w:val="0090534A"/>
    <w:rsid w:val="009054C5"/>
    <w:rsid w:val="00906710"/>
    <w:rsid w:val="00906868"/>
    <w:rsid w:val="00906BA1"/>
    <w:rsid w:val="00906FEF"/>
    <w:rsid w:val="00907E5B"/>
    <w:rsid w:val="00912E39"/>
    <w:rsid w:val="0091445F"/>
    <w:rsid w:val="00917574"/>
    <w:rsid w:val="0092031B"/>
    <w:rsid w:val="009203C7"/>
    <w:rsid w:val="00921AF7"/>
    <w:rsid w:val="00921D9E"/>
    <w:rsid w:val="0092387F"/>
    <w:rsid w:val="00926405"/>
    <w:rsid w:val="00931362"/>
    <w:rsid w:val="00931FF3"/>
    <w:rsid w:val="00935EBC"/>
    <w:rsid w:val="009374B0"/>
    <w:rsid w:val="00937973"/>
    <w:rsid w:val="0094062A"/>
    <w:rsid w:val="00940979"/>
    <w:rsid w:val="0094171F"/>
    <w:rsid w:val="0094332F"/>
    <w:rsid w:val="00943C03"/>
    <w:rsid w:val="00947307"/>
    <w:rsid w:val="00947A1F"/>
    <w:rsid w:val="00953416"/>
    <w:rsid w:val="00953FB3"/>
    <w:rsid w:val="009551B7"/>
    <w:rsid w:val="0095533A"/>
    <w:rsid w:val="0095552E"/>
    <w:rsid w:val="00957F10"/>
    <w:rsid w:val="00960954"/>
    <w:rsid w:val="00961AB7"/>
    <w:rsid w:val="00961C02"/>
    <w:rsid w:val="00962101"/>
    <w:rsid w:val="009636F6"/>
    <w:rsid w:val="0096428F"/>
    <w:rsid w:val="0096432B"/>
    <w:rsid w:val="00965974"/>
    <w:rsid w:val="009670BB"/>
    <w:rsid w:val="009672E7"/>
    <w:rsid w:val="00971576"/>
    <w:rsid w:val="009721FC"/>
    <w:rsid w:val="009732EE"/>
    <w:rsid w:val="00976D29"/>
    <w:rsid w:val="0098318A"/>
    <w:rsid w:val="00985ED4"/>
    <w:rsid w:val="00985F34"/>
    <w:rsid w:val="00987F51"/>
    <w:rsid w:val="009914DA"/>
    <w:rsid w:val="00991F3F"/>
    <w:rsid w:val="009933F1"/>
    <w:rsid w:val="00993CE9"/>
    <w:rsid w:val="00994127"/>
    <w:rsid w:val="00994757"/>
    <w:rsid w:val="00997A66"/>
    <w:rsid w:val="009A2F1A"/>
    <w:rsid w:val="009A33FC"/>
    <w:rsid w:val="009A4031"/>
    <w:rsid w:val="009A54FA"/>
    <w:rsid w:val="009A6DC7"/>
    <w:rsid w:val="009A7D18"/>
    <w:rsid w:val="009B0228"/>
    <w:rsid w:val="009B25CE"/>
    <w:rsid w:val="009B314B"/>
    <w:rsid w:val="009B3584"/>
    <w:rsid w:val="009B4820"/>
    <w:rsid w:val="009B4F4B"/>
    <w:rsid w:val="009B5EE4"/>
    <w:rsid w:val="009B6C99"/>
    <w:rsid w:val="009C14F7"/>
    <w:rsid w:val="009C1864"/>
    <w:rsid w:val="009C198E"/>
    <w:rsid w:val="009C2748"/>
    <w:rsid w:val="009C3618"/>
    <w:rsid w:val="009C47CD"/>
    <w:rsid w:val="009C4BCE"/>
    <w:rsid w:val="009C65FD"/>
    <w:rsid w:val="009C7378"/>
    <w:rsid w:val="009D0648"/>
    <w:rsid w:val="009D431C"/>
    <w:rsid w:val="009D6385"/>
    <w:rsid w:val="009D69CB"/>
    <w:rsid w:val="009E0B52"/>
    <w:rsid w:val="009E0F20"/>
    <w:rsid w:val="009E263E"/>
    <w:rsid w:val="009E3C12"/>
    <w:rsid w:val="009E4456"/>
    <w:rsid w:val="009E5EA4"/>
    <w:rsid w:val="009F0B90"/>
    <w:rsid w:val="009F102D"/>
    <w:rsid w:val="009F1269"/>
    <w:rsid w:val="009F2B2F"/>
    <w:rsid w:val="009F32FE"/>
    <w:rsid w:val="009F4619"/>
    <w:rsid w:val="00A0035D"/>
    <w:rsid w:val="00A01B8A"/>
    <w:rsid w:val="00A053CE"/>
    <w:rsid w:val="00A05854"/>
    <w:rsid w:val="00A0602C"/>
    <w:rsid w:val="00A12260"/>
    <w:rsid w:val="00A13EB8"/>
    <w:rsid w:val="00A1588A"/>
    <w:rsid w:val="00A1594C"/>
    <w:rsid w:val="00A16709"/>
    <w:rsid w:val="00A16ABB"/>
    <w:rsid w:val="00A209BE"/>
    <w:rsid w:val="00A20F40"/>
    <w:rsid w:val="00A21F57"/>
    <w:rsid w:val="00A310E4"/>
    <w:rsid w:val="00A3166E"/>
    <w:rsid w:val="00A318BC"/>
    <w:rsid w:val="00A32203"/>
    <w:rsid w:val="00A32FA9"/>
    <w:rsid w:val="00A353C1"/>
    <w:rsid w:val="00A36937"/>
    <w:rsid w:val="00A42506"/>
    <w:rsid w:val="00A42687"/>
    <w:rsid w:val="00A432F1"/>
    <w:rsid w:val="00A4442B"/>
    <w:rsid w:val="00A46A25"/>
    <w:rsid w:val="00A511EB"/>
    <w:rsid w:val="00A53572"/>
    <w:rsid w:val="00A53826"/>
    <w:rsid w:val="00A5487A"/>
    <w:rsid w:val="00A57C72"/>
    <w:rsid w:val="00A61B8C"/>
    <w:rsid w:val="00A6204C"/>
    <w:rsid w:val="00A6316F"/>
    <w:rsid w:val="00A64EBC"/>
    <w:rsid w:val="00A64F35"/>
    <w:rsid w:val="00A664AD"/>
    <w:rsid w:val="00A67013"/>
    <w:rsid w:val="00A70C5B"/>
    <w:rsid w:val="00A70FF3"/>
    <w:rsid w:val="00A72AAC"/>
    <w:rsid w:val="00A72E1E"/>
    <w:rsid w:val="00A7515F"/>
    <w:rsid w:val="00A75484"/>
    <w:rsid w:val="00A75FBB"/>
    <w:rsid w:val="00A7791A"/>
    <w:rsid w:val="00A779D8"/>
    <w:rsid w:val="00A802FC"/>
    <w:rsid w:val="00A84763"/>
    <w:rsid w:val="00A84A9E"/>
    <w:rsid w:val="00A85179"/>
    <w:rsid w:val="00A8642C"/>
    <w:rsid w:val="00A86BC0"/>
    <w:rsid w:val="00A87FD9"/>
    <w:rsid w:val="00A913C1"/>
    <w:rsid w:val="00A91F9E"/>
    <w:rsid w:val="00A94035"/>
    <w:rsid w:val="00A9506D"/>
    <w:rsid w:val="00A957EA"/>
    <w:rsid w:val="00A95B04"/>
    <w:rsid w:val="00A9632C"/>
    <w:rsid w:val="00A96844"/>
    <w:rsid w:val="00AA2657"/>
    <w:rsid w:val="00AA323D"/>
    <w:rsid w:val="00AA34E7"/>
    <w:rsid w:val="00AA4283"/>
    <w:rsid w:val="00AA5B48"/>
    <w:rsid w:val="00AA6144"/>
    <w:rsid w:val="00AB00C6"/>
    <w:rsid w:val="00AB0970"/>
    <w:rsid w:val="00AB189B"/>
    <w:rsid w:val="00AB56B9"/>
    <w:rsid w:val="00AB6861"/>
    <w:rsid w:val="00AB6B02"/>
    <w:rsid w:val="00AC0B8A"/>
    <w:rsid w:val="00AC3FD3"/>
    <w:rsid w:val="00AC5432"/>
    <w:rsid w:val="00AC60E8"/>
    <w:rsid w:val="00AC72A2"/>
    <w:rsid w:val="00AD00EC"/>
    <w:rsid w:val="00AD0413"/>
    <w:rsid w:val="00AD0910"/>
    <w:rsid w:val="00AD2B8F"/>
    <w:rsid w:val="00AD2D98"/>
    <w:rsid w:val="00AD39C7"/>
    <w:rsid w:val="00AD3ECE"/>
    <w:rsid w:val="00AD453C"/>
    <w:rsid w:val="00AD4854"/>
    <w:rsid w:val="00AD4953"/>
    <w:rsid w:val="00AD5E16"/>
    <w:rsid w:val="00AD7456"/>
    <w:rsid w:val="00AE0044"/>
    <w:rsid w:val="00AE06FE"/>
    <w:rsid w:val="00AE1B16"/>
    <w:rsid w:val="00AE28A6"/>
    <w:rsid w:val="00AE3943"/>
    <w:rsid w:val="00AE48F6"/>
    <w:rsid w:val="00AE4F72"/>
    <w:rsid w:val="00AE59E5"/>
    <w:rsid w:val="00AE5FE6"/>
    <w:rsid w:val="00AE602F"/>
    <w:rsid w:val="00AE6F2A"/>
    <w:rsid w:val="00AF008B"/>
    <w:rsid w:val="00AF2671"/>
    <w:rsid w:val="00AF2F74"/>
    <w:rsid w:val="00AF3CA7"/>
    <w:rsid w:val="00AF3E04"/>
    <w:rsid w:val="00AF3F17"/>
    <w:rsid w:val="00AF4A4C"/>
    <w:rsid w:val="00AF4A9A"/>
    <w:rsid w:val="00AF788A"/>
    <w:rsid w:val="00AF7B82"/>
    <w:rsid w:val="00B03559"/>
    <w:rsid w:val="00B042A1"/>
    <w:rsid w:val="00B043F0"/>
    <w:rsid w:val="00B05B79"/>
    <w:rsid w:val="00B06998"/>
    <w:rsid w:val="00B1160B"/>
    <w:rsid w:val="00B1198C"/>
    <w:rsid w:val="00B12FC8"/>
    <w:rsid w:val="00B13583"/>
    <w:rsid w:val="00B14368"/>
    <w:rsid w:val="00B14A91"/>
    <w:rsid w:val="00B156DA"/>
    <w:rsid w:val="00B1755B"/>
    <w:rsid w:val="00B203D3"/>
    <w:rsid w:val="00B209E0"/>
    <w:rsid w:val="00B22710"/>
    <w:rsid w:val="00B22746"/>
    <w:rsid w:val="00B22A5C"/>
    <w:rsid w:val="00B23371"/>
    <w:rsid w:val="00B2495E"/>
    <w:rsid w:val="00B257DC"/>
    <w:rsid w:val="00B315A0"/>
    <w:rsid w:val="00B32F52"/>
    <w:rsid w:val="00B33E45"/>
    <w:rsid w:val="00B344A7"/>
    <w:rsid w:val="00B345A1"/>
    <w:rsid w:val="00B354D3"/>
    <w:rsid w:val="00B36E51"/>
    <w:rsid w:val="00B40ED1"/>
    <w:rsid w:val="00B41770"/>
    <w:rsid w:val="00B4235D"/>
    <w:rsid w:val="00B424DE"/>
    <w:rsid w:val="00B42CF6"/>
    <w:rsid w:val="00B433D8"/>
    <w:rsid w:val="00B438F3"/>
    <w:rsid w:val="00B43974"/>
    <w:rsid w:val="00B43F4F"/>
    <w:rsid w:val="00B46412"/>
    <w:rsid w:val="00B4707D"/>
    <w:rsid w:val="00B519A3"/>
    <w:rsid w:val="00B55451"/>
    <w:rsid w:val="00B55770"/>
    <w:rsid w:val="00B55872"/>
    <w:rsid w:val="00B57048"/>
    <w:rsid w:val="00B60196"/>
    <w:rsid w:val="00B65806"/>
    <w:rsid w:val="00B664E5"/>
    <w:rsid w:val="00B66757"/>
    <w:rsid w:val="00B66B1E"/>
    <w:rsid w:val="00B67CC7"/>
    <w:rsid w:val="00B7213E"/>
    <w:rsid w:val="00B767F5"/>
    <w:rsid w:val="00B77857"/>
    <w:rsid w:val="00B83A2F"/>
    <w:rsid w:val="00B85C82"/>
    <w:rsid w:val="00B86C3E"/>
    <w:rsid w:val="00B90FF1"/>
    <w:rsid w:val="00B9121A"/>
    <w:rsid w:val="00B9148F"/>
    <w:rsid w:val="00B915AC"/>
    <w:rsid w:val="00B92DB0"/>
    <w:rsid w:val="00B93AB0"/>
    <w:rsid w:val="00B949F2"/>
    <w:rsid w:val="00B960CD"/>
    <w:rsid w:val="00B96E3C"/>
    <w:rsid w:val="00B97696"/>
    <w:rsid w:val="00BA2D9A"/>
    <w:rsid w:val="00BA2F55"/>
    <w:rsid w:val="00BA32DB"/>
    <w:rsid w:val="00BA3F4C"/>
    <w:rsid w:val="00BA60C0"/>
    <w:rsid w:val="00BA6E38"/>
    <w:rsid w:val="00BB281B"/>
    <w:rsid w:val="00BB3161"/>
    <w:rsid w:val="00BB32E8"/>
    <w:rsid w:val="00BB3ED9"/>
    <w:rsid w:val="00BB4152"/>
    <w:rsid w:val="00BB4647"/>
    <w:rsid w:val="00BB5F24"/>
    <w:rsid w:val="00BB6B21"/>
    <w:rsid w:val="00BB6FD7"/>
    <w:rsid w:val="00BB777B"/>
    <w:rsid w:val="00BC0B06"/>
    <w:rsid w:val="00BC1935"/>
    <w:rsid w:val="00BC2AE6"/>
    <w:rsid w:val="00BC469F"/>
    <w:rsid w:val="00BD21D3"/>
    <w:rsid w:val="00BD2655"/>
    <w:rsid w:val="00BD2765"/>
    <w:rsid w:val="00BD4362"/>
    <w:rsid w:val="00BE1566"/>
    <w:rsid w:val="00BE29C8"/>
    <w:rsid w:val="00BE2DED"/>
    <w:rsid w:val="00BE401B"/>
    <w:rsid w:val="00BE55A2"/>
    <w:rsid w:val="00BE56A3"/>
    <w:rsid w:val="00BE56A9"/>
    <w:rsid w:val="00BE5E82"/>
    <w:rsid w:val="00BF0672"/>
    <w:rsid w:val="00BF1AA1"/>
    <w:rsid w:val="00BF5862"/>
    <w:rsid w:val="00BF5CCA"/>
    <w:rsid w:val="00BF606D"/>
    <w:rsid w:val="00C03704"/>
    <w:rsid w:val="00C06CD2"/>
    <w:rsid w:val="00C0751F"/>
    <w:rsid w:val="00C13A30"/>
    <w:rsid w:val="00C1436A"/>
    <w:rsid w:val="00C14F7A"/>
    <w:rsid w:val="00C16FAC"/>
    <w:rsid w:val="00C17276"/>
    <w:rsid w:val="00C22611"/>
    <w:rsid w:val="00C2264C"/>
    <w:rsid w:val="00C253F0"/>
    <w:rsid w:val="00C26372"/>
    <w:rsid w:val="00C26BF5"/>
    <w:rsid w:val="00C31E95"/>
    <w:rsid w:val="00C35AFD"/>
    <w:rsid w:val="00C35E7C"/>
    <w:rsid w:val="00C37BD2"/>
    <w:rsid w:val="00C405CA"/>
    <w:rsid w:val="00C41712"/>
    <w:rsid w:val="00C41E37"/>
    <w:rsid w:val="00C4205A"/>
    <w:rsid w:val="00C42C68"/>
    <w:rsid w:val="00C43205"/>
    <w:rsid w:val="00C4414C"/>
    <w:rsid w:val="00C44473"/>
    <w:rsid w:val="00C45969"/>
    <w:rsid w:val="00C478D2"/>
    <w:rsid w:val="00C47D47"/>
    <w:rsid w:val="00C50855"/>
    <w:rsid w:val="00C50981"/>
    <w:rsid w:val="00C52BBD"/>
    <w:rsid w:val="00C5410C"/>
    <w:rsid w:val="00C54BF8"/>
    <w:rsid w:val="00C555FD"/>
    <w:rsid w:val="00C5560B"/>
    <w:rsid w:val="00C556A7"/>
    <w:rsid w:val="00C5608D"/>
    <w:rsid w:val="00C56427"/>
    <w:rsid w:val="00C60112"/>
    <w:rsid w:val="00C61C11"/>
    <w:rsid w:val="00C61F9E"/>
    <w:rsid w:val="00C64C81"/>
    <w:rsid w:val="00C6550B"/>
    <w:rsid w:val="00C70406"/>
    <w:rsid w:val="00C70F3E"/>
    <w:rsid w:val="00C71E1E"/>
    <w:rsid w:val="00C727B5"/>
    <w:rsid w:val="00C72A90"/>
    <w:rsid w:val="00C738B9"/>
    <w:rsid w:val="00C75114"/>
    <w:rsid w:val="00C77317"/>
    <w:rsid w:val="00C81DAD"/>
    <w:rsid w:val="00C822BF"/>
    <w:rsid w:val="00C8261C"/>
    <w:rsid w:val="00C82986"/>
    <w:rsid w:val="00C8655C"/>
    <w:rsid w:val="00C90655"/>
    <w:rsid w:val="00C91426"/>
    <w:rsid w:val="00C915BD"/>
    <w:rsid w:val="00C91C60"/>
    <w:rsid w:val="00C9282B"/>
    <w:rsid w:val="00C92ED0"/>
    <w:rsid w:val="00C931B6"/>
    <w:rsid w:val="00C93BE3"/>
    <w:rsid w:val="00C94D8A"/>
    <w:rsid w:val="00C95EC2"/>
    <w:rsid w:val="00C97E65"/>
    <w:rsid w:val="00CA10C1"/>
    <w:rsid w:val="00CA23BB"/>
    <w:rsid w:val="00CA2E4D"/>
    <w:rsid w:val="00CA3812"/>
    <w:rsid w:val="00CA4014"/>
    <w:rsid w:val="00CA76B8"/>
    <w:rsid w:val="00CB0871"/>
    <w:rsid w:val="00CB2722"/>
    <w:rsid w:val="00CB35FC"/>
    <w:rsid w:val="00CB3C87"/>
    <w:rsid w:val="00CB45A3"/>
    <w:rsid w:val="00CB4B4F"/>
    <w:rsid w:val="00CB4CDD"/>
    <w:rsid w:val="00CB68BB"/>
    <w:rsid w:val="00CB76C6"/>
    <w:rsid w:val="00CC2841"/>
    <w:rsid w:val="00CC4972"/>
    <w:rsid w:val="00CC6B35"/>
    <w:rsid w:val="00CC78B0"/>
    <w:rsid w:val="00CD319E"/>
    <w:rsid w:val="00CD337D"/>
    <w:rsid w:val="00CD496E"/>
    <w:rsid w:val="00CD6290"/>
    <w:rsid w:val="00CD753D"/>
    <w:rsid w:val="00CE639D"/>
    <w:rsid w:val="00CE6AB1"/>
    <w:rsid w:val="00CE6E38"/>
    <w:rsid w:val="00CF62D1"/>
    <w:rsid w:val="00CF6607"/>
    <w:rsid w:val="00CF66E1"/>
    <w:rsid w:val="00CF67F9"/>
    <w:rsid w:val="00CF7050"/>
    <w:rsid w:val="00D006E2"/>
    <w:rsid w:val="00D00A37"/>
    <w:rsid w:val="00D01734"/>
    <w:rsid w:val="00D02BA4"/>
    <w:rsid w:val="00D058A6"/>
    <w:rsid w:val="00D073EE"/>
    <w:rsid w:val="00D07ECD"/>
    <w:rsid w:val="00D103D2"/>
    <w:rsid w:val="00D10725"/>
    <w:rsid w:val="00D1100E"/>
    <w:rsid w:val="00D125B6"/>
    <w:rsid w:val="00D13D1D"/>
    <w:rsid w:val="00D17572"/>
    <w:rsid w:val="00D17DB8"/>
    <w:rsid w:val="00D22483"/>
    <w:rsid w:val="00D24EEC"/>
    <w:rsid w:val="00D253B4"/>
    <w:rsid w:val="00D259AB"/>
    <w:rsid w:val="00D26C68"/>
    <w:rsid w:val="00D30549"/>
    <w:rsid w:val="00D330DA"/>
    <w:rsid w:val="00D332FD"/>
    <w:rsid w:val="00D3573C"/>
    <w:rsid w:val="00D35F9B"/>
    <w:rsid w:val="00D360A9"/>
    <w:rsid w:val="00D37948"/>
    <w:rsid w:val="00D41E5B"/>
    <w:rsid w:val="00D43DDF"/>
    <w:rsid w:val="00D44B2F"/>
    <w:rsid w:val="00D44D5A"/>
    <w:rsid w:val="00D450A9"/>
    <w:rsid w:val="00D46304"/>
    <w:rsid w:val="00D478DD"/>
    <w:rsid w:val="00D50D09"/>
    <w:rsid w:val="00D518D8"/>
    <w:rsid w:val="00D533CE"/>
    <w:rsid w:val="00D534E9"/>
    <w:rsid w:val="00D5514B"/>
    <w:rsid w:val="00D55BAB"/>
    <w:rsid w:val="00D5685E"/>
    <w:rsid w:val="00D60485"/>
    <w:rsid w:val="00D608CB"/>
    <w:rsid w:val="00D6171E"/>
    <w:rsid w:val="00D62936"/>
    <w:rsid w:val="00D630A5"/>
    <w:rsid w:val="00D63B7F"/>
    <w:rsid w:val="00D647F2"/>
    <w:rsid w:val="00D64CDA"/>
    <w:rsid w:val="00D65B65"/>
    <w:rsid w:val="00D665C3"/>
    <w:rsid w:val="00D674CF"/>
    <w:rsid w:val="00D72716"/>
    <w:rsid w:val="00D729B6"/>
    <w:rsid w:val="00D736E3"/>
    <w:rsid w:val="00D7385C"/>
    <w:rsid w:val="00D73B19"/>
    <w:rsid w:val="00D76D14"/>
    <w:rsid w:val="00D77112"/>
    <w:rsid w:val="00D77212"/>
    <w:rsid w:val="00D7724D"/>
    <w:rsid w:val="00D77847"/>
    <w:rsid w:val="00D82282"/>
    <w:rsid w:val="00D825F5"/>
    <w:rsid w:val="00D83DB1"/>
    <w:rsid w:val="00D84950"/>
    <w:rsid w:val="00D84BE2"/>
    <w:rsid w:val="00D84C75"/>
    <w:rsid w:val="00D84E16"/>
    <w:rsid w:val="00D87170"/>
    <w:rsid w:val="00D87492"/>
    <w:rsid w:val="00D879DE"/>
    <w:rsid w:val="00D90C4D"/>
    <w:rsid w:val="00D91B3E"/>
    <w:rsid w:val="00D9208A"/>
    <w:rsid w:val="00D92E84"/>
    <w:rsid w:val="00D93754"/>
    <w:rsid w:val="00D940BA"/>
    <w:rsid w:val="00D948B4"/>
    <w:rsid w:val="00D94C36"/>
    <w:rsid w:val="00D96ADC"/>
    <w:rsid w:val="00DA0FDB"/>
    <w:rsid w:val="00DA1896"/>
    <w:rsid w:val="00DA2A42"/>
    <w:rsid w:val="00DA57F6"/>
    <w:rsid w:val="00DA5989"/>
    <w:rsid w:val="00DA6132"/>
    <w:rsid w:val="00DB0571"/>
    <w:rsid w:val="00DB37DD"/>
    <w:rsid w:val="00DB391A"/>
    <w:rsid w:val="00DB406B"/>
    <w:rsid w:val="00DB712D"/>
    <w:rsid w:val="00DB7585"/>
    <w:rsid w:val="00DC0B24"/>
    <w:rsid w:val="00DC3F09"/>
    <w:rsid w:val="00DC5798"/>
    <w:rsid w:val="00DC72DC"/>
    <w:rsid w:val="00DC7D28"/>
    <w:rsid w:val="00DD04C8"/>
    <w:rsid w:val="00DD18DA"/>
    <w:rsid w:val="00DD2601"/>
    <w:rsid w:val="00DD413A"/>
    <w:rsid w:val="00DD4EFD"/>
    <w:rsid w:val="00DE1020"/>
    <w:rsid w:val="00DE21D8"/>
    <w:rsid w:val="00DE27B0"/>
    <w:rsid w:val="00DE5E6F"/>
    <w:rsid w:val="00DE75E3"/>
    <w:rsid w:val="00DF1744"/>
    <w:rsid w:val="00DF1F33"/>
    <w:rsid w:val="00DF2CA4"/>
    <w:rsid w:val="00DF2F4B"/>
    <w:rsid w:val="00DF355B"/>
    <w:rsid w:val="00DF361E"/>
    <w:rsid w:val="00DF40AB"/>
    <w:rsid w:val="00DF4471"/>
    <w:rsid w:val="00DF4E7E"/>
    <w:rsid w:val="00DF5BA1"/>
    <w:rsid w:val="00DF63D3"/>
    <w:rsid w:val="00DF6759"/>
    <w:rsid w:val="00E00071"/>
    <w:rsid w:val="00E075F2"/>
    <w:rsid w:val="00E1123D"/>
    <w:rsid w:val="00E12A64"/>
    <w:rsid w:val="00E12E2A"/>
    <w:rsid w:val="00E13EDB"/>
    <w:rsid w:val="00E1405A"/>
    <w:rsid w:val="00E146A1"/>
    <w:rsid w:val="00E159A9"/>
    <w:rsid w:val="00E204EC"/>
    <w:rsid w:val="00E20B66"/>
    <w:rsid w:val="00E21A73"/>
    <w:rsid w:val="00E21F73"/>
    <w:rsid w:val="00E24988"/>
    <w:rsid w:val="00E25F48"/>
    <w:rsid w:val="00E25FD0"/>
    <w:rsid w:val="00E3099C"/>
    <w:rsid w:val="00E30DF9"/>
    <w:rsid w:val="00E3630C"/>
    <w:rsid w:val="00E36454"/>
    <w:rsid w:val="00E366BC"/>
    <w:rsid w:val="00E3682A"/>
    <w:rsid w:val="00E3712A"/>
    <w:rsid w:val="00E37F31"/>
    <w:rsid w:val="00E40FD3"/>
    <w:rsid w:val="00E41120"/>
    <w:rsid w:val="00E415B8"/>
    <w:rsid w:val="00E416D0"/>
    <w:rsid w:val="00E42CB4"/>
    <w:rsid w:val="00E44898"/>
    <w:rsid w:val="00E44913"/>
    <w:rsid w:val="00E450E7"/>
    <w:rsid w:val="00E453A3"/>
    <w:rsid w:val="00E45EB9"/>
    <w:rsid w:val="00E46136"/>
    <w:rsid w:val="00E467E1"/>
    <w:rsid w:val="00E46A44"/>
    <w:rsid w:val="00E50677"/>
    <w:rsid w:val="00E52735"/>
    <w:rsid w:val="00E54368"/>
    <w:rsid w:val="00E54F31"/>
    <w:rsid w:val="00E57227"/>
    <w:rsid w:val="00E57C7F"/>
    <w:rsid w:val="00E60085"/>
    <w:rsid w:val="00E610EB"/>
    <w:rsid w:val="00E61370"/>
    <w:rsid w:val="00E61A1E"/>
    <w:rsid w:val="00E640FF"/>
    <w:rsid w:val="00E6421A"/>
    <w:rsid w:val="00E658C7"/>
    <w:rsid w:val="00E663E6"/>
    <w:rsid w:val="00E67BAC"/>
    <w:rsid w:val="00E70617"/>
    <w:rsid w:val="00E745A4"/>
    <w:rsid w:val="00E751A0"/>
    <w:rsid w:val="00E7649D"/>
    <w:rsid w:val="00E76537"/>
    <w:rsid w:val="00E76A76"/>
    <w:rsid w:val="00E77373"/>
    <w:rsid w:val="00E82F2E"/>
    <w:rsid w:val="00E854C1"/>
    <w:rsid w:val="00E85C43"/>
    <w:rsid w:val="00E8627D"/>
    <w:rsid w:val="00E90B04"/>
    <w:rsid w:val="00E9415F"/>
    <w:rsid w:val="00E962D1"/>
    <w:rsid w:val="00E9694A"/>
    <w:rsid w:val="00E974AD"/>
    <w:rsid w:val="00EA029B"/>
    <w:rsid w:val="00EA0682"/>
    <w:rsid w:val="00EA084E"/>
    <w:rsid w:val="00EA0B48"/>
    <w:rsid w:val="00EA0CB2"/>
    <w:rsid w:val="00EA2351"/>
    <w:rsid w:val="00EA3283"/>
    <w:rsid w:val="00EA3BEF"/>
    <w:rsid w:val="00EA3CCB"/>
    <w:rsid w:val="00EA545B"/>
    <w:rsid w:val="00EA58D8"/>
    <w:rsid w:val="00EA5C4D"/>
    <w:rsid w:val="00EA5E0E"/>
    <w:rsid w:val="00EA67F3"/>
    <w:rsid w:val="00EA788B"/>
    <w:rsid w:val="00EB3326"/>
    <w:rsid w:val="00EB3A10"/>
    <w:rsid w:val="00EB59BD"/>
    <w:rsid w:val="00EB7D49"/>
    <w:rsid w:val="00EC117C"/>
    <w:rsid w:val="00EC359E"/>
    <w:rsid w:val="00EC452F"/>
    <w:rsid w:val="00EC5EA7"/>
    <w:rsid w:val="00ED08B8"/>
    <w:rsid w:val="00ED16A4"/>
    <w:rsid w:val="00ED23E9"/>
    <w:rsid w:val="00ED2E90"/>
    <w:rsid w:val="00ED445D"/>
    <w:rsid w:val="00EE03E2"/>
    <w:rsid w:val="00EE389F"/>
    <w:rsid w:val="00EE3DBE"/>
    <w:rsid w:val="00EE478E"/>
    <w:rsid w:val="00EE5038"/>
    <w:rsid w:val="00EE577E"/>
    <w:rsid w:val="00EE5855"/>
    <w:rsid w:val="00EE6A16"/>
    <w:rsid w:val="00EF026F"/>
    <w:rsid w:val="00EF0FAF"/>
    <w:rsid w:val="00EF152D"/>
    <w:rsid w:val="00EF2BA3"/>
    <w:rsid w:val="00EF4724"/>
    <w:rsid w:val="00EF4B1F"/>
    <w:rsid w:val="00EF4CD0"/>
    <w:rsid w:val="00EF66D0"/>
    <w:rsid w:val="00EF7E78"/>
    <w:rsid w:val="00F005C5"/>
    <w:rsid w:val="00F009BE"/>
    <w:rsid w:val="00F00D15"/>
    <w:rsid w:val="00F03583"/>
    <w:rsid w:val="00F05894"/>
    <w:rsid w:val="00F06907"/>
    <w:rsid w:val="00F07E5C"/>
    <w:rsid w:val="00F1040C"/>
    <w:rsid w:val="00F12586"/>
    <w:rsid w:val="00F14BA9"/>
    <w:rsid w:val="00F152D8"/>
    <w:rsid w:val="00F16CEC"/>
    <w:rsid w:val="00F20D61"/>
    <w:rsid w:val="00F21F57"/>
    <w:rsid w:val="00F2382D"/>
    <w:rsid w:val="00F24E48"/>
    <w:rsid w:val="00F26F4D"/>
    <w:rsid w:val="00F30453"/>
    <w:rsid w:val="00F330C7"/>
    <w:rsid w:val="00F402CE"/>
    <w:rsid w:val="00F40656"/>
    <w:rsid w:val="00F42516"/>
    <w:rsid w:val="00F42DD9"/>
    <w:rsid w:val="00F45187"/>
    <w:rsid w:val="00F459A6"/>
    <w:rsid w:val="00F47B27"/>
    <w:rsid w:val="00F5152E"/>
    <w:rsid w:val="00F53A75"/>
    <w:rsid w:val="00F55B60"/>
    <w:rsid w:val="00F56B27"/>
    <w:rsid w:val="00F57061"/>
    <w:rsid w:val="00F601D1"/>
    <w:rsid w:val="00F60B7B"/>
    <w:rsid w:val="00F616C1"/>
    <w:rsid w:val="00F619D4"/>
    <w:rsid w:val="00F643A3"/>
    <w:rsid w:val="00F64573"/>
    <w:rsid w:val="00F64898"/>
    <w:rsid w:val="00F65F08"/>
    <w:rsid w:val="00F6636D"/>
    <w:rsid w:val="00F674A5"/>
    <w:rsid w:val="00F71259"/>
    <w:rsid w:val="00F71448"/>
    <w:rsid w:val="00F72F4B"/>
    <w:rsid w:val="00F74028"/>
    <w:rsid w:val="00F748FE"/>
    <w:rsid w:val="00F759BC"/>
    <w:rsid w:val="00F80520"/>
    <w:rsid w:val="00F806B9"/>
    <w:rsid w:val="00F816BF"/>
    <w:rsid w:val="00F81C40"/>
    <w:rsid w:val="00F81FC9"/>
    <w:rsid w:val="00F85E7A"/>
    <w:rsid w:val="00F87386"/>
    <w:rsid w:val="00F90871"/>
    <w:rsid w:val="00F93130"/>
    <w:rsid w:val="00F93CC1"/>
    <w:rsid w:val="00F9410C"/>
    <w:rsid w:val="00F944A9"/>
    <w:rsid w:val="00F94B31"/>
    <w:rsid w:val="00F95CF3"/>
    <w:rsid w:val="00F970C0"/>
    <w:rsid w:val="00FA0F79"/>
    <w:rsid w:val="00FA1D04"/>
    <w:rsid w:val="00FA7F4B"/>
    <w:rsid w:val="00FB0E68"/>
    <w:rsid w:val="00FB278A"/>
    <w:rsid w:val="00FB64E9"/>
    <w:rsid w:val="00FB69C7"/>
    <w:rsid w:val="00FB71F7"/>
    <w:rsid w:val="00FB74E5"/>
    <w:rsid w:val="00FB7A8B"/>
    <w:rsid w:val="00FC0317"/>
    <w:rsid w:val="00FC0721"/>
    <w:rsid w:val="00FC0F6A"/>
    <w:rsid w:val="00FC3C61"/>
    <w:rsid w:val="00FD2271"/>
    <w:rsid w:val="00FD27BE"/>
    <w:rsid w:val="00FE0387"/>
    <w:rsid w:val="00FE12D2"/>
    <w:rsid w:val="00FE3A90"/>
    <w:rsid w:val="00FE3BD8"/>
    <w:rsid w:val="00FE5441"/>
    <w:rsid w:val="00FE5DB2"/>
    <w:rsid w:val="00FE72A5"/>
    <w:rsid w:val="00FE76F6"/>
    <w:rsid w:val="00FF1FDB"/>
    <w:rsid w:val="00FF7612"/>
    <w:rsid w:val="011B2E38"/>
    <w:rsid w:val="014F09D3"/>
    <w:rsid w:val="01615741"/>
    <w:rsid w:val="01D136C3"/>
    <w:rsid w:val="01DA494C"/>
    <w:rsid w:val="01FE6AD1"/>
    <w:rsid w:val="0235346A"/>
    <w:rsid w:val="025A5526"/>
    <w:rsid w:val="02737E72"/>
    <w:rsid w:val="02865B55"/>
    <w:rsid w:val="02C33B39"/>
    <w:rsid w:val="02C92703"/>
    <w:rsid w:val="02E818DE"/>
    <w:rsid w:val="03093C3C"/>
    <w:rsid w:val="032911FF"/>
    <w:rsid w:val="037B4CD4"/>
    <w:rsid w:val="03994022"/>
    <w:rsid w:val="03C0318C"/>
    <w:rsid w:val="03C46021"/>
    <w:rsid w:val="041846B5"/>
    <w:rsid w:val="0427262A"/>
    <w:rsid w:val="04D25D6E"/>
    <w:rsid w:val="04DE1B9F"/>
    <w:rsid w:val="04FD4C0A"/>
    <w:rsid w:val="052722A7"/>
    <w:rsid w:val="055B0C43"/>
    <w:rsid w:val="05951BA5"/>
    <w:rsid w:val="05A60F67"/>
    <w:rsid w:val="05FF1BD0"/>
    <w:rsid w:val="061C5287"/>
    <w:rsid w:val="062A4B06"/>
    <w:rsid w:val="065B42D2"/>
    <w:rsid w:val="06AC7621"/>
    <w:rsid w:val="06B449E8"/>
    <w:rsid w:val="06EF2962"/>
    <w:rsid w:val="070F74DD"/>
    <w:rsid w:val="07156B69"/>
    <w:rsid w:val="074F7401"/>
    <w:rsid w:val="075876B9"/>
    <w:rsid w:val="07980D6B"/>
    <w:rsid w:val="079B6C48"/>
    <w:rsid w:val="07BA25DA"/>
    <w:rsid w:val="07D872D8"/>
    <w:rsid w:val="07F0265E"/>
    <w:rsid w:val="08061125"/>
    <w:rsid w:val="08270B6E"/>
    <w:rsid w:val="084A5596"/>
    <w:rsid w:val="089E6A7F"/>
    <w:rsid w:val="08D401D8"/>
    <w:rsid w:val="08FB4267"/>
    <w:rsid w:val="08FC2784"/>
    <w:rsid w:val="091F724C"/>
    <w:rsid w:val="093C27E8"/>
    <w:rsid w:val="09441DC3"/>
    <w:rsid w:val="09677F17"/>
    <w:rsid w:val="09D96928"/>
    <w:rsid w:val="09F45CDA"/>
    <w:rsid w:val="0A196D7F"/>
    <w:rsid w:val="0A3227B1"/>
    <w:rsid w:val="0A38682C"/>
    <w:rsid w:val="0A403C01"/>
    <w:rsid w:val="0AED62B0"/>
    <w:rsid w:val="0B7E7969"/>
    <w:rsid w:val="0B9139BA"/>
    <w:rsid w:val="0BD70BDD"/>
    <w:rsid w:val="0BD93022"/>
    <w:rsid w:val="0BFD5CFE"/>
    <w:rsid w:val="0C461145"/>
    <w:rsid w:val="0C5D5313"/>
    <w:rsid w:val="0C6A6E26"/>
    <w:rsid w:val="0C701CE7"/>
    <w:rsid w:val="0CE93FC6"/>
    <w:rsid w:val="0CEC0D29"/>
    <w:rsid w:val="0D181C6E"/>
    <w:rsid w:val="0D2160AD"/>
    <w:rsid w:val="0D282AD2"/>
    <w:rsid w:val="0D604131"/>
    <w:rsid w:val="0D6C0CA2"/>
    <w:rsid w:val="0D7F7494"/>
    <w:rsid w:val="0D835B86"/>
    <w:rsid w:val="0DBD4238"/>
    <w:rsid w:val="0DCF28A1"/>
    <w:rsid w:val="0DE038F1"/>
    <w:rsid w:val="0E0B5ADC"/>
    <w:rsid w:val="0E2C316A"/>
    <w:rsid w:val="0E7058D0"/>
    <w:rsid w:val="0EA8609D"/>
    <w:rsid w:val="0EDE4D23"/>
    <w:rsid w:val="0F065B31"/>
    <w:rsid w:val="0F234269"/>
    <w:rsid w:val="0F432F7D"/>
    <w:rsid w:val="0F512B06"/>
    <w:rsid w:val="0F78649A"/>
    <w:rsid w:val="0FF50DDF"/>
    <w:rsid w:val="0FFA158B"/>
    <w:rsid w:val="106B3C5C"/>
    <w:rsid w:val="10863276"/>
    <w:rsid w:val="10BE3305"/>
    <w:rsid w:val="10F11796"/>
    <w:rsid w:val="113C6D55"/>
    <w:rsid w:val="113D3267"/>
    <w:rsid w:val="114411CF"/>
    <w:rsid w:val="1192681D"/>
    <w:rsid w:val="119C31AD"/>
    <w:rsid w:val="119E5FAB"/>
    <w:rsid w:val="11C43225"/>
    <w:rsid w:val="1241258B"/>
    <w:rsid w:val="127B3EDC"/>
    <w:rsid w:val="12D85FEB"/>
    <w:rsid w:val="13005243"/>
    <w:rsid w:val="13090143"/>
    <w:rsid w:val="136C1265"/>
    <w:rsid w:val="13A62A82"/>
    <w:rsid w:val="13C117BE"/>
    <w:rsid w:val="14213091"/>
    <w:rsid w:val="146B482B"/>
    <w:rsid w:val="14A24235"/>
    <w:rsid w:val="14F75923"/>
    <w:rsid w:val="14FD7476"/>
    <w:rsid w:val="150B3A4D"/>
    <w:rsid w:val="150F76B4"/>
    <w:rsid w:val="15896112"/>
    <w:rsid w:val="159F3D93"/>
    <w:rsid w:val="15C262DE"/>
    <w:rsid w:val="162C162E"/>
    <w:rsid w:val="16342843"/>
    <w:rsid w:val="17064FFA"/>
    <w:rsid w:val="1715657C"/>
    <w:rsid w:val="172B7A6D"/>
    <w:rsid w:val="17447C31"/>
    <w:rsid w:val="174D6CD7"/>
    <w:rsid w:val="17A32A45"/>
    <w:rsid w:val="17D8205C"/>
    <w:rsid w:val="17DD680B"/>
    <w:rsid w:val="17DE5535"/>
    <w:rsid w:val="180F7EA0"/>
    <w:rsid w:val="18573657"/>
    <w:rsid w:val="186965BA"/>
    <w:rsid w:val="187A4051"/>
    <w:rsid w:val="18B05777"/>
    <w:rsid w:val="18D61DE5"/>
    <w:rsid w:val="18E43D2A"/>
    <w:rsid w:val="1906188C"/>
    <w:rsid w:val="196C5B08"/>
    <w:rsid w:val="197A4451"/>
    <w:rsid w:val="198E7FC2"/>
    <w:rsid w:val="19FE0FFC"/>
    <w:rsid w:val="1A240CBD"/>
    <w:rsid w:val="1A2C6E15"/>
    <w:rsid w:val="1A474250"/>
    <w:rsid w:val="1A5672E2"/>
    <w:rsid w:val="1A67124F"/>
    <w:rsid w:val="1B116279"/>
    <w:rsid w:val="1B3A6E7C"/>
    <w:rsid w:val="1B525540"/>
    <w:rsid w:val="1B5A6C2C"/>
    <w:rsid w:val="1B7366C4"/>
    <w:rsid w:val="1B8536C2"/>
    <w:rsid w:val="1B944DE0"/>
    <w:rsid w:val="1BF3616B"/>
    <w:rsid w:val="1C8E5EB0"/>
    <w:rsid w:val="1C983618"/>
    <w:rsid w:val="1CA13AB6"/>
    <w:rsid w:val="1CBE1806"/>
    <w:rsid w:val="1CC90D33"/>
    <w:rsid w:val="1CCF049E"/>
    <w:rsid w:val="1D4A702D"/>
    <w:rsid w:val="1D4C35EE"/>
    <w:rsid w:val="1D4D21F9"/>
    <w:rsid w:val="1D5E59CA"/>
    <w:rsid w:val="1E9269AB"/>
    <w:rsid w:val="1EA772E0"/>
    <w:rsid w:val="1F0B766F"/>
    <w:rsid w:val="1F510700"/>
    <w:rsid w:val="201805BB"/>
    <w:rsid w:val="202B2AD1"/>
    <w:rsid w:val="20586B61"/>
    <w:rsid w:val="20D969A9"/>
    <w:rsid w:val="223F6733"/>
    <w:rsid w:val="224E25F7"/>
    <w:rsid w:val="225079A5"/>
    <w:rsid w:val="228D621F"/>
    <w:rsid w:val="22D24B74"/>
    <w:rsid w:val="23340BFF"/>
    <w:rsid w:val="236741D1"/>
    <w:rsid w:val="239B11C1"/>
    <w:rsid w:val="23B72EC4"/>
    <w:rsid w:val="24641FE2"/>
    <w:rsid w:val="24BD5A48"/>
    <w:rsid w:val="24DC4388"/>
    <w:rsid w:val="24E42B5E"/>
    <w:rsid w:val="250C4699"/>
    <w:rsid w:val="252D380A"/>
    <w:rsid w:val="252D46D4"/>
    <w:rsid w:val="25551A7D"/>
    <w:rsid w:val="259E1D9A"/>
    <w:rsid w:val="25F64A62"/>
    <w:rsid w:val="26351B89"/>
    <w:rsid w:val="26413A7C"/>
    <w:rsid w:val="26831404"/>
    <w:rsid w:val="26C124AA"/>
    <w:rsid w:val="271F4D90"/>
    <w:rsid w:val="27356745"/>
    <w:rsid w:val="277116C7"/>
    <w:rsid w:val="27775FB1"/>
    <w:rsid w:val="277C7C49"/>
    <w:rsid w:val="27BF4197"/>
    <w:rsid w:val="27E865E2"/>
    <w:rsid w:val="27F6251A"/>
    <w:rsid w:val="280F0119"/>
    <w:rsid w:val="285F5C43"/>
    <w:rsid w:val="28B353A4"/>
    <w:rsid w:val="290134AB"/>
    <w:rsid w:val="290E4818"/>
    <w:rsid w:val="292E5AF8"/>
    <w:rsid w:val="293F79F8"/>
    <w:rsid w:val="2A0F0F7D"/>
    <w:rsid w:val="2A3C48D7"/>
    <w:rsid w:val="2A595FE0"/>
    <w:rsid w:val="2A6339FD"/>
    <w:rsid w:val="2A9F04BA"/>
    <w:rsid w:val="2AA31833"/>
    <w:rsid w:val="2AB501B1"/>
    <w:rsid w:val="2AC47FF9"/>
    <w:rsid w:val="2ACB689F"/>
    <w:rsid w:val="2AD72C79"/>
    <w:rsid w:val="2AEB697C"/>
    <w:rsid w:val="2B273182"/>
    <w:rsid w:val="2B28287E"/>
    <w:rsid w:val="2B663DCA"/>
    <w:rsid w:val="2B690E35"/>
    <w:rsid w:val="2B725E2E"/>
    <w:rsid w:val="2B824762"/>
    <w:rsid w:val="2BAE0891"/>
    <w:rsid w:val="2BAE295A"/>
    <w:rsid w:val="2BC53C4F"/>
    <w:rsid w:val="2C4F5413"/>
    <w:rsid w:val="2C5D393E"/>
    <w:rsid w:val="2CB915BF"/>
    <w:rsid w:val="2CDF29EC"/>
    <w:rsid w:val="2CFC5E84"/>
    <w:rsid w:val="2D0960A0"/>
    <w:rsid w:val="2D1D3028"/>
    <w:rsid w:val="2D3765B4"/>
    <w:rsid w:val="2D7132D9"/>
    <w:rsid w:val="2D801130"/>
    <w:rsid w:val="2DA95164"/>
    <w:rsid w:val="2DAB2C4C"/>
    <w:rsid w:val="2DE65545"/>
    <w:rsid w:val="2DEA10A4"/>
    <w:rsid w:val="2E065E15"/>
    <w:rsid w:val="2E880F31"/>
    <w:rsid w:val="2EBD5180"/>
    <w:rsid w:val="2EEC2EBF"/>
    <w:rsid w:val="2F146F4C"/>
    <w:rsid w:val="2F662E71"/>
    <w:rsid w:val="30054C1A"/>
    <w:rsid w:val="302B32F1"/>
    <w:rsid w:val="30341909"/>
    <w:rsid w:val="303F44B9"/>
    <w:rsid w:val="30495113"/>
    <w:rsid w:val="305665A7"/>
    <w:rsid w:val="30CF6095"/>
    <w:rsid w:val="31036440"/>
    <w:rsid w:val="310373D9"/>
    <w:rsid w:val="310C5EFC"/>
    <w:rsid w:val="31671CC5"/>
    <w:rsid w:val="31B96ADD"/>
    <w:rsid w:val="31C2036C"/>
    <w:rsid w:val="31D82A83"/>
    <w:rsid w:val="32463868"/>
    <w:rsid w:val="325B45DF"/>
    <w:rsid w:val="32D50688"/>
    <w:rsid w:val="32F45ED0"/>
    <w:rsid w:val="33671832"/>
    <w:rsid w:val="33776D2E"/>
    <w:rsid w:val="339B60C3"/>
    <w:rsid w:val="33A52BAB"/>
    <w:rsid w:val="33BF5CCA"/>
    <w:rsid w:val="33F70AD6"/>
    <w:rsid w:val="34000267"/>
    <w:rsid w:val="3430176B"/>
    <w:rsid w:val="347A0EE3"/>
    <w:rsid w:val="34B26218"/>
    <w:rsid w:val="34C80B5E"/>
    <w:rsid w:val="34CF25C8"/>
    <w:rsid w:val="34D16778"/>
    <w:rsid w:val="35070581"/>
    <w:rsid w:val="350C1AD9"/>
    <w:rsid w:val="353D6F6B"/>
    <w:rsid w:val="35483AA0"/>
    <w:rsid w:val="356F0D73"/>
    <w:rsid w:val="35796698"/>
    <w:rsid w:val="35973C0F"/>
    <w:rsid w:val="35D17E72"/>
    <w:rsid w:val="36227DB5"/>
    <w:rsid w:val="36275D20"/>
    <w:rsid w:val="362B6D12"/>
    <w:rsid w:val="36907792"/>
    <w:rsid w:val="369656CD"/>
    <w:rsid w:val="36A729CD"/>
    <w:rsid w:val="36AA1EFA"/>
    <w:rsid w:val="36C61BC9"/>
    <w:rsid w:val="36D5068E"/>
    <w:rsid w:val="36DD78DE"/>
    <w:rsid w:val="36EE41F0"/>
    <w:rsid w:val="36F64B18"/>
    <w:rsid w:val="37E10067"/>
    <w:rsid w:val="37F50B32"/>
    <w:rsid w:val="3862254C"/>
    <w:rsid w:val="392408BB"/>
    <w:rsid w:val="397B0DF2"/>
    <w:rsid w:val="39914F3D"/>
    <w:rsid w:val="39A40797"/>
    <w:rsid w:val="39DF4CCC"/>
    <w:rsid w:val="3A4C3C47"/>
    <w:rsid w:val="3A8B2F81"/>
    <w:rsid w:val="3A912F6D"/>
    <w:rsid w:val="3A966060"/>
    <w:rsid w:val="3B1D5897"/>
    <w:rsid w:val="3B226F49"/>
    <w:rsid w:val="3B6254C9"/>
    <w:rsid w:val="3BC95FBF"/>
    <w:rsid w:val="3BDC142B"/>
    <w:rsid w:val="3C5C3C4C"/>
    <w:rsid w:val="3C896008"/>
    <w:rsid w:val="3D116A98"/>
    <w:rsid w:val="3D2804EB"/>
    <w:rsid w:val="3D646BB5"/>
    <w:rsid w:val="3D7F1700"/>
    <w:rsid w:val="3D9A7397"/>
    <w:rsid w:val="3D9B7ED4"/>
    <w:rsid w:val="3DF061FB"/>
    <w:rsid w:val="3DF3229D"/>
    <w:rsid w:val="3E0D7F4D"/>
    <w:rsid w:val="3E36138F"/>
    <w:rsid w:val="3E757720"/>
    <w:rsid w:val="3EDE2AD3"/>
    <w:rsid w:val="3F167E9E"/>
    <w:rsid w:val="3F256345"/>
    <w:rsid w:val="3F4E0FAA"/>
    <w:rsid w:val="3F7976C9"/>
    <w:rsid w:val="3FD11FEB"/>
    <w:rsid w:val="3FE644CA"/>
    <w:rsid w:val="40062DA2"/>
    <w:rsid w:val="4015433D"/>
    <w:rsid w:val="40527268"/>
    <w:rsid w:val="405D5087"/>
    <w:rsid w:val="40842783"/>
    <w:rsid w:val="40890670"/>
    <w:rsid w:val="40A86AC1"/>
    <w:rsid w:val="40B756B8"/>
    <w:rsid w:val="40E73708"/>
    <w:rsid w:val="41040A34"/>
    <w:rsid w:val="4118372D"/>
    <w:rsid w:val="41335FC9"/>
    <w:rsid w:val="414C08A2"/>
    <w:rsid w:val="415E4253"/>
    <w:rsid w:val="418C37E1"/>
    <w:rsid w:val="41CC2635"/>
    <w:rsid w:val="41FF5609"/>
    <w:rsid w:val="421A31B0"/>
    <w:rsid w:val="421E323E"/>
    <w:rsid w:val="422E5CC6"/>
    <w:rsid w:val="424348A3"/>
    <w:rsid w:val="425959B4"/>
    <w:rsid w:val="42670E32"/>
    <w:rsid w:val="42A77882"/>
    <w:rsid w:val="42F669E1"/>
    <w:rsid w:val="431D3010"/>
    <w:rsid w:val="43225772"/>
    <w:rsid w:val="434863BE"/>
    <w:rsid w:val="434B5C56"/>
    <w:rsid w:val="43C041BF"/>
    <w:rsid w:val="43DC0E27"/>
    <w:rsid w:val="4481496D"/>
    <w:rsid w:val="44B36ACE"/>
    <w:rsid w:val="44BC77EC"/>
    <w:rsid w:val="452B3604"/>
    <w:rsid w:val="45AA3B0F"/>
    <w:rsid w:val="45C5329B"/>
    <w:rsid w:val="45EC25C2"/>
    <w:rsid w:val="465C481B"/>
    <w:rsid w:val="46850C8B"/>
    <w:rsid w:val="46D2233C"/>
    <w:rsid w:val="46DA0FD0"/>
    <w:rsid w:val="47056033"/>
    <w:rsid w:val="472E7904"/>
    <w:rsid w:val="477A43F1"/>
    <w:rsid w:val="478E64B4"/>
    <w:rsid w:val="47936743"/>
    <w:rsid w:val="47BA2B76"/>
    <w:rsid w:val="47FB429C"/>
    <w:rsid w:val="48614361"/>
    <w:rsid w:val="48C52015"/>
    <w:rsid w:val="48D10788"/>
    <w:rsid w:val="48E5702B"/>
    <w:rsid w:val="494C6832"/>
    <w:rsid w:val="49690EDC"/>
    <w:rsid w:val="4A5D49A7"/>
    <w:rsid w:val="4A9B5279"/>
    <w:rsid w:val="4AA7140E"/>
    <w:rsid w:val="4AF414C6"/>
    <w:rsid w:val="4B086AD7"/>
    <w:rsid w:val="4B153778"/>
    <w:rsid w:val="4B1E76A5"/>
    <w:rsid w:val="4B44154F"/>
    <w:rsid w:val="4B892AAA"/>
    <w:rsid w:val="4B9D4D6D"/>
    <w:rsid w:val="4C2F21BB"/>
    <w:rsid w:val="4C363F71"/>
    <w:rsid w:val="4C512114"/>
    <w:rsid w:val="4C891825"/>
    <w:rsid w:val="4CAF0C63"/>
    <w:rsid w:val="4D434F37"/>
    <w:rsid w:val="4D872C2D"/>
    <w:rsid w:val="4DA42B01"/>
    <w:rsid w:val="4DB63998"/>
    <w:rsid w:val="4E1D510A"/>
    <w:rsid w:val="4E33529A"/>
    <w:rsid w:val="4E537B49"/>
    <w:rsid w:val="4EAA1951"/>
    <w:rsid w:val="4EAD4631"/>
    <w:rsid w:val="4F0E1AF7"/>
    <w:rsid w:val="4F7B62B4"/>
    <w:rsid w:val="504B72C7"/>
    <w:rsid w:val="50620D6F"/>
    <w:rsid w:val="50802B94"/>
    <w:rsid w:val="509D71CD"/>
    <w:rsid w:val="50A26286"/>
    <w:rsid w:val="51056409"/>
    <w:rsid w:val="51104756"/>
    <w:rsid w:val="51736D6C"/>
    <w:rsid w:val="51890802"/>
    <w:rsid w:val="51B0261D"/>
    <w:rsid w:val="51B55A37"/>
    <w:rsid w:val="521D51AA"/>
    <w:rsid w:val="52810C43"/>
    <w:rsid w:val="52965DD2"/>
    <w:rsid w:val="52F6000E"/>
    <w:rsid w:val="53221C65"/>
    <w:rsid w:val="535C4FE2"/>
    <w:rsid w:val="538D51C5"/>
    <w:rsid w:val="53CC3ADE"/>
    <w:rsid w:val="53EA562E"/>
    <w:rsid w:val="545E7779"/>
    <w:rsid w:val="54621BC2"/>
    <w:rsid w:val="54A06503"/>
    <w:rsid w:val="54D02D1F"/>
    <w:rsid w:val="55006F88"/>
    <w:rsid w:val="551754FD"/>
    <w:rsid w:val="554A02FD"/>
    <w:rsid w:val="55B066E0"/>
    <w:rsid w:val="55EF19D9"/>
    <w:rsid w:val="56121BBE"/>
    <w:rsid w:val="56A8086F"/>
    <w:rsid w:val="5785532F"/>
    <w:rsid w:val="579C2294"/>
    <w:rsid w:val="57CA3325"/>
    <w:rsid w:val="58210772"/>
    <w:rsid w:val="582608A0"/>
    <w:rsid w:val="584C0094"/>
    <w:rsid w:val="58912831"/>
    <w:rsid w:val="58B56E27"/>
    <w:rsid w:val="58FD06B1"/>
    <w:rsid w:val="590E032C"/>
    <w:rsid w:val="59426C92"/>
    <w:rsid w:val="59672CF3"/>
    <w:rsid w:val="59A27512"/>
    <w:rsid w:val="59EA1A56"/>
    <w:rsid w:val="5A010482"/>
    <w:rsid w:val="5AC27CF4"/>
    <w:rsid w:val="5B091427"/>
    <w:rsid w:val="5B17509C"/>
    <w:rsid w:val="5B1C5FB6"/>
    <w:rsid w:val="5B9010D6"/>
    <w:rsid w:val="5BA73880"/>
    <w:rsid w:val="5C3345B7"/>
    <w:rsid w:val="5C567561"/>
    <w:rsid w:val="5C8F6241"/>
    <w:rsid w:val="5CDE6D82"/>
    <w:rsid w:val="5D043EAE"/>
    <w:rsid w:val="5D212BDD"/>
    <w:rsid w:val="5D22290C"/>
    <w:rsid w:val="5D2A1039"/>
    <w:rsid w:val="5D2A65C8"/>
    <w:rsid w:val="5D2F5C69"/>
    <w:rsid w:val="5D557AD9"/>
    <w:rsid w:val="5D62442A"/>
    <w:rsid w:val="5DCF725C"/>
    <w:rsid w:val="5DD169CD"/>
    <w:rsid w:val="5DD26365"/>
    <w:rsid w:val="5E976BC8"/>
    <w:rsid w:val="5F4E20AD"/>
    <w:rsid w:val="5F517840"/>
    <w:rsid w:val="5F865174"/>
    <w:rsid w:val="5F964C32"/>
    <w:rsid w:val="5F9920D2"/>
    <w:rsid w:val="5FB064A7"/>
    <w:rsid w:val="5FC13F0A"/>
    <w:rsid w:val="5FC62184"/>
    <w:rsid w:val="5FD51631"/>
    <w:rsid w:val="5FDE72F6"/>
    <w:rsid w:val="5FFF052E"/>
    <w:rsid w:val="607508FE"/>
    <w:rsid w:val="60F44D6F"/>
    <w:rsid w:val="6128494C"/>
    <w:rsid w:val="619744A2"/>
    <w:rsid w:val="61E1537F"/>
    <w:rsid w:val="62552A87"/>
    <w:rsid w:val="62652A9E"/>
    <w:rsid w:val="629054FC"/>
    <w:rsid w:val="6299512D"/>
    <w:rsid w:val="629A5576"/>
    <w:rsid w:val="62D26DDC"/>
    <w:rsid w:val="62F01C69"/>
    <w:rsid w:val="62F91C62"/>
    <w:rsid w:val="62FE786C"/>
    <w:rsid w:val="63072BCC"/>
    <w:rsid w:val="6315696A"/>
    <w:rsid w:val="63285926"/>
    <w:rsid w:val="6356073C"/>
    <w:rsid w:val="638650FE"/>
    <w:rsid w:val="63C170AD"/>
    <w:rsid w:val="63F15388"/>
    <w:rsid w:val="64016839"/>
    <w:rsid w:val="642072AD"/>
    <w:rsid w:val="645F1DFD"/>
    <w:rsid w:val="64603DE6"/>
    <w:rsid w:val="646E127E"/>
    <w:rsid w:val="64E42B53"/>
    <w:rsid w:val="64FA5ACB"/>
    <w:rsid w:val="65BE7A05"/>
    <w:rsid w:val="65D30E3D"/>
    <w:rsid w:val="663E63C4"/>
    <w:rsid w:val="668F2B06"/>
    <w:rsid w:val="66E61903"/>
    <w:rsid w:val="670A5417"/>
    <w:rsid w:val="673C6ECE"/>
    <w:rsid w:val="675E6B93"/>
    <w:rsid w:val="67F66FA0"/>
    <w:rsid w:val="689C0DA3"/>
    <w:rsid w:val="69150C63"/>
    <w:rsid w:val="69627B1D"/>
    <w:rsid w:val="697F30FA"/>
    <w:rsid w:val="698D3F53"/>
    <w:rsid w:val="6A266B02"/>
    <w:rsid w:val="6A2A2600"/>
    <w:rsid w:val="6AA17E18"/>
    <w:rsid w:val="6AFD504E"/>
    <w:rsid w:val="6B2A6F41"/>
    <w:rsid w:val="6B794D1E"/>
    <w:rsid w:val="6BEF7C67"/>
    <w:rsid w:val="6BF277B0"/>
    <w:rsid w:val="6BF35B12"/>
    <w:rsid w:val="6C3919F6"/>
    <w:rsid w:val="6C4F62CC"/>
    <w:rsid w:val="6C61224A"/>
    <w:rsid w:val="6C637664"/>
    <w:rsid w:val="6C821243"/>
    <w:rsid w:val="6CB42814"/>
    <w:rsid w:val="6D096903"/>
    <w:rsid w:val="6D121BA4"/>
    <w:rsid w:val="6D440804"/>
    <w:rsid w:val="6D5F1A40"/>
    <w:rsid w:val="6D813910"/>
    <w:rsid w:val="6DA53478"/>
    <w:rsid w:val="6E9C533A"/>
    <w:rsid w:val="6E9F3112"/>
    <w:rsid w:val="6F1714D7"/>
    <w:rsid w:val="6F7B648A"/>
    <w:rsid w:val="6FF26397"/>
    <w:rsid w:val="70055143"/>
    <w:rsid w:val="70292EC5"/>
    <w:rsid w:val="705C0FC6"/>
    <w:rsid w:val="707D2C20"/>
    <w:rsid w:val="70A13A10"/>
    <w:rsid w:val="70AF4C61"/>
    <w:rsid w:val="70E316BB"/>
    <w:rsid w:val="71117641"/>
    <w:rsid w:val="71156382"/>
    <w:rsid w:val="719E6475"/>
    <w:rsid w:val="71EE2E5E"/>
    <w:rsid w:val="72811B07"/>
    <w:rsid w:val="72A75400"/>
    <w:rsid w:val="73171221"/>
    <w:rsid w:val="73433195"/>
    <w:rsid w:val="734A5E0F"/>
    <w:rsid w:val="734C0143"/>
    <w:rsid w:val="734D08F1"/>
    <w:rsid w:val="73742FC0"/>
    <w:rsid w:val="737A756E"/>
    <w:rsid w:val="74426AAA"/>
    <w:rsid w:val="746C2E2C"/>
    <w:rsid w:val="74AE50F0"/>
    <w:rsid w:val="753C2968"/>
    <w:rsid w:val="756B4072"/>
    <w:rsid w:val="75A57FB9"/>
    <w:rsid w:val="75B5748A"/>
    <w:rsid w:val="75DA0D53"/>
    <w:rsid w:val="75DD1A41"/>
    <w:rsid w:val="75E7449A"/>
    <w:rsid w:val="76065314"/>
    <w:rsid w:val="76170497"/>
    <w:rsid w:val="767A09C3"/>
    <w:rsid w:val="768B2D96"/>
    <w:rsid w:val="76F35364"/>
    <w:rsid w:val="77A77FDE"/>
    <w:rsid w:val="77F75F89"/>
    <w:rsid w:val="78F138E1"/>
    <w:rsid w:val="79496D12"/>
    <w:rsid w:val="797A3212"/>
    <w:rsid w:val="79B460D7"/>
    <w:rsid w:val="79BC2804"/>
    <w:rsid w:val="79C83864"/>
    <w:rsid w:val="79E50D3A"/>
    <w:rsid w:val="79FD5FD5"/>
    <w:rsid w:val="7A1A1324"/>
    <w:rsid w:val="7A570C5B"/>
    <w:rsid w:val="7A737C87"/>
    <w:rsid w:val="7A745A5C"/>
    <w:rsid w:val="7AA26E1C"/>
    <w:rsid w:val="7ACE4E37"/>
    <w:rsid w:val="7B1F45AC"/>
    <w:rsid w:val="7B265B3C"/>
    <w:rsid w:val="7B324AC3"/>
    <w:rsid w:val="7B387682"/>
    <w:rsid w:val="7B54266E"/>
    <w:rsid w:val="7BA42308"/>
    <w:rsid w:val="7BB068AE"/>
    <w:rsid w:val="7BB45549"/>
    <w:rsid w:val="7BDD3458"/>
    <w:rsid w:val="7C017373"/>
    <w:rsid w:val="7C0977CC"/>
    <w:rsid w:val="7D136B9C"/>
    <w:rsid w:val="7D7332D9"/>
    <w:rsid w:val="7DD476D6"/>
    <w:rsid w:val="7E0C2354"/>
    <w:rsid w:val="7E4C0CAF"/>
    <w:rsid w:val="7E996DD5"/>
    <w:rsid w:val="7EAD35DD"/>
    <w:rsid w:val="7F012B24"/>
    <w:rsid w:val="7F32380E"/>
    <w:rsid w:val="7F5D04B3"/>
    <w:rsid w:val="7F5F1202"/>
    <w:rsid w:val="7FAC7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1"/>
    <w:basedOn w:val="1"/>
    <w:next w:val="1"/>
    <w:qFormat/>
    <w:uiPriority w:val="0"/>
    <w:pPr>
      <w:keepNext/>
      <w:widowControl/>
      <w:numPr>
        <w:ilvl w:val="0"/>
        <w:numId w:val="1"/>
      </w:numPr>
      <w:jc w:val="center"/>
      <w:outlineLvl w:val="0"/>
    </w:pPr>
    <w:rPr>
      <w:rFonts w:ascii="黑体" w:eastAsia="黑体"/>
      <w:kern w:val="0"/>
      <w:sz w:val="52"/>
      <w:szCs w:val="20"/>
    </w:rPr>
  </w:style>
  <w:style w:type="paragraph" w:styleId="4">
    <w:name w:val="heading 2"/>
    <w:basedOn w:val="1"/>
    <w:next w:val="1"/>
    <w:link w:val="80"/>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89"/>
    <w:qFormat/>
    <w:uiPriority w:val="0"/>
    <w:pPr>
      <w:keepNext/>
      <w:keepLines/>
      <w:widowControl/>
      <w:numPr>
        <w:ilvl w:val="2"/>
        <w:numId w:val="1"/>
      </w:numPr>
      <w:spacing w:before="120" w:after="120" w:line="360" w:lineRule="auto"/>
      <w:jc w:val="center"/>
      <w:outlineLvl w:val="2"/>
    </w:pPr>
    <w:rPr>
      <w:b/>
      <w:kern w:val="0"/>
      <w:sz w:val="32"/>
      <w:szCs w:val="20"/>
    </w:rPr>
  </w:style>
  <w:style w:type="paragraph" w:styleId="6">
    <w:name w:val="heading 4"/>
    <w:basedOn w:val="1"/>
    <w:next w:val="1"/>
    <w:qFormat/>
    <w:uiPriority w:val="0"/>
    <w:pPr>
      <w:keepNext/>
      <w:keepLines/>
      <w:widowControl/>
      <w:spacing w:before="120" w:after="120" w:line="360" w:lineRule="auto"/>
      <w:jc w:val="center"/>
      <w:outlineLvl w:val="3"/>
    </w:pPr>
    <w:rPr>
      <w:rFonts w:ascii="Arial" w:hAnsi="Arial" w:eastAsia="黑体"/>
      <w:kern w:val="0"/>
      <w:szCs w:val="20"/>
    </w:rPr>
  </w:style>
  <w:style w:type="paragraph" w:styleId="7">
    <w:name w:val="heading 5"/>
    <w:basedOn w:val="1"/>
    <w:next w:val="1"/>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8">
    <w:name w:val="heading 6"/>
    <w:basedOn w:val="1"/>
    <w:next w:val="1"/>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paragraph" w:styleId="9">
    <w:name w:val="heading 7"/>
    <w:basedOn w:val="1"/>
    <w:next w:val="1"/>
    <w:qFormat/>
    <w:uiPriority w:val="0"/>
    <w:pPr>
      <w:keepNext/>
      <w:keepLines/>
      <w:widowControl/>
      <w:numPr>
        <w:ilvl w:val="6"/>
        <w:numId w:val="1"/>
      </w:numPr>
      <w:spacing w:before="240" w:after="64" w:line="320" w:lineRule="auto"/>
      <w:jc w:val="left"/>
      <w:outlineLvl w:val="6"/>
    </w:pPr>
    <w:rPr>
      <w:b/>
      <w:bCs/>
      <w:kern w:val="0"/>
      <w:sz w:val="24"/>
    </w:rPr>
  </w:style>
  <w:style w:type="paragraph" w:styleId="10">
    <w:name w:val="heading 8"/>
    <w:basedOn w:val="1"/>
    <w:next w:val="1"/>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paragraph" w:styleId="11">
    <w:name w:val="heading 9"/>
    <w:basedOn w:val="1"/>
    <w:next w:val="1"/>
    <w:qFormat/>
    <w:uiPriority w:val="0"/>
    <w:pPr>
      <w:keepNext/>
      <w:keepLines/>
      <w:widowControl/>
      <w:numPr>
        <w:ilvl w:val="8"/>
        <w:numId w:val="1"/>
      </w:numPr>
      <w:spacing w:before="240" w:after="64" w:line="320" w:lineRule="auto"/>
      <w:jc w:val="left"/>
      <w:outlineLvl w:val="8"/>
    </w:pPr>
    <w:rPr>
      <w:rFonts w:ascii="Arial" w:hAnsi="Arial" w:eastAsia="黑体"/>
      <w:kern w:val="0"/>
      <w:sz w:val="21"/>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99"/>
    <w:pPr>
      <w:adjustRightInd w:val="0"/>
      <w:snapToGrid w:val="0"/>
    </w:pPr>
    <w:rPr>
      <w:rFonts w:ascii="Tahoma" w:hAnsi="Tahoma" w:eastAsia="微软雅黑" w:cs="Times New Roman"/>
      <w:sz w:val="22"/>
      <w:szCs w:val="22"/>
      <w:lang w:val="en-US" w:eastAsia="zh-CN" w:bidi="ar-SA"/>
    </w:rPr>
  </w:style>
  <w:style w:type="paragraph" w:styleId="12">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3">
    <w:name w:val="Normal Indent"/>
    <w:basedOn w:val="1"/>
    <w:link w:val="81"/>
    <w:qFormat/>
    <w:uiPriority w:val="0"/>
    <w:pPr>
      <w:ind w:firstLine="420"/>
    </w:pPr>
    <w:rPr>
      <w:sz w:val="21"/>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semiHidden/>
    <w:qFormat/>
    <w:uiPriority w:val="0"/>
    <w:pPr>
      <w:shd w:val="clear" w:color="auto" w:fill="000080"/>
    </w:pPr>
  </w:style>
  <w:style w:type="paragraph" w:styleId="16">
    <w:name w:val="annotation text"/>
    <w:basedOn w:val="1"/>
    <w:semiHidden/>
    <w:qFormat/>
    <w:uiPriority w:val="99"/>
    <w:pPr>
      <w:adjustRightInd w:val="0"/>
      <w:spacing w:line="360" w:lineRule="atLeast"/>
      <w:jc w:val="left"/>
      <w:textAlignment w:val="baseline"/>
    </w:pPr>
    <w:rPr>
      <w:kern w:val="0"/>
      <w:sz w:val="24"/>
      <w:szCs w:val="20"/>
    </w:rPr>
  </w:style>
  <w:style w:type="paragraph" w:styleId="17">
    <w:name w:val="Body Text 3"/>
    <w:basedOn w:val="1"/>
    <w:qFormat/>
    <w:uiPriority w:val="0"/>
    <w:pPr>
      <w:snapToGrid w:val="0"/>
      <w:spacing w:before="50" w:after="50"/>
    </w:pPr>
  </w:style>
  <w:style w:type="paragraph" w:styleId="18">
    <w:name w:val="List Bullet 3"/>
    <w:basedOn w:val="1"/>
    <w:qFormat/>
    <w:uiPriority w:val="0"/>
    <w:pPr>
      <w:numPr>
        <w:ilvl w:val="0"/>
        <w:numId w:val="2"/>
      </w:numPr>
    </w:pPr>
    <w:rPr>
      <w:sz w:val="21"/>
    </w:rPr>
  </w:style>
  <w:style w:type="paragraph" w:styleId="19">
    <w:name w:val="Body Text"/>
    <w:basedOn w:val="1"/>
    <w:next w:val="20"/>
    <w:qFormat/>
    <w:uiPriority w:val="0"/>
    <w:pPr>
      <w:spacing w:line="0" w:lineRule="atLeast"/>
    </w:pPr>
    <w:rPr>
      <w:sz w:val="30"/>
      <w:szCs w:val="20"/>
    </w:rPr>
  </w:style>
  <w:style w:type="paragraph" w:styleId="20">
    <w:name w:val="Body Text First Indent"/>
    <w:basedOn w:val="19"/>
    <w:next w:val="1"/>
    <w:qFormat/>
    <w:uiPriority w:val="0"/>
    <w:pPr>
      <w:spacing w:after="120" w:line="240" w:lineRule="auto"/>
      <w:ind w:firstLine="420" w:firstLineChars="100"/>
    </w:pPr>
    <w:rPr>
      <w:sz w:val="28"/>
    </w:rPr>
  </w:style>
  <w:style w:type="paragraph" w:styleId="21">
    <w:name w:val="Body Text Indent"/>
    <w:basedOn w:val="1"/>
    <w:next w:val="22"/>
    <w:qFormat/>
    <w:uiPriority w:val="0"/>
    <w:pPr>
      <w:widowControl/>
      <w:tabs>
        <w:tab w:val="left" w:pos="0"/>
        <w:tab w:val="left" w:pos="993"/>
        <w:tab w:val="left" w:pos="1134"/>
      </w:tabs>
      <w:spacing w:line="500" w:lineRule="exact"/>
      <w:ind w:firstLine="567"/>
    </w:pPr>
    <w:rPr>
      <w:rFonts w:ascii="宋体"/>
      <w:kern w:val="0"/>
      <w:szCs w:val="20"/>
    </w:rPr>
  </w:style>
  <w:style w:type="paragraph" w:styleId="22">
    <w:name w:val="Body Text First Indent 2"/>
    <w:basedOn w:val="21"/>
    <w:unhideWhenUsed/>
    <w:qFormat/>
    <w:uiPriority w:val="99"/>
    <w:pPr>
      <w:spacing w:after="120" w:line="240" w:lineRule="auto"/>
      <w:ind w:left="420" w:leftChars="200" w:firstLine="420" w:firstLineChars="200"/>
    </w:pPr>
    <w:rPr>
      <w:rFonts w:ascii="Calibri" w:hAnsi="Calibri"/>
      <w:sz w:val="21"/>
      <w:szCs w:val="24"/>
    </w:rPr>
  </w:style>
  <w:style w:type="paragraph" w:styleId="23">
    <w:name w:val="List Number 3"/>
    <w:basedOn w:val="1"/>
    <w:qFormat/>
    <w:uiPriority w:val="0"/>
    <w:pPr>
      <w:numPr>
        <w:ilvl w:val="0"/>
        <w:numId w:val="3"/>
      </w:numPr>
    </w:pPr>
    <w:rPr>
      <w:sz w:val="21"/>
    </w:rPr>
  </w:style>
  <w:style w:type="paragraph" w:styleId="24">
    <w:name w:val="List 2"/>
    <w:basedOn w:val="1"/>
    <w:qFormat/>
    <w:uiPriority w:val="0"/>
    <w:pPr>
      <w:ind w:left="100" w:leftChars="200" w:hanging="200" w:hangingChars="200"/>
    </w:pPr>
  </w:style>
  <w:style w:type="paragraph" w:styleId="25">
    <w:name w:val="Block Text"/>
    <w:basedOn w:val="1"/>
    <w:qFormat/>
    <w:uiPriority w:val="0"/>
    <w:pPr>
      <w:adjustRightInd w:val="0"/>
      <w:ind w:left="420" w:right="33"/>
      <w:jc w:val="left"/>
      <w:textAlignment w:val="baseline"/>
    </w:pPr>
    <w:rPr>
      <w:kern w:val="0"/>
      <w:sz w:val="24"/>
      <w:szCs w:val="20"/>
    </w:rPr>
  </w:style>
  <w:style w:type="paragraph" w:styleId="26">
    <w:name w:val="toc 3"/>
    <w:basedOn w:val="1"/>
    <w:next w:val="1"/>
    <w:semiHidden/>
    <w:qFormat/>
    <w:uiPriority w:val="0"/>
    <w:pPr>
      <w:widowControl/>
      <w:ind w:left="400" w:right="255"/>
    </w:pPr>
    <w:rPr>
      <w:kern w:val="0"/>
      <w:sz w:val="24"/>
      <w:szCs w:val="20"/>
    </w:rPr>
  </w:style>
  <w:style w:type="paragraph" w:styleId="27">
    <w:name w:val="Plain Text"/>
    <w:basedOn w:val="1"/>
    <w:link w:val="73"/>
    <w:qFormat/>
    <w:uiPriority w:val="0"/>
    <w:pPr>
      <w:adjustRightInd w:val="0"/>
      <w:snapToGrid w:val="0"/>
    </w:pPr>
    <w:rPr>
      <w:rFonts w:ascii="宋体" w:hAnsi="Courier New" w:cs="Courier New"/>
      <w:sz w:val="21"/>
      <w:szCs w:val="21"/>
    </w:rPr>
  </w:style>
  <w:style w:type="paragraph" w:styleId="28">
    <w:name w:val="Date"/>
    <w:basedOn w:val="1"/>
    <w:next w:val="1"/>
    <w:qFormat/>
    <w:uiPriority w:val="0"/>
    <w:rPr>
      <w:szCs w:val="20"/>
    </w:rPr>
  </w:style>
  <w:style w:type="paragraph" w:styleId="29">
    <w:name w:val="Body Text Indent 2"/>
    <w:basedOn w:val="1"/>
    <w:qFormat/>
    <w:uiPriority w:val="0"/>
    <w:pPr>
      <w:ind w:firstLine="560" w:firstLineChars="200"/>
    </w:pPr>
    <w:rPr>
      <w:rFonts w:ascii="宋体" w:hAnsi="宋体"/>
      <w:szCs w:val="20"/>
    </w:rPr>
  </w:style>
  <w:style w:type="paragraph" w:styleId="30">
    <w:name w:val="Balloon Text"/>
    <w:basedOn w:val="1"/>
    <w:semiHidden/>
    <w:qFormat/>
    <w:uiPriority w:val="0"/>
    <w:rPr>
      <w:sz w:val="18"/>
      <w:szCs w:val="18"/>
    </w:rPr>
  </w:style>
  <w:style w:type="paragraph" w:styleId="31">
    <w:name w:val="footer"/>
    <w:basedOn w:val="1"/>
    <w:link w:val="78"/>
    <w:qFormat/>
    <w:uiPriority w:val="0"/>
    <w:pPr>
      <w:tabs>
        <w:tab w:val="center" w:pos="4153"/>
        <w:tab w:val="right" w:pos="8306"/>
      </w:tabs>
      <w:snapToGrid w:val="0"/>
      <w:jc w:val="left"/>
    </w:pPr>
    <w:rPr>
      <w:sz w:val="18"/>
      <w:szCs w:val="18"/>
    </w:rPr>
  </w:style>
  <w:style w:type="paragraph" w:styleId="32">
    <w:name w:val="header"/>
    <w:basedOn w:val="1"/>
    <w:next w:val="1"/>
    <w:link w:val="63"/>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style>
  <w:style w:type="paragraph" w:styleId="34">
    <w:name w:val="List"/>
    <w:basedOn w:val="1"/>
    <w:qFormat/>
    <w:uiPriority w:val="0"/>
    <w:pPr>
      <w:ind w:left="200" w:hanging="200" w:hangingChars="200"/>
    </w:pPr>
  </w:style>
  <w:style w:type="paragraph" w:styleId="35">
    <w:name w:val="Body Text Indent 3"/>
    <w:basedOn w:val="1"/>
    <w:qFormat/>
    <w:uiPriority w:val="0"/>
    <w:pPr>
      <w:ind w:firstLine="419" w:firstLineChars="161"/>
    </w:pPr>
    <w:rPr>
      <w:rFonts w:ascii="宋体" w:hAnsi="宋体"/>
      <w:szCs w:val="20"/>
    </w:rPr>
  </w:style>
  <w:style w:type="paragraph" w:styleId="36">
    <w:name w:val="toc 2"/>
    <w:basedOn w:val="1"/>
    <w:next w:val="1"/>
    <w:qFormat/>
    <w:uiPriority w:val="0"/>
    <w:pPr>
      <w:ind w:left="420" w:leftChars="200"/>
    </w:pPr>
  </w:style>
  <w:style w:type="paragraph" w:styleId="37">
    <w:name w:val="Body Text 2"/>
    <w:basedOn w:val="1"/>
    <w:qFormat/>
    <w:uiPriority w:val="0"/>
    <w:pPr>
      <w:widowControl/>
      <w:snapToGrid w:val="0"/>
      <w:spacing w:before="50" w:afterLines="50" w:line="400" w:lineRule="exact"/>
      <w:jc w:val="left"/>
    </w:pPr>
    <w:rPr>
      <w:rFonts w:ascii="宋体" w:hAnsi="宋体"/>
      <w:color w:val="000000"/>
      <w:sz w:val="24"/>
    </w:rPr>
  </w:style>
  <w:style w:type="paragraph" w:styleId="3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9">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qFormat/>
    <w:uiPriority w:val="0"/>
    <w:rPr>
      <w:b/>
      <w:bCs/>
    </w:rPr>
  </w:style>
  <w:style w:type="character" w:styleId="44">
    <w:name w:val="page number"/>
    <w:basedOn w:val="42"/>
    <w:qFormat/>
    <w:uiPriority w:val="0"/>
  </w:style>
  <w:style w:type="character" w:styleId="45">
    <w:name w:val="FollowedHyperlink"/>
    <w:qFormat/>
    <w:uiPriority w:val="99"/>
    <w:rPr>
      <w:color w:val="333333"/>
      <w:u w:val="none"/>
    </w:rPr>
  </w:style>
  <w:style w:type="character" w:styleId="46">
    <w:name w:val="Emphasis"/>
    <w:qFormat/>
    <w:uiPriority w:val="0"/>
    <w:rPr>
      <w:color w:val="CC0033"/>
    </w:rPr>
  </w:style>
  <w:style w:type="character" w:styleId="47">
    <w:name w:val="HTML Definition"/>
    <w:qFormat/>
    <w:uiPriority w:val="0"/>
  </w:style>
  <w:style w:type="character" w:styleId="48">
    <w:name w:val="HTML Typewriter"/>
    <w:qFormat/>
    <w:uiPriority w:val="0"/>
    <w:rPr>
      <w:rFonts w:hint="default" w:ascii="monospace" w:hAnsi="monospace" w:eastAsia="monospace" w:cs="monospace"/>
      <w:sz w:val="20"/>
    </w:rPr>
  </w:style>
  <w:style w:type="character" w:styleId="49">
    <w:name w:val="HTML Acronym"/>
    <w:basedOn w:val="42"/>
    <w:qFormat/>
    <w:uiPriority w:val="0"/>
  </w:style>
  <w:style w:type="character" w:styleId="50">
    <w:name w:val="HTML Variable"/>
    <w:qFormat/>
    <w:uiPriority w:val="0"/>
  </w:style>
  <w:style w:type="character" w:styleId="51">
    <w:name w:val="Hyperlink"/>
    <w:qFormat/>
    <w:uiPriority w:val="99"/>
    <w:rPr>
      <w:color w:val="333333"/>
      <w:u w:val="none"/>
    </w:rPr>
  </w:style>
  <w:style w:type="character" w:styleId="52">
    <w:name w:val="HTML Code"/>
    <w:qFormat/>
    <w:uiPriority w:val="0"/>
    <w:rPr>
      <w:rFonts w:ascii="monospace" w:hAnsi="monospace" w:eastAsia="monospace" w:cs="monospace"/>
      <w:sz w:val="20"/>
    </w:rPr>
  </w:style>
  <w:style w:type="character" w:styleId="53">
    <w:name w:val="annotation reference"/>
    <w:qFormat/>
    <w:uiPriority w:val="0"/>
    <w:rPr>
      <w:rFonts w:ascii="Tahoma" w:hAnsi="Tahoma"/>
      <w:sz w:val="21"/>
      <w:szCs w:val="21"/>
    </w:rPr>
  </w:style>
  <w:style w:type="character" w:styleId="54">
    <w:name w:val="HTML Cite"/>
    <w:qFormat/>
    <w:uiPriority w:val="0"/>
  </w:style>
  <w:style w:type="character" w:styleId="55">
    <w:name w:val="HTML Keyboard"/>
    <w:qFormat/>
    <w:uiPriority w:val="0"/>
    <w:rPr>
      <w:rFonts w:hint="default" w:ascii="monospace" w:hAnsi="monospace" w:eastAsia="monospace" w:cs="monospace"/>
      <w:sz w:val="20"/>
    </w:rPr>
  </w:style>
  <w:style w:type="character" w:styleId="56">
    <w:name w:val="HTML Sample"/>
    <w:qFormat/>
    <w:uiPriority w:val="0"/>
    <w:rPr>
      <w:rFonts w:hint="default" w:ascii="monospace" w:hAnsi="monospace" w:eastAsia="monospace" w:cs="monospace"/>
    </w:rPr>
  </w:style>
  <w:style w:type="paragraph" w:customStyle="1" w:styleId="57">
    <w:name w:val="_Style 1"/>
    <w:qFormat/>
    <w:uiPriority w:val="0"/>
    <w:rPr>
      <w:rFonts w:ascii="Times New Roman" w:hAnsi="Times New Roman" w:eastAsia="宋体" w:cs="Times New Roman"/>
      <w:kern w:val="2"/>
      <w:sz w:val="28"/>
      <w:szCs w:val="22"/>
      <w:lang w:val="en-US" w:eastAsia="zh-CN" w:bidi="ar-SA"/>
    </w:rPr>
  </w:style>
  <w:style w:type="character" w:customStyle="1" w:styleId="58">
    <w:name w:val="font3"/>
    <w:basedOn w:val="42"/>
    <w:qFormat/>
    <w:uiPriority w:val="0"/>
  </w:style>
  <w:style w:type="character" w:customStyle="1" w:styleId="59">
    <w:name w:val="style1"/>
    <w:basedOn w:val="42"/>
    <w:qFormat/>
    <w:uiPriority w:val="0"/>
  </w:style>
  <w:style w:type="character" w:customStyle="1" w:styleId="60">
    <w:name w:val="节标题 1.1 Char Char"/>
    <w:qFormat/>
    <w:uiPriority w:val="0"/>
    <w:rPr>
      <w:rFonts w:ascii="Arial" w:hAnsi="Arial" w:eastAsia="黑体"/>
      <w:b/>
      <w:bCs/>
      <w:kern w:val="2"/>
      <w:sz w:val="32"/>
      <w:szCs w:val="32"/>
      <w:lang w:val="en-US" w:eastAsia="zh-CN" w:bidi="ar-SA"/>
    </w:rPr>
  </w:style>
  <w:style w:type="character" w:customStyle="1" w:styleId="61">
    <w:name w:val="141"/>
    <w:qFormat/>
    <w:uiPriority w:val="0"/>
    <w:rPr>
      <w:color w:val="333333"/>
      <w:sz w:val="21"/>
      <w:szCs w:val="21"/>
      <w:u w:val="none"/>
    </w:rPr>
  </w:style>
  <w:style w:type="character" w:customStyle="1" w:styleId="62">
    <w:name w:val="正文（首行缩进两字） Char Char Char Char1"/>
    <w:qFormat/>
    <w:uiPriority w:val="0"/>
    <w:rPr>
      <w:rFonts w:eastAsia="宋体"/>
      <w:kern w:val="2"/>
      <w:sz w:val="21"/>
      <w:lang w:val="en-US" w:eastAsia="zh-CN" w:bidi="ar-SA"/>
    </w:rPr>
  </w:style>
  <w:style w:type="character" w:customStyle="1" w:styleId="63">
    <w:name w:val="页眉 Char"/>
    <w:link w:val="32"/>
    <w:semiHidden/>
    <w:qFormat/>
    <w:uiPriority w:val="0"/>
    <w:rPr>
      <w:rFonts w:eastAsia="宋体"/>
      <w:kern w:val="2"/>
      <w:sz w:val="18"/>
      <w:szCs w:val="18"/>
      <w:lang w:val="en-US" w:eastAsia="zh-CN" w:bidi="ar-SA"/>
    </w:rPr>
  </w:style>
  <w:style w:type="character" w:customStyle="1" w:styleId="64">
    <w:name w:val="sdtype"/>
    <w:qFormat/>
    <w:uiPriority w:val="0"/>
  </w:style>
  <w:style w:type="character" w:customStyle="1" w:styleId="65">
    <w:name w:val="ptb181"/>
    <w:qFormat/>
    <w:uiPriority w:val="0"/>
    <w:rPr>
      <w:rFonts w:hint="default" w:ascii="Verdana" w:hAnsi="Verdana"/>
      <w:b/>
      <w:bCs/>
      <w:color w:val="000000"/>
      <w:sz w:val="26"/>
      <w:szCs w:val="26"/>
    </w:rPr>
  </w:style>
  <w:style w:type="character" w:customStyle="1" w:styleId="66">
    <w:name w:val="style5"/>
    <w:basedOn w:val="42"/>
    <w:qFormat/>
    <w:uiPriority w:val="0"/>
  </w:style>
  <w:style w:type="character" w:customStyle="1" w:styleId="67">
    <w:name w:val="Char Char1"/>
    <w:qFormat/>
    <w:uiPriority w:val="0"/>
    <w:rPr>
      <w:kern w:val="2"/>
      <w:sz w:val="18"/>
      <w:szCs w:val="18"/>
    </w:rPr>
  </w:style>
  <w:style w:type="character" w:customStyle="1" w:styleId="68">
    <w:name w:val="style51"/>
    <w:qFormat/>
    <w:uiPriority w:val="0"/>
    <w:rPr>
      <w:sz w:val="18"/>
      <w:szCs w:val="18"/>
    </w:rPr>
  </w:style>
  <w:style w:type="character" w:customStyle="1" w:styleId="69">
    <w:name w:val="页脚 Char1"/>
    <w:qFormat/>
    <w:locked/>
    <w:uiPriority w:val="99"/>
    <w:rPr>
      <w:rFonts w:ascii="Tahoma" w:hAnsi="Tahoma" w:eastAsia="黑体"/>
      <w:snapToGrid w:val="0"/>
      <w:sz w:val="18"/>
      <w:szCs w:val="18"/>
      <w:lang w:val="en-US" w:eastAsia="zh-CN" w:bidi="ar-SA"/>
    </w:rPr>
  </w:style>
  <w:style w:type="character" w:customStyle="1" w:styleId="70">
    <w:name w:val="flname7"/>
    <w:basedOn w:val="42"/>
    <w:qFormat/>
    <w:uiPriority w:val="0"/>
  </w:style>
  <w:style w:type="character" w:customStyle="1" w:styleId="71">
    <w:name w:val="标题 1 Char Char"/>
    <w:qFormat/>
    <w:uiPriority w:val="0"/>
    <w:rPr>
      <w:rFonts w:eastAsia="宋体"/>
      <w:b/>
      <w:spacing w:val="-2"/>
      <w:sz w:val="24"/>
      <w:lang w:val="en-US" w:eastAsia="zh-CN" w:bidi="ar-SA"/>
    </w:rPr>
  </w:style>
  <w:style w:type="character" w:customStyle="1" w:styleId="72">
    <w:name w:val="页码1"/>
    <w:basedOn w:val="42"/>
    <w:qFormat/>
    <w:uiPriority w:val="0"/>
  </w:style>
  <w:style w:type="character" w:customStyle="1" w:styleId="73">
    <w:name w:val="纯文本 Char"/>
    <w:link w:val="27"/>
    <w:qFormat/>
    <w:uiPriority w:val="0"/>
    <w:rPr>
      <w:rFonts w:ascii="宋体" w:hAnsi="Courier New" w:eastAsia="宋体" w:cs="Courier New"/>
      <w:kern w:val="2"/>
      <w:sz w:val="21"/>
      <w:szCs w:val="21"/>
      <w:lang w:val="en-US" w:eastAsia="zh-CN" w:bidi="ar-SA"/>
    </w:rPr>
  </w:style>
  <w:style w:type="character" w:customStyle="1" w:styleId="74">
    <w:name w:val="Char Char6"/>
    <w:qFormat/>
    <w:uiPriority w:val="0"/>
    <w:rPr>
      <w:rFonts w:eastAsia="宋体"/>
      <w:kern w:val="2"/>
      <w:sz w:val="18"/>
      <w:szCs w:val="18"/>
      <w:lang w:val="en-US" w:eastAsia="zh-CN" w:bidi="ar-SA"/>
    </w:rPr>
  </w:style>
  <w:style w:type="character" w:customStyle="1" w:styleId="75">
    <w:name w:val="a Char"/>
    <w:link w:val="76"/>
    <w:qFormat/>
    <w:uiPriority w:val="0"/>
    <w:rPr>
      <w:rFonts w:ascii="宋体" w:hAnsi="宋体" w:eastAsia="仿宋_GB2312"/>
      <w:sz w:val="24"/>
      <w:lang w:val="en-US" w:eastAsia="zh-CN" w:bidi="ar-SA"/>
    </w:rPr>
  </w:style>
  <w:style w:type="paragraph" w:customStyle="1" w:styleId="76">
    <w:name w:val="a"/>
    <w:basedOn w:val="1"/>
    <w:link w:val="75"/>
    <w:qFormat/>
    <w:uiPriority w:val="0"/>
    <w:pPr>
      <w:widowControl/>
      <w:spacing w:before="100" w:beforeAutospacing="1" w:after="100" w:afterAutospacing="1"/>
      <w:jc w:val="left"/>
    </w:pPr>
    <w:rPr>
      <w:rFonts w:ascii="宋体" w:hAnsi="宋体" w:eastAsia="仿宋_GB2312"/>
      <w:kern w:val="0"/>
      <w:sz w:val="24"/>
      <w:szCs w:val="20"/>
    </w:rPr>
  </w:style>
  <w:style w:type="character" w:customStyle="1" w:styleId="77">
    <w:name w:val="纯文本 Char2"/>
    <w:qFormat/>
    <w:uiPriority w:val="0"/>
    <w:rPr>
      <w:rFonts w:ascii="宋体" w:hAnsi="Courier New" w:eastAsia="宋体"/>
      <w:kern w:val="2"/>
      <w:sz w:val="24"/>
      <w:szCs w:val="24"/>
      <w:lang w:val="en-US" w:eastAsia="zh-CN" w:bidi="ar-SA"/>
    </w:rPr>
  </w:style>
  <w:style w:type="character" w:customStyle="1" w:styleId="78">
    <w:name w:val="页脚 Char"/>
    <w:link w:val="31"/>
    <w:semiHidden/>
    <w:qFormat/>
    <w:uiPriority w:val="0"/>
    <w:rPr>
      <w:rFonts w:eastAsia="宋体"/>
      <w:kern w:val="2"/>
      <w:sz w:val="18"/>
      <w:szCs w:val="18"/>
      <w:lang w:val="en-US" w:eastAsia="zh-CN" w:bidi="ar-SA"/>
    </w:rPr>
  </w:style>
  <w:style w:type="character" w:customStyle="1" w:styleId="79">
    <w:name w:val="Char Char2"/>
    <w:qFormat/>
    <w:uiPriority w:val="0"/>
    <w:rPr>
      <w:rFonts w:ascii="宋体" w:hAnsi="Courier New" w:eastAsia="宋体"/>
      <w:sz w:val="21"/>
      <w:lang w:val="en-US" w:eastAsia="zh-CN" w:bidi="ar-SA"/>
    </w:rPr>
  </w:style>
  <w:style w:type="character" w:customStyle="1" w:styleId="80">
    <w:name w:val="标题 2 Char"/>
    <w:link w:val="4"/>
    <w:qFormat/>
    <w:uiPriority w:val="0"/>
    <w:rPr>
      <w:rFonts w:ascii="Arial" w:hAnsi="Arial" w:eastAsia="黑体"/>
      <w:b/>
      <w:bCs/>
      <w:kern w:val="2"/>
      <w:sz w:val="32"/>
      <w:szCs w:val="32"/>
      <w:lang w:val="en-US" w:eastAsia="zh-CN" w:bidi="ar-SA"/>
    </w:rPr>
  </w:style>
  <w:style w:type="character" w:customStyle="1" w:styleId="81">
    <w:name w:val="正文缩进 Char"/>
    <w:link w:val="13"/>
    <w:qFormat/>
    <w:uiPriority w:val="0"/>
    <w:rPr>
      <w:rFonts w:eastAsia="宋体"/>
      <w:kern w:val="2"/>
      <w:sz w:val="21"/>
      <w:lang w:val="en-US" w:eastAsia="zh-CN" w:bidi="ar-SA"/>
    </w:rPr>
  </w:style>
  <w:style w:type="character" w:customStyle="1" w:styleId="82">
    <w:name w:val="title14"/>
    <w:basedOn w:val="42"/>
    <w:qFormat/>
    <w:uiPriority w:val="0"/>
  </w:style>
  <w:style w:type="character" w:customStyle="1" w:styleId="83">
    <w:name w:val="正文缩进 Char2"/>
    <w:qFormat/>
    <w:uiPriority w:val="0"/>
    <w:rPr>
      <w:rFonts w:ascii="Tahoma" w:hAnsi="Tahoma" w:eastAsia="宋体"/>
      <w:kern w:val="2"/>
      <w:sz w:val="21"/>
      <w:lang w:val="en-US" w:eastAsia="zh-CN" w:bidi="ar-SA"/>
    </w:rPr>
  </w:style>
  <w:style w:type="character" w:customStyle="1" w:styleId="84">
    <w:name w:val="b titlename wangputoptitle"/>
    <w:basedOn w:val="42"/>
    <w:qFormat/>
    <w:uiPriority w:val="0"/>
  </w:style>
  <w:style w:type="character" w:customStyle="1" w:styleId="85">
    <w:name w:val="Char Char10"/>
    <w:qFormat/>
    <w:uiPriority w:val="0"/>
    <w:rPr>
      <w:rFonts w:ascii="宋体" w:hAnsi="Courier New" w:eastAsia="宋体"/>
      <w:kern w:val="2"/>
      <w:sz w:val="24"/>
      <w:szCs w:val="24"/>
      <w:lang w:val="en-US" w:eastAsia="zh-CN" w:bidi="ar-SA"/>
    </w:rPr>
  </w:style>
  <w:style w:type="character" w:customStyle="1" w:styleId="86">
    <w:name w:val="maywed421"/>
    <w:qFormat/>
    <w:uiPriority w:val="0"/>
    <w:rPr>
      <w:color w:val="366FB6"/>
      <w:u w:val="none"/>
    </w:rPr>
  </w:style>
  <w:style w:type="character" w:customStyle="1" w:styleId="87">
    <w:name w:val="style2"/>
    <w:basedOn w:val="42"/>
    <w:qFormat/>
    <w:uiPriority w:val="0"/>
  </w:style>
  <w:style w:type="character" w:customStyle="1" w:styleId="88">
    <w:name w:val="para"/>
    <w:basedOn w:val="42"/>
    <w:qFormat/>
    <w:uiPriority w:val="0"/>
  </w:style>
  <w:style w:type="character" w:customStyle="1" w:styleId="89">
    <w:name w:val="标题 3 Char"/>
    <w:link w:val="5"/>
    <w:qFormat/>
    <w:uiPriority w:val="0"/>
    <w:rPr>
      <w:rFonts w:eastAsia="宋体"/>
      <w:b/>
      <w:sz w:val="32"/>
      <w:lang w:val="en-US" w:eastAsia="zh-CN" w:bidi="ar-SA"/>
    </w:rPr>
  </w:style>
  <w:style w:type="paragraph" w:customStyle="1" w:styleId="9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91">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2">
    <w:name w:val="+正文"/>
    <w:basedOn w:val="1"/>
    <w:qFormat/>
    <w:uiPriority w:val="0"/>
    <w:pPr>
      <w:spacing w:line="360" w:lineRule="auto"/>
      <w:ind w:firstLine="200" w:firstLineChars="200"/>
    </w:pPr>
    <w:rPr>
      <w:sz w:val="24"/>
      <w:szCs w:val="28"/>
    </w:rPr>
  </w:style>
  <w:style w:type="paragraph" w:customStyle="1" w:styleId="93">
    <w:name w:val="Char Char24 Char Char Char Char"/>
    <w:basedOn w:val="1"/>
    <w:qFormat/>
    <w:uiPriority w:val="0"/>
    <w:pPr>
      <w:widowControl/>
      <w:spacing w:after="160" w:line="240" w:lineRule="exact"/>
      <w:jc w:val="left"/>
    </w:pPr>
    <w:rPr>
      <w:rFonts w:ascii="仿宋_GB2312" w:eastAsia="仿宋_GB2312"/>
      <w:spacing w:val="20"/>
    </w:rPr>
  </w:style>
  <w:style w:type="paragraph" w:customStyle="1" w:styleId="9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5">
    <w:name w:val="Table Paragraph"/>
    <w:basedOn w:val="1"/>
    <w:qFormat/>
    <w:uiPriority w:val="1"/>
    <w:rPr>
      <w:rFonts w:ascii="宋体" w:hAnsi="宋体" w:cs="宋体"/>
      <w:lang w:val="zh-CN" w:bidi="zh-CN"/>
    </w:rPr>
  </w:style>
  <w:style w:type="paragraph" w:customStyle="1" w:styleId="96">
    <w:name w:val="_Style 3"/>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正文段"/>
    <w:basedOn w:val="1"/>
    <w:qFormat/>
    <w:uiPriority w:val="0"/>
    <w:pPr>
      <w:widowControl/>
      <w:snapToGrid w:val="0"/>
      <w:spacing w:afterLines="50"/>
      <w:ind w:firstLine="200" w:firstLineChars="200"/>
    </w:pPr>
    <w:rPr>
      <w:kern w:val="0"/>
      <w:sz w:val="24"/>
      <w:szCs w:val="20"/>
    </w:rPr>
  </w:style>
  <w:style w:type="paragraph" w:customStyle="1" w:styleId="98">
    <w:name w:val="unnamed5"/>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99">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100">
    <w:name w:val="table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101">
    <w:name w:val="Char"/>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102">
    <w:name w:val="Normal Indent1"/>
    <w:basedOn w:val="1"/>
    <w:qFormat/>
    <w:uiPriority w:val="0"/>
    <w:pPr>
      <w:ind w:firstLine="420"/>
    </w:pPr>
    <w:rPr>
      <w:szCs w:val="20"/>
    </w:rPr>
  </w:style>
  <w:style w:type="paragraph" w:customStyle="1" w:styleId="103">
    <w:name w:val="Char Char Char"/>
    <w:basedOn w:val="15"/>
    <w:qFormat/>
    <w:uiPriority w:val="0"/>
    <w:rPr>
      <w:rFonts w:ascii="Tahoma" w:hAnsi="Tahoma"/>
      <w:sz w:val="24"/>
    </w:rPr>
  </w:style>
  <w:style w:type="paragraph" w:customStyle="1" w:styleId="104">
    <w:name w:val="Char Char Char Char Char Char Char"/>
    <w:basedOn w:val="1"/>
    <w:qFormat/>
    <w:uiPriority w:val="0"/>
    <w:pPr>
      <w:tabs>
        <w:tab w:val="left" w:pos="432"/>
      </w:tabs>
      <w:ind w:left="432" w:hanging="432"/>
    </w:pPr>
    <w:rPr>
      <w:rFonts w:ascii="Tahoma" w:hAnsi="Tahoma"/>
      <w:sz w:val="24"/>
      <w:szCs w:val="20"/>
    </w:rPr>
  </w:style>
  <w:style w:type="paragraph" w:customStyle="1" w:styleId="105">
    <w:name w:val="Char Char Char 字元 字元"/>
    <w:basedOn w:val="1"/>
    <w:qFormat/>
    <w:uiPriority w:val="0"/>
    <w:pPr>
      <w:spacing w:line="360" w:lineRule="auto"/>
      <w:ind w:firstLine="200" w:firstLineChars="200"/>
    </w:pPr>
    <w:rPr>
      <w:rFonts w:ascii="宋体" w:hAnsi="宋体" w:cs="宋体"/>
      <w:sz w:val="24"/>
    </w:rPr>
  </w:style>
  <w:style w:type="paragraph" w:customStyle="1" w:styleId="106">
    <w:name w:val="table_1stline"/>
    <w:basedOn w:val="1"/>
    <w:qFormat/>
    <w:uiPriority w:val="0"/>
    <w:pPr>
      <w:widowControl/>
      <w:spacing w:before="120"/>
      <w:jc w:val="left"/>
    </w:pPr>
    <w:rPr>
      <w:bCs/>
      <w:kern w:val="0"/>
      <w:sz w:val="20"/>
      <w:szCs w:val="20"/>
      <w:lang w:val="de-DE" w:eastAsia="de-DE"/>
    </w:rPr>
  </w:style>
  <w:style w:type="paragraph" w:customStyle="1" w:styleId="107">
    <w:name w:val="Char1 Char Char Char"/>
    <w:basedOn w:val="1"/>
    <w:qFormat/>
    <w:uiPriority w:val="0"/>
    <w:rPr>
      <w:rFonts w:ascii="Tahoma" w:hAnsi="Tahoma"/>
      <w:sz w:val="24"/>
      <w:szCs w:val="20"/>
    </w:rPr>
  </w:style>
  <w:style w:type="paragraph" w:customStyle="1" w:styleId="108">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09">
    <w:name w:val="正文2"/>
    <w:basedOn w:val="1"/>
    <w:qFormat/>
    <w:uiPriority w:val="0"/>
    <w:pPr>
      <w:spacing w:before="156" w:line="360" w:lineRule="auto"/>
      <w:ind w:firstLine="510" w:firstLineChars="200"/>
    </w:pPr>
    <w:rPr>
      <w:sz w:val="24"/>
      <w:szCs w:val="20"/>
    </w:rPr>
  </w:style>
  <w:style w:type="paragraph" w:styleId="110">
    <w:name w:val="Quote"/>
    <w:basedOn w:val="1"/>
    <w:next w:val="1"/>
    <w:qFormat/>
    <w:uiPriority w:val="99"/>
    <w:pPr>
      <w:spacing w:before="200" w:after="160"/>
      <w:ind w:left="864" w:right="864"/>
      <w:jc w:val="center"/>
    </w:pPr>
    <w:rPr>
      <w:i/>
      <w:iCs/>
      <w:color w:val="404040"/>
    </w:rPr>
  </w:style>
  <w:style w:type="paragraph" w:customStyle="1" w:styleId="111">
    <w:name w:val="Char Char7 Char"/>
    <w:basedOn w:val="1"/>
    <w:qFormat/>
    <w:uiPriority w:val="0"/>
    <w:pPr>
      <w:tabs>
        <w:tab w:val="left" w:pos="425"/>
      </w:tabs>
      <w:ind w:left="420" w:leftChars="200" w:firstLine="270" w:firstLineChars="150"/>
    </w:pPr>
    <w:rPr>
      <w:sz w:val="21"/>
    </w:rPr>
  </w:style>
  <w:style w:type="paragraph" w:customStyle="1" w:styleId="112">
    <w:name w:val="tabletext"/>
    <w:basedOn w:val="1"/>
    <w:qFormat/>
    <w:uiPriority w:val="0"/>
    <w:pPr>
      <w:widowControl/>
      <w:spacing w:before="100" w:beforeAutospacing="1" w:after="100" w:afterAutospacing="1"/>
      <w:jc w:val="left"/>
    </w:pPr>
    <w:rPr>
      <w:rFonts w:ascii="宋体" w:hAnsi="宋体"/>
      <w:kern w:val="0"/>
      <w:sz w:val="24"/>
    </w:rPr>
  </w:style>
  <w:style w:type="paragraph" w:customStyle="1" w:styleId="113">
    <w:name w:val="paragraph1"/>
    <w:basedOn w:val="1"/>
    <w:qFormat/>
    <w:uiPriority w:val="0"/>
    <w:pPr>
      <w:spacing w:afterLines="30" w:line="360" w:lineRule="auto"/>
      <w:ind w:firstLine="420" w:firstLineChars="200"/>
    </w:pPr>
    <w:rPr>
      <w:rFonts w:eastAsia="楷体_GB2312"/>
      <w:sz w:val="24"/>
      <w:szCs w:val="20"/>
    </w:rPr>
  </w:style>
  <w:style w:type="paragraph" w:customStyle="1" w:styleId="1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15">
    <w:name w:val="table_lines"/>
    <w:basedOn w:val="1"/>
    <w:qFormat/>
    <w:uiPriority w:val="0"/>
    <w:pPr>
      <w:widowControl/>
      <w:jc w:val="left"/>
    </w:pPr>
    <w:rPr>
      <w:kern w:val="0"/>
      <w:sz w:val="20"/>
      <w:szCs w:val="20"/>
      <w:lang w:val="de-DE" w:eastAsia="de-DE"/>
    </w:rPr>
  </w:style>
  <w:style w:type="paragraph" w:customStyle="1" w:styleId="116">
    <w:name w:val="Plain Text1"/>
    <w:basedOn w:val="1"/>
    <w:qFormat/>
    <w:uiPriority w:val="0"/>
    <w:pPr>
      <w:spacing w:beforeLines="50" w:afterLines="50" w:line="400" w:lineRule="exact"/>
    </w:pPr>
    <w:rPr>
      <w:rFonts w:ascii="宋体" w:hAnsi="Courier New"/>
      <w:sz w:val="24"/>
    </w:rPr>
  </w:style>
  <w:style w:type="paragraph" w:customStyle="1" w:styleId="117">
    <w:name w:val="_Style 9"/>
    <w:basedOn w:val="1"/>
    <w:qFormat/>
    <w:uiPriority w:val="0"/>
  </w:style>
  <w:style w:type="paragraph" w:customStyle="1" w:styleId="118">
    <w:name w:val="Char Char Char Char Char Char Char1"/>
    <w:basedOn w:val="1"/>
    <w:qFormat/>
    <w:uiPriority w:val="0"/>
    <w:pPr>
      <w:tabs>
        <w:tab w:val="left" w:pos="432"/>
      </w:tabs>
      <w:ind w:left="432" w:hanging="432"/>
    </w:pPr>
    <w:rPr>
      <w:rFonts w:ascii="Tahoma" w:hAnsi="Tahoma"/>
      <w:sz w:val="24"/>
      <w:szCs w:val="20"/>
    </w:rPr>
  </w:style>
  <w:style w:type="paragraph" w:customStyle="1" w:styleId="119">
    <w:name w:val="列表编号 3 New"/>
    <w:basedOn w:val="1"/>
    <w:qFormat/>
    <w:uiPriority w:val="0"/>
    <w:pPr>
      <w:widowControl/>
      <w:tabs>
        <w:tab w:val="left" w:pos="482"/>
      </w:tabs>
      <w:spacing w:afterLines="50"/>
      <w:ind w:left="432" w:hanging="432"/>
      <w:jc w:val="left"/>
    </w:pPr>
    <w:rPr>
      <w:kern w:val="0"/>
      <w:sz w:val="24"/>
      <w:szCs w:val="20"/>
    </w:rPr>
  </w:style>
  <w:style w:type="paragraph" w:styleId="120">
    <w:name w:val="List Paragraph"/>
    <w:basedOn w:val="1"/>
    <w:qFormat/>
    <w:uiPriority w:val="0"/>
    <w:pPr>
      <w:ind w:firstLine="420" w:firstLineChars="200"/>
    </w:pPr>
    <w:rPr>
      <w:rFonts w:ascii="Calibri" w:hAnsi="Calibri"/>
      <w:sz w:val="21"/>
      <w:szCs w:val="22"/>
    </w:rPr>
  </w:style>
  <w:style w:type="paragraph" w:customStyle="1" w:styleId="121">
    <w:name w:val="样式 表格正文 + 两端对齐"/>
    <w:basedOn w:val="1"/>
    <w:qFormat/>
    <w:uiPriority w:val="0"/>
    <w:pPr>
      <w:spacing w:line="300" w:lineRule="auto"/>
    </w:pPr>
    <w:rPr>
      <w:sz w:val="24"/>
      <w:szCs w:val="20"/>
    </w:rPr>
  </w:style>
  <w:style w:type="paragraph" w:customStyle="1" w:styleId="122">
    <w:name w:val="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23">
    <w:name w:val="默认段落字体 Para Char Char Char Char Char Char Char Char Char1 Char Char Char Char"/>
    <w:basedOn w:val="1"/>
    <w:qFormat/>
    <w:uiPriority w:val="0"/>
    <w:rPr>
      <w:rFonts w:ascii="Tahoma" w:hAnsi="Tahoma"/>
      <w:sz w:val="24"/>
      <w:szCs w:val="20"/>
    </w:rPr>
  </w:style>
  <w:style w:type="paragraph" w:customStyle="1" w:styleId="124">
    <w:name w:val="首行缩进"/>
    <w:basedOn w:val="1"/>
    <w:qFormat/>
    <w:uiPriority w:val="0"/>
    <w:pPr>
      <w:ind w:firstLine="480" w:firstLineChars="200"/>
    </w:pPr>
    <w:rPr>
      <w:lang w:val="zh-CN"/>
    </w:rPr>
  </w:style>
  <w:style w:type="paragraph" w:customStyle="1" w:styleId="125">
    <w:name w:val="Char1"/>
    <w:basedOn w:val="1"/>
    <w:qFormat/>
    <w:uiPriority w:val="0"/>
    <w:rPr>
      <w:rFonts w:ascii="仿宋_GB2312" w:eastAsia="仿宋_GB2312"/>
      <w:b/>
      <w:sz w:val="32"/>
      <w:szCs w:val="32"/>
    </w:rPr>
  </w:style>
  <w:style w:type="paragraph" w:customStyle="1" w:styleId="12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27">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28">
    <w:name w:val="文档正文"/>
    <w:basedOn w:val="1"/>
    <w:qFormat/>
    <w:uiPriority w:val="0"/>
    <w:pPr>
      <w:adjustRightInd w:val="0"/>
      <w:spacing w:line="312" w:lineRule="atLeast"/>
      <w:ind w:firstLine="567"/>
      <w:textAlignment w:val="baseline"/>
    </w:pPr>
    <w:rPr>
      <w:rFonts w:ascii="长城仿宋" w:eastAsia="长城仿宋"/>
      <w:kern w:val="0"/>
      <w:szCs w:val="20"/>
    </w:rPr>
  </w:style>
  <w:style w:type="paragraph" w:customStyle="1" w:styleId="129">
    <w:name w:val="Proposals body"/>
    <w:basedOn w:val="1"/>
    <w:next w:val="1"/>
    <w:qFormat/>
    <w:uiPriority w:val="0"/>
    <w:pPr>
      <w:widowControl/>
      <w:spacing w:line="360" w:lineRule="auto"/>
      <w:jc w:val="left"/>
    </w:pPr>
    <w:rPr>
      <w:rFonts w:ascii="宋体"/>
      <w:snapToGrid w:val="0"/>
      <w:color w:val="000000"/>
      <w:kern w:val="0"/>
      <w:sz w:val="24"/>
      <w:szCs w:val="20"/>
    </w:rPr>
  </w:style>
  <w:style w:type="character" w:customStyle="1" w:styleId="130">
    <w:name w:val="font41"/>
    <w:basedOn w:val="42"/>
    <w:qFormat/>
    <w:uiPriority w:val="0"/>
    <w:rPr>
      <w:rFonts w:hint="eastAsia" w:ascii="等线" w:hAnsi="等线" w:eastAsia="等线" w:cs="等线"/>
      <w:color w:val="000000"/>
      <w:sz w:val="20"/>
      <w:szCs w:val="20"/>
      <w:u w:val="none"/>
    </w:rPr>
  </w:style>
  <w:style w:type="character" w:customStyle="1" w:styleId="131">
    <w:name w:val="font31"/>
    <w:basedOn w:val="42"/>
    <w:qFormat/>
    <w:uiPriority w:val="0"/>
    <w:rPr>
      <w:rFonts w:hint="eastAsia" w:ascii="等线" w:hAnsi="等线" w:eastAsia="等线" w:cs="等线"/>
      <w:b/>
      <w:color w:val="000000"/>
      <w:sz w:val="20"/>
      <w:szCs w:val="20"/>
      <w:u w:val="none"/>
    </w:rPr>
  </w:style>
  <w:style w:type="character" w:customStyle="1" w:styleId="132">
    <w:name w:val="font21"/>
    <w:basedOn w:val="42"/>
    <w:qFormat/>
    <w:uiPriority w:val="0"/>
    <w:rPr>
      <w:rFonts w:hint="eastAsia" w:ascii="等线" w:hAnsi="等线" w:eastAsia="等线" w:cs="等线"/>
      <w:color w:val="000000"/>
      <w:sz w:val="20"/>
      <w:szCs w:val="20"/>
      <w:u w:val="none"/>
    </w:rPr>
  </w:style>
  <w:style w:type="character" w:customStyle="1" w:styleId="133">
    <w:name w:val="font01"/>
    <w:basedOn w:val="42"/>
    <w:qFormat/>
    <w:uiPriority w:val="0"/>
    <w:rPr>
      <w:rFonts w:hint="eastAsia" w:ascii="等线" w:hAnsi="等线" w:eastAsia="等线" w:cs="等线"/>
      <w:b/>
      <w:color w:val="000000"/>
      <w:sz w:val="20"/>
      <w:szCs w:val="20"/>
      <w:u w:val="none"/>
    </w:rPr>
  </w:style>
  <w:style w:type="character" w:customStyle="1" w:styleId="134">
    <w:name w:val="font11"/>
    <w:basedOn w:val="42"/>
    <w:qFormat/>
    <w:uiPriority w:val="0"/>
    <w:rPr>
      <w:rFonts w:hint="eastAsia" w:ascii="宋体" w:hAnsi="宋体" w:eastAsia="宋体" w:cs="宋体"/>
      <w:b/>
      <w:color w:val="000000"/>
      <w:sz w:val="20"/>
      <w:szCs w:val="20"/>
      <w:u w:val="none"/>
    </w:rPr>
  </w:style>
  <w:style w:type="paragraph" w:customStyle="1" w:styleId="135">
    <w:name w:val="Title1"/>
    <w:basedOn w:val="3"/>
    <w:next w:val="136"/>
    <w:qFormat/>
    <w:uiPriority w:val="0"/>
    <w:pPr>
      <w:spacing w:before="240" w:after="240" w:line="360" w:lineRule="auto"/>
      <w:ind w:left="629" w:hanging="629"/>
    </w:pPr>
    <w:rPr>
      <w:sz w:val="36"/>
    </w:rPr>
  </w:style>
  <w:style w:type="paragraph" w:customStyle="1" w:styleId="136">
    <w:name w:val="Title2"/>
    <w:basedOn w:val="4"/>
    <w:next w:val="27"/>
    <w:qFormat/>
    <w:uiPriority w:val="0"/>
    <w:pPr>
      <w:spacing w:before="200" w:after="200" w:line="360" w:lineRule="auto"/>
      <w:ind w:left="629" w:hanging="629"/>
      <w:jc w:val="left"/>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60</Pages>
  <Words>5544</Words>
  <Characters>31605</Characters>
  <Lines>263</Lines>
  <Paragraphs>74</Paragraphs>
  <TotalTime>5</TotalTime>
  <ScaleCrop>false</ScaleCrop>
  <LinksUpToDate>false</LinksUpToDate>
  <CharactersWithSpaces>37075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2020-05-29T02:33:00Z</dcterms:created>
  <dc:creator>xueyong</dc:creator>
  <cp:lastModifiedBy>晟妈</cp:lastModifiedBy>
  <cp:lastPrinted>2020-05-12T03:21:00Z</cp:lastPrinted>
  <dcterms:modified xsi:type="dcterms:W3CDTF">2021-01-15T05:05:02Z</dcterms:modified>
  <dc:title>目         录</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