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pPr>
    </w:p>
    <w:p>
      <w:pPr>
        <w:spacing w:line="600" w:lineRule="exact"/>
        <w:jc w:val="center"/>
        <w:rPr>
          <w:rFonts w:ascii="黑体" w:hAnsi="黑体" w:eastAsia="黑体" w:cs="黑体"/>
          <w:sz w:val="44"/>
          <w:szCs w:val="44"/>
        </w:rPr>
      </w:pPr>
      <w:r>
        <w:rPr>
          <w:rFonts w:hint="eastAsia" w:ascii="黑体" w:hAnsi="黑体" w:eastAsia="黑体" w:cs="黑体"/>
          <w:sz w:val="44"/>
          <w:szCs w:val="44"/>
        </w:rPr>
        <w:t>关于加快绿色建筑提质发展的若干意见</w:t>
      </w:r>
      <w:bookmarkStart w:id="0" w:name="_GoBack"/>
      <w:bookmarkEnd w:id="0"/>
    </w:p>
    <w:p>
      <w:pPr>
        <w:spacing w:line="600" w:lineRule="exact"/>
        <w:ind w:firstLine="640" w:firstLineChars="200"/>
        <w:rPr>
          <w:rFonts w:hint="eastAsia" w:ascii="Times New Roman" w:hAnsi="Times New Roman" w:eastAsia="仿宋_GB2312" w:cs="仿宋_GB2312"/>
          <w:sz w:val="32"/>
          <w:szCs w:val="32"/>
        </w:rPr>
      </w:pP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绿色建筑具有安全、健康、舒适、节能等特征，发展绿色建筑是坚持以人民为中心的具体实践。为贯彻落实住建部、人民银行、银保监会《关于支持浙江省湖州市推动绿色建筑和绿色金融协同发展的批复》以及财政部、住建部关于在湖州等六个城市开展政府采购支持绿色建筑、促进绿色建筑品质提升试点工作的通知精神，努力提高全市高星级建筑占城镇新建建筑面积比例，发展壮大绿色建材产业，特提出如下意见。</w:t>
      </w:r>
    </w:p>
    <w:p>
      <w:pPr>
        <w:spacing w:line="60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一、深化建筑业供给侧改革，加快提升绿色建筑供给</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全市年度新出让土地中，公共建筑项目及政府投资项目按照二星级以上绿色建筑标准建设。其中，南太湖新区长东片区所有公共建筑和居住建筑均按照二星级以上绿色建筑标准建设。（责任单位：市自然资源和规划局、市住房和城乡建设局，各区县人民政府，南太湖新区管委会）</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2.对达到星级的绿色建筑，按照星级等级给予容积率叠加奖励，其中一星级绿色建筑奖励1%，二星级绿色建筑奖励2%，三星级建筑奖励3%。（责任单位：市建设局、市自然资源和规划局）</w:t>
      </w:r>
    </w:p>
    <w:p>
      <w:pPr>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3.对本地民营企业或金融机构发行的绿色建筑相关债券的，按照实际募集金额的1</w:t>
      </w:r>
      <w:r>
        <w:rPr>
          <w:rFonts w:ascii="Times New Roman" w:hAnsi="Times New Roman" w:eastAsia="仿宋_GB2312"/>
          <w:kern w:val="0"/>
          <w:sz w:val="32"/>
          <w:szCs w:val="32"/>
        </w:rPr>
        <w:t>‰</w:t>
      </w:r>
      <w:r>
        <w:rPr>
          <w:rFonts w:hint="eastAsia" w:ascii="Times New Roman" w:hAnsi="Times New Roman" w:eastAsia="仿宋_GB2312" w:cs="仿宋_GB2312"/>
          <w:kern w:val="0"/>
          <w:sz w:val="32"/>
          <w:szCs w:val="32"/>
        </w:rPr>
        <w:t>给予补助，最高补助50万元。（责任单位：市财政局、市金融办）</w:t>
      </w:r>
    </w:p>
    <w:p>
      <w:pPr>
        <w:adjustRightInd w:val="0"/>
        <w:snapToGrid w:val="0"/>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4.对绿色建筑项目主体购买绿色建筑性能保险的，按照不超过保费20%给予补助，单个项目最高补助50万元。（责任单位：市财政局、市金融办、市银保监局）</w:t>
      </w:r>
    </w:p>
    <w:p>
      <w:pPr>
        <w:adjustRightInd w:val="0"/>
        <w:snapToGrid w:val="0"/>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5.金融机构在符合房地产信贷政策规定的前提下，对绿色建筑项目，在规模管理、授信额度、利率定价、审批通道、贷款发放等方面给予区别化支持。（责任单位：市人行、市银保监局）</w:t>
      </w:r>
    </w:p>
    <w:p>
      <w:pPr>
        <w:spacing w:line="60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二、降低绿色建筑消费成本，鼓励引导绿色建筑消费</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6.对使用住房公积金贷款购买新建绿色建筑住房的，贷款额度可上浮，其中一星级最高上浮5%，二星级和三星级最高上浮10%。（责任单位：市住房公积金中心）</w:t>
      </w:r>
    </w:p>
    <w:p>
      <w:pPr>
        <w:adjustRightInd w:val="0"/>
        <w:snapToGrid w:val="0"/>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7.金融机构在符合差别化住房信贷政策的前提下，积极支持居民合理的绿色建筑消费需求，科学进行利率定价，提高相应信贷审批效率。（责任单位：市人行、市银保监局）</w:t>
      </w:r>
    </w:p>
    <w:p>
      <w:pPr>
        <w:adjustRightInd w:val="0"/>
        <w:snapToGrid w:val="0"/>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8.湖州居民在中心城市范围内购买首套绿色建筑商品住房(名下无房产且购买绿色建筑商品住房面积小于144㎡)，按其所缴纳契税地方留成部分的50%给予补助。（责任单位：市建设局、市税务局、市财政局）</w:t>
      </w:r>
    </w:p>
    <w:p>
      <w:pPr>
        <w:spacing w:line="60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三、围绕建筑全产业链升级，大力发展绿色建材产业</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9.对主要产品纳入政府采购目录的绿色建材企业，绿色贷款贴息、担保费率补助等绿色金融政策在现行力度的基础上，按照上浮10%执行，引导金融机构加大金融支持。（责任单位：市财政局、市金融办）</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kern w:val="0"/>
          <w:sz w:val="32"/>
          <w:szCs w:val="32"/>
        </w:rPr>
        <w:t>10.实施绿色建材质量保险制度，对纳入政府采购目录的绿色建材产品，给予一定比例的保费补助。</w:t>
      </w:r>
      <w:r>
        <w:rPr>
          <w:rFonts w:hint="eastAsia" w:ascii="Times New Roman" w:hAnsi="Times New Roman" w:eastAsia="仿宋_GB2312" w:cs="仿宋_GB2312"/>
          <w:sz w:val="32"/>
          <w:szCs w:val="32"/>
        </w:rPr>
        <w:t>（责任单位：市财政局、市金融办）</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11.对政府投资项目使用装配式现代工艺、绿色建材，在项目招标中给予适当加分。并将使用装配式现代工艺、绿色建材项目在建筑信用评价、工程质量评优评奖中作为加分和评分范围。（责任单位：市财政局、市公管办）。</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12.企业投资建设绿色建材产品生产项目，符合《湖州市推动制造业高质量赶超发展实施意见（2020-2022年）》（湖政办发[2020]4号）中的“零土地”技改项目或独立供地项目条件的，可享受生产性设备投资奖励政策。符合湖州市《绿色建材产品采购目录》的投资项目，奖励比例在原基础上提高1%。（责任单位：市财政局、市建设局）</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13.政府投资新建的公共建筑、保障性住房等项目，绿色建材应用比例不低于50%。（责任单位：市建设局、市财政局、市发改委）</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14.对通过绿色产品认证的建材企业给予一次性奖励20万元，每多获得一张绿色产品认证证书再奖励2万元，最高限额30万元。（责任单位：市市场监管局、市建设局、市经信局）</w:t>
      </w:r>
    </w:p>
    <w:p>
      <w:pPr>
        <w:spacing w:line="600" w:lineRule="exact"/>
        <w:ind w:firstLine="640" w:firstLineChars="200"/>
      </w:pPr>
      <w:r>
        <w:rPr>
          <w:rFonts w:hint="eastAsia" w:ascii="Times New Roman" w:hAnsi="Times New Roman" w:eastAsia="仿宋_GB2312" w:cs="仿宋_GB2312"/>
          <w:sz w:val="32"/>
          <w:szCs w:val="32"/>
        </w:rPr>
        <w:t>15.对新建规模达到混凝土预制构件年产能15万立方米以上或钢结构10万吨以上并投产的建筑工业化基地，按相关规定给予一定比例奖励。</w:t>
      </w:r>
      <w:r>
        <w:rPr>
          <w:rFonts w:hint="eastAsia" w:ascii="Times New Roman" w:hAnsi="Times New Roman" w:eastAsia="仿宋_GB2312" w:cs="仿宋_GB2312"/>
          <w:w w:val="90"/>
          <w:sz w:val="32"/>
          <w:szCs w:val="32"/>
        </w:rPr>
        <w:t>（责任单位：市建设局、市财政局）</w:t>
      </w:r>
    </w:p>
    <w:p>
      <w:pPr>
        <w:adjustRightInd w:val="0"/>
        <w:snapToGrid w:val="0"/>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16.绿色建材企业的绿色票据，纳入再贴现政策支持范围。支持绿色建材核心企业接入人民银行征信中心应收账款融资服务平台，为上游小微民营企业提供应收账款质押融资服务</w:t>
      </w:r>
      <w:r>
        <w:rPr>
          <w:rFonts w:hint="eastAsia" w:ascii="Times New Roman" w:hAnsi="Times New Roman" w:eastAsia="仿宋_GB2312" w:cs="仿宋"/>
          <w:snapToGrid w:val="0"/>
          <w:color w:val="000000"/>
          <w:kern w:val="32"/>
          <w:sz w:val="32"/>
          <w:szCs w:val="32"/>
        </w:rPr>
        <w:t>。</w:t>
      </w:r>
      <w:r>
        <w:rPr>
          <w:rFonts w:hint="eastAsia" w:ascii="Times New Roman" w:hAnsi="Times New Roman" w:eastAsia="仿宋_GB2312" w:cs="仿宋_GB2312"/>
          <w:kern w:val="0"/>
          <w:sz w:val="32"/>
          <w:szCs w:val="32"/>
        </w:rPr>
        <w:t>（责任单位：市人行）</w:t>
      </w:r>
    </w:p>
    <w:p>
      <w:pPr>
        <w:adjustRightInd w:val="0"/>
        <w:snapToGrid w:val="0"/>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四、附则</w:t>
      </w:r>
    </w:p>
    <w:p>
      <w:pPr>
        <w:adjustRightInd w:val="0"/>
        <w:snapToGrid w:val="0"/>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1.本意见所称“绿色建筑”，均指依据《湖州市绿色建筑评价导则（试行）》要求评定的一星或以上建筑。本意见所称“绿色建材”，均指纳入湖州市《绿色建材产品采购目录》的建材产品。</w:t>
      </w:r>
    </w:p>
    <w:p>
      <w:pPr>
        <w:adjustRightInd w:val="0"/>
        <w:snapToGrid w:val="0"/>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本意见所涉及财政资金补助的，按照绿色建筑星级等级分档执行，其中一星按全额执行，二星按1.1倍执行，三星按1.3倍执行；涉及地方贡献，按财政体制规定的市、区共享收入分成比例分担。如遇国家重大财政体制调整，政策可作相应修改。对同一事项涉及多项奖励的，不重复安排，按最优惠一项执行。</w:t>
      </w:r>
    </w:p>
    <w:p>
      <w:pPr>
        <w:adjustRightInd w:val="0"/>
        <w:snapToGrid w:val="0"/>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3.本意见中有关政策落实，由市财政局、市金融办、市建设局等相关部门制定具体操作办法。</w:t>
      </w:r>
    </w:p>
    <w:p>
      <w:pPr>
        <w:adjustRightInd w:val="0"/>
        <w:snapToGrid w:val="0"/>
        <w:spacing w:line="600" w:lineRule="exact"/>
        <w:ind w:firstLine="640" w:firstLineChars="200"/>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4.本意见自2021年1月1日起实施，有效期暂定三年。三县参照执行。</w:t>
      </w:r>
    </w:p>
    <w:p>
      <w:pPr>
        <w:pStyle w:val="2"/>
        <w:ind w:left="0" w:leftChars="0" w:firstLine="0" w:firstLineChars="0"/>
        <w:rPr>
          <w:rFonts w:ascii="Times New Roman" w:hAnsi="Times New Roman" w:eastAsia="仿宋_GB2312" w:cs="仿宋_GB2312"/>
          <w:kern w:val="0"/>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30"/>
        <w:szCs w:val="30"/>
      </w:rPr>
      <w:id w:val="3443083"/>
    </w:sdtPr>
    <w:sdtEndPr>
      <w:rPr>
        <w:sz w:val="30"/>
        <w:szCs w:val="30"/>
      </w:rPr>
    </w:sdtEndPr>
    <w:sdtContent>
      <w:p>
        <w:pPr>
          <w:pStyle w:val="6"/>
          <w:jc w:val="center"/>
          <w:rPr>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PAGE   \* MERGEFORMAT </w:instrText>
        </w:r>
        <w:r>
          <w:rPr>
            <w:rFonts w:hint="eastAsia" w:ascii="仿宋_GB2312" w:eastAsia="仿宋_GB2312"/>
            <w:sz w:val="30"/>
            <w:szCs w:val="30"/>
          </w:rPr>
          <w:fldChar w:fldCharType="separate"/>
        </w:r>
        <w:r>
          <w:rPr>
            <w:rFonts w:ascii="仿宋_GB2312" w:eastAsia="仿宋_GB2312"/>
            <w:sz w:val="30"/>
            <w:szCs w:val="30"/>
            <w:lang w:val="zh-CN"/>
          </w:rPr>
          <w:t>26</w:t>
        </w:r>
        <w:r>
          <w:rPr>
            <w:rFonts w:hint="eastAsia" w:ascii="仿宋_GB2312" w:eastAsia="仿宋_GB2312"/>
            <w:sz w:val="30"/>
            <w:szCs w:val="30"/>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FA"/>
    <w:rsid w:val="000020E5"/>
    <w:rsid w:val="000310E0"/>
    <w:rsid w:val="0003260B"/>
    <w:rsid w:val="00037549"/>
    <w:rsid w:val="0004493B"/>
    <w:rsid w:val="0004572F"/>
    <w:rsid w:val="00046D3B"/>
    <w:rsid w:val="00050B1E"/>
    <w:rsid w:val="00052ABA"/>
    <w:rsid w:val="00057B12"/>
    <w:rsid w:val="00057DE7"/>
    <w:rsid w:val="00057EBC"/>
    <w:rsid w:val="000602DE"/>
    <w:rsid w:val="0007265B"/>
    <w:rsid w:val="00083062"/>
    <w:rsid w:val="00085F72"/>
    <w:rsid w:val="00091EAC"/>
    <w:rsid w:val="0009538D"/>
    <w:rsid w:val="000A0190"/>
    <w:rsid w:val="000A1415"/>
    <w:rsid w:val="000A1883"/>
    <w:rsid w:val="000A72DB"/>
    <w:rsid w:val="000C2655"/>
    <w:rsid w:val="000C5672"/>
    <w:rsid w:val="000C5817"/>
    <w:rsid w:val="000C5B0D"/>
    <w:rsid w:val="000D0987"/>
    <w:rsid w:val="000D09C3"/>
    <w:rsid w:val="000E3433"/>
    <w:rsid w:val="000F3AB3"/>
    <w:rsid w:val="000F63EF"/>
    <w:rsid w:val="00102667"/>
    <w:rsid w:val="00103E27"/>
    <w:rsid w:val="001064F4"/>
    <w:rsid w:val="0011109C"/>
    <w:rsid w:val="001333B9"/>
    <w:rsid w:val="00136C58"/>
    <w:rsid w:val="00151FEA"/>
    <w:rsid w:val="00155724"/>
    <w:rsid w:val="00156BF6"/>
    <w:rsid w:val="00156E5A"/>
    <w:rsid w:val="00164613"/>
    <w:rsid w:val="001720E0"/>
    <w:rsid w:val="00186295"/>
    <w:rsid w:val="00197E7E"/>
    <w:rsid w:val="001A717E"/>
    <w:rsid w:val="001A7A60"/>
    <w:rsid w:val="001B5BF6"/>
    <w:rsid w:val="001C0481"/>
    <w:rsid w:val="001D29EB"/>
    <w:rsid w:val="001D3FEF"/>
    <w:rsid w:val="001D5E24"/>
    <w:rsid w:val="001E1549"/>
    <w:rsid w:val="001E7222"/>
    <w:rsid w:val="00200BC5"/>
    <w:rsid w:val="00204AEC"/>
    <w:rsid w:val="00206D7A"/>
    <w:rsid w:val="00213A1B"/>
    <w:rsid w:val="00215221"/>
    <w:rsid w:val="00216F98"/>
    <w:rsid w:val="00231035"/>
    <w:rsid w:val="00253C9B"/>
    <w:rsid w:val="00261309"/>
    <w:rsid w:val="002814F1"/>
    <w:rsid w:val="00292E18"/>
    <w:rsid w:val="0029770B"/>
    <w:rsid w:val="002A0BB8"/>
    <w:rsid w:val="002A29B0"/>
    <w:rsid w:val="002B7863"/>
    <w:rsid w:val="002C0D4A"/>
    <w:rsid w:val="002C2BC2"/>
    <w:rsid w:val="002C586D"/>
    <w:rsid w:val="002D5497"/>
    <w:rsid w:val="002E0382"/>
    <w:rsid w:val="002E228D"/>
    <w:rsid w:val="002F204D"/>
    <w:rsid w:val="002F77DF"/>
    <w:rsid w:val="002F786F"/>
    <w:rsid w:val="00300F63"/>
    <w:rsid w:val="00311DA3"/>
    <w:rsid w:val="00314667"/>
    <w:rsid w:val="00324AFF"/>
    <w:rsid w:val="003326D3"/>
    <w:rsid w:val="003328D5"/>
    <w:rsid w:val="003369A0"/>
    <w:rsid w:val="0035372A"/>
    <w:rsid w:val="00363B6B"/>
    <w:rsid w:val="003647CA"/>
    <w:rsid w:val="003812DB"/>
    <w:rsid w:val="00381AF6"/>
    <w:rsid w:val="003A0A15"/>
    <w:rsid w:val="003A137A"/>
    <w:rsid w:val="003A551B"/>
    <w:rsid w:val="003B055B"/>
    <w:rsid w:val="003B183E"/>
    <w:rsid w:val="003B3945"/>
    <w:rsid w:val="003B3968"/>
    <w:rsid w:val="003B70D7"/>
    <w:rsid w:val="003C0233"/>
    <w:rsid w:val="003D502C"/>
    <w:rsid w:val="003D6BE0"/>
    <w:rsid w:val="003D7552"/>
    <w:rsid w:val="003D7D77"/>
    <w:rsid w:val="003E11A0"/>
    <w:rsid w:val="003E1DF2"/>
    <w:rsid w:val="003E6DC7"/>
    <w:rsid w:val="003F052F"/>
    <w:rsid w:val="003F078A"/>
    <w:rsid w:val="003F0E2C"/>
    <w:rsid w:val="003F2A5F"/>
    <w:rsid w:val="003F37FF"/>
    <w:rsid w:val="00401E12"/>
    <w:rsid w:val="00404932"/>
    <w:rsid w:val="00404B13"/>
    <w:rsid w:val="00405828"/>
    <w:rsid w:val="00410C4B"/>
    <w:rsid w:val="00413B88"/>
    <w:rsid w:val="00431152"/>
    <w:rsid w:val="004522D7"/>
    <w:rsid w:val="00455B5D"/>
    <w:rsid w:val="00457E85"/>
    <w:rsid w:val="00467045"/>
    <w:rsid w:val="00472B3D"/>
    <w:rsid w:val="00480150"/>
    <w:rsid w:val="00481F09"/>
    <w:rsid w:val="00482BC8"/>
    <w:rsid w:val="004854B7"/>
    <w:rsid w:val="0049282A"/>
    <w:rsid w:val="00496309"/>
    <w:rsid w:val="004A17C8"/>
    <w:rsid w:val="004A35D4"/>
    <w:rsid w:val="004B275A"/>
    <w:rsid w:val="004B652A"/>
    <w:rsid w:val="004D0192"/>
    <w:rsid w:val="004E2A49"/>
    <w:rsid w:val="004E41C4"/>
    <w:rsid w:val="004E7A6B"/>
    <w:rsid w:val="004F043A"/>
    <w:rsid w:val="004F48E0"/>
    <w:rsid w:val="005011CC"/>
    <w:rsid w:val="00510BAC"/>
    <w:rsid w:val="00511332"/>
    <w:rsid w:val="00525E0B"/>
    <w:rsid w:val="00531BD6"/>
    <w:rsid w:val="00537F45"/>
    <w:rsid w:val="0054704C"/>
    <w:rsid w:val="005501A1"/>
    <w:rsid w:val="00553038"/>
    <w:rsid w:val="005564B0"/>
    <w:rsid w:val="00557147"/>
    <w:rsid w:val="005625CF"/>
    <w:rsid w:val="00564AF8"/>
    <w:rsid w:val="00565A4E"/>
    <w:rsid w:val="00574DD6"/>
    <w:rsid w:val="0059289F"/>
    <w:rsid w:val="00594552"/>
    <w:rsid w:val="005A1B34"/>
    <w:rsid w:val="005A2B9B"/>
    <w:rsid w:val="005A447F"/>
    <w:rsid w:val="005B6063"/>
    <w:rsid w:val="005B7794"/>
    <w:rsid w:val="005C1A75"/>
    <w:rsid w:val="005C56A7"/>
    <w:rsid w:val="005E5A85"/>
    <w:rsid w:val="005F45D1"/>
    <w:rsid w:val="005F49E2"/>
    <w:rsid w:val="005F5389"/>
    <w:rsid w:val="005F693A"/>
    <w:rsid w:val="00600134"/>
    <w:rsid w:val="00600D32"/>
    <w:rsid w:val="00606779"/>
    <w:rsid w:val="00615460"/>
    <w:rsid w:val="00623A6C"/>
    <w:rsid w:val="00636735"/>
    <w:rsid w:val="00645E86"/>
    <w:rsid w:val="00646D56"/>
    <w:rsid w:val="00650DF3"/>
    <w:rsid w:val="006516D4"/>
    <w:rsid w:val="00651BDE"/>
    <w:rsid w:val="006628E9"/>
    <w:rsid w:val="00662BD4"/>
    <w:rsid w:val="00666735"/>
    <w:rsid w:val="00680253"/>
    <w:rsid w:val="00684232"/>
    <w:rsid w:val="00684CE7"/>
    <w:rsid w:val="00691C05"/>
    <w:rsid w:val="0069382B"/>
    <w:rsid w:val="006967F6"/>
    <w:rsid w:val="00696866"/>
    <w:rsid w:val="006A1CC4"/>
    <w:rsid w:val="006A7E58"/>
    <w:rsid w:val="006B5F50"/>
    <w:rsid w:val="006C2317"/>
    <w:rsid w:val="006C721E"/>
    <w:rsid w:val="006D4EBC"/>
    <w:rsid w:val="006E0F1F"/>
    <w:rsid w:val="006E6433"/>
    <w:rsid w:val="006E7566"/>
    <w:rsid w:val="006F1E49"/>
    <w:rsid w:val="006F2C31"/>
    <w:rsid w:val="006F48C7"/>
    <w:rsid w:val="0070542C"/>
    <w:rsid w:val="007058B7"/>
    <w:rsid w:val="00707F7D"/>
    <w:rsid w:val="007141AC"/>
    <w:rsid w:val="00715919"/>
    <w:rsid w:val="0071779A"/>
    <w:rsid w:val="0072551E"/>
    <w:rsid w:val="007325FA"/>
    <w:rsid w:val="007441A6"/>
    <w:rsid w:val="00746614"/>
    <w:rsid w:val="00751550"/>
    <w:rsid w:val="00757E95"/>
    <w:rsid w:val="00765A0F"/>
    <w:rsid w:val="00781255"/>
    <w:rsid w:val="007862AF"/>
    <w:rsid w:val="00792A4A"/>
    <w:rsid w:val="007B6148"/>
    <w:rsid w:val="007B61E9"/>
    <w:rsid w:val="007C74E5"/>
    <w:rsid w:val="007D1508"/>
    <w:rsid w:val="007E3956"/>
    <w:rsid w:val="007E566E"/>
    <w:rsid w:val="007F383D"/>
    <w:rsid w:val="00802BA0"/>
    <w:rsid w:val="00826642"/>
    <w:rsid w:val="008274D1"/>
    <w:rsid w:val="00844BE3"/>
    <w:rsid w:val="00845CFA"/>
    <w:rsid w:val="00863A72"/>
    <w:rsid w:val="0086451B"/>
    <w:rsid w:val="008651B6"/>
    <w:rsid w:val="008720DD"/>
    <w:rsid w:val="00877D9B"/>
    <w:rsid w:val="00895DEF"/>
    <w:rsid w:val="00897F4E"/>
    <w:rsid w:val="008B4C68"/>
    <w:rsid w:val="008B5C21"/>
    <w:rsid w:val="008B68CF"/>
    <w:rsid w:val="008C46BE"/>
    <w:rsid w:val="008D5A35"/>
    <w:rsid w:val="008E0092"/>
    <w:rsid w:val="008E2D70"/>
    <w:rsid w:val="008E42F5"/>
    <w:rsid w:val="008F0D04"/>
    <w:rsid w:val="008F3502"/>
    <w:rsid w:val="008F5F4E"/>
    <w:rsid w:val="00912D5C"/>
    <w:rsid w:val="00913798"/>
    <w:rsid w:val="009157CF"/>
    <w:rsid w:val="00926A6C"/>
    <w:rsid w:val="00930094"/>
    <w:rsid w:val="009302DA"/>
    <w:rsid w:val="0093377C"/>
    <w:rsid w:val="00943D4C"/>
    <w:rsid w:val="00947150"/>
    <w:rsid w:val="009571CA"/>
    <w:rsid w:val="0096506A"/>
    <w:rsid w:val="009659A6"/>
    <w:rsid w:val="00972B55"/>
    <w:rsid w:val="0097303A"/>
    <w:rsid w:val="009732AE"/>
    <w:rsid w:val="00980ED0"/>
    <w:rsid w:val="009828BD"/>
    <w:rsid w:val="00986747"/>
    <w:rsid w:val="0099214C"/>
    <w:rsid w:val="009A6833"/>
    <w:rsid w:val="009C5F1B"/>
    <w:rsid w:val="009D497C"/>
    <w:rsid w:val="009D6F38"/>
    <w:rsid w:val="009E0B7B"/>
    <w:rsid w:val="009F790D"/>
    <w:rsid w:val="00A05CE7"/>
    <w:rsid w:val="00A111E2"/>
    <w:rsid w:val="00A248C7"/>
    <w:rsid w:val="00A33DAD"/>
    <w:rsid w:val="00A35567"/>
    <w:rsid w:val="00A359D5"/>
    <w:rsid w:val="00A54864"/>
    <w:rsid w:val="00A55585"/>
    <w:rsid w:val="00A742B6"/>
    <w:rsid w:val="00A779F2"/>
    <w:rsid w:val="00A804D6"/>
    <w:rsid w:val="00A8635C"/>
    <w:rsid w:val="00A90E75"/>
    <w:rsid w:val="00A920DF"/>
    <w:rsid w:val="00AA2746"/>
    <w:rsid w:val="00AA2F0A"/>
    <w:rsid w:val="00AA6FAB"/>
    <w:rsid w:val="00AA737A"/>
    <w:rsid w:val="00AB2FBE"/>
    <w:rsid w:val="00AD1546"/>
    <w:rsid w:val="00AD33B0"/>
    <w:rsid w:val="00AE04E4"/>
    <w:rsid w:val="00AE4939"/>
    <w:rsid w:val="00AE7489"/>
    <w:rsid w:val="00AF0249"/>
    <w:rsid w:val="00AF1678"/>
    <w:rsid w:val="00AF389F"/>
    <w:rsid w:val="00B12997"/>
    <w:rsid w:val="00B17EDD"/>
    <w:rsid w:val="00B2141F"/>
    <w:rsid w:val="00B24942"/>
    <w:rsid w:val="00B24DE7"/>
    <w:rsid w:val="00B24F9B"/>
    <w:rsid w:val="00B32715"/>
    <w:rsid w:val="00B32C5B"/>
    <w:rsid w:val="00B4152E"/>
    <w:rsid w:val="00B47401"/>
    <w:rsid w:val="00B51C03"/>
    <w:rsid w:val="00B529A2"/>
    <w:rsid w:val="00B529DB"/>
    <w:rsid w:val="00B53692"/>
    <w:rsid w:val="00B56E3D"/>
    <w:rsid w:val="00B74EF9"/>
    <w:rsid w:val="00B76D92"/>
    <w:rsid w:val="00B77A1C"/>
    <w:rsid w:val="00B86454"/>
    <w:rsid w:val="00B90A5A"/>
    <w:rsid w:val="00B977BD"/>
    <w:rsid w:val="00BA1C2C"/>
    <w:rsid w:val="00BA60A1"/>
    <w:rsid w:val="00BB4B2A"/>
    <w:rsid w:val="00BC2239"/>
    <w:rsid w:val="00BC60BB"/>
    <w:rsid w:val="00BD6171"/>
    <w:rsid w:val="00BE1BEE"/>
    <w:rsid w:val="00BE2BF1"/>
    <w:rsid w:val="00BE4590"/>
    <w:rsid w:val="00BF0274"/>
    <w:rsid w:val="00BF0F73"/>
    <w:rsid w:val="00BF7F59"/>
    <w:rsid w:val="00C1187D"/>
    <w:rsid w:val="00C1755D"/>
    <w:rsid w:val="00C17BBD"/>
    <w:rsid w:val="00C20910"/>
    <w:rsid w:val="00C21A92"/>
    <w:rsid w:val="00C37038"/>
    <w:rsid w:val="00C435ED"/>
    <w:rsid w:val="00C578BA"/>
    <w:rsid w:val="00C66D75"/>
    <w:rsid w:val="00C70495"/>
    <w:rsid w:val="00C70C22"/>
    <w:rsid w:val="00C73844"/>
    <w:rsid w:val="00C74926"/>
    <w:rsid w:val="00C80BE7"/>
    <w:rsid w:val="00C87FE7"/>
    <w:rsid w:val="00CA1828"/>
    <w:rsid w:val="00CA31E5"/>
    <w:rsid w:val="00CA560C"/>
    <w:rsid w:val="00CB12EC"/>
    <w:rsid w:val="00CB1C25"/>
    <w:rsid w:val="00CC3AEA"/>
    <w:rsid w:val="00CC7148"/>
    <w:rsid w:val="00CD23FA"/>
    <w:rsid w:val="00CD2B70"/>
    <w:rsid w:val="00CD6185"/>
    <w:rsid w:val="00CF69D3"/>
    <w:rsid w:val="00D108FC"/>
    <w:rsid w:val="00D26DCE"/>
    <w:rsid w:val="00D30A0B"/>
    <w:rsid w:val="00D364EC"/>
    <w:rsid w:val="00D42ABA"/>
    <w:rsid w:val="00D44BE4"/>
    <w:rsid w:val="00D47175"/>
    <w:rsid w:val="00D51950"/>
    <w:rsid w:val="00D53312"/>
    <w:rsid w:val="00D55CA0"/>
    <w:rsid w:val="00D82317"/>
    <w:rsid w:val="00D84836"/>
    <w:rsid w:val="00D90FB2"/>
    <w:rsid w:val="00DA14A6"/>
    <w:rsid w:val="00DA78F4"/>
    <w:rsid w:val="00DB07F7"/>
    <w:rsid w:val="00DB1457"/>
    <w:rsid w:val="00DB1DDC"/>
    <w:rsid w:val="00DB2A67"/>
    <w:rsid w:val="00DD4633"/>
    <w:rsid w:val="00DE42C1"/>
    <w:rsid w:val="00DE62D5"/>
    <w:rsid w:val="00DF2037"/>
    <w:rsid w:val="00DF72DC"/>
    <w:rsid w:val="00E07EE9"/>
    <w:rsid w:val="00E14512"/>
    <w:rsid w:val="00E1616B"/>
    <w:rsid w:val="00E177AB"/>
    <w:rsid w:val="00E17D67"/>
    <w:rsid w:val="00E26F0A"/>
    <w:rsid w:val="00E3176A"/>
    <w:rsid w:val="00E32FC1"/>
    <w:rsid w:val="00E45B9B"/>
    <w:rsid w:val="00E62AF2"/>
    <w:rsid w:val="00E658DE"/>
    <w:rsid w:val="00E65EEF"/>
    <w:rsid w:val="00E67376"/>
    <w:rsid w:val="00E755D4"/>
    <w:rsid w:val="00E8294F"/>
    <w:rsid w:val="00E87731"/>
    <w:rsid w:val="00E903AE"/>
    <w:rsid w:val="00E91DC3"/>
    <w:rsid w:val="00E97BF4"/>
    <w:rsid w:val="00EA05E9"/>
    <w:rsid w:val="00EA291F"/>
    <w:rsid w:val="00EB5957"/>
    <w:rsid w:val="00EB5B71"/>
    <w:rsid w:val="00EC3CB4"/>
    <w:rsid w:val="00EC676B"/>
    <w:rsid w:val="00EF492B"/>
    <w:rsid w:val="00F04019"/>
    <w:rsid w:val="00F06F32"/>
    <w:rsid w:val="00F108B7"/>
    <w:rsid w:val="00F14441"/>
    <w:rsid w:val="00F1586F"/>
    <w:rsid w:val="00F16451"/>
    <w:rsid w:val="00F2556A"/>
    <w:rsid w:val="00F268F3"/>
    <w:rsid w:val="00F30BE6"/>
    <w:rsid w:val="00F319E6"/>
    <w:rsid w:val="00F325A9"/>
    <w:rsid w:val="00F33E6F"/>
    <w:rsid w:val="00F815A8"/>
    <w:rsid w:val="00F844E9"/>
    <w:rsid w:val="00F91935"/>
    <w:rsid w:val="00F97043"/>
    <w:rsid w:val="00FA1A9B"/>
    <w:rsid w:val="00FA5C4F"/>
    <w:rsid w:val="00FB3D01"/>
    <w:rsid w:val="00FB6C36"/>
    <w:rsid w:val="00FB77FA"/>
    <w:rsid w:val="00FC2DF3"/>
    <w:rsid w:val="00FD6875"/>
    <w:rsid w:val="00FE10F7"/>
    <w:rsid w:val="00FE3ECF"/>
    <w:rsid w:val="0229252A"/>
    <w:rsid w:val="025D4BA3"/>
    <w:rsid w:val="03545554"/>
    <w:rsid w:val="07464E09"/>
    <w:rsid w:val="0F24533C"/>
    <w:rsid w:val="106F6AD2"/>
    <w:rsid w:val="1246151A"/>
    <w:rsid w:val="12B03EBA"/>
    <w:rsid w:val="1BB754B0"/>
    <w:rsid w:val="27CE0C2E"/>
    <w:rsid w:val="282F5ACD"/>
    <w:rsid w:val="55185F6B"/>
    <w:rsid w:val="55D67FAA"/>
    <w:rsid w:val="5A2066DE"/>
    <w:rsid w:val="5B8607A5"/>
    <w:rsid w:val="5FC019AA"/>
    <w:rsid w:val="667D4B85"/>
    <w:rsid w:val="69504E78"/>
    <w:rsid w:val="766265A7"/>
    <w:rsid w:val="7B3D0D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9"/>
    <w:unhideWhenUsed/>
    <w:qFormat/>
    <w:uiPriority w:val="99"/>
    <w:pPr>
      <w:ind w:firstLine="420" w:firstLineChars="200"/>
    </w:pPr>
  </w:style>
  <w:style w:type="paragraph" w:styleId="3">
    <w:name w:val="Body Text Indent"/>
    <w:basedOn w:val="1"/>
    <w:link w:val="18"/>
    <w:semiHidden/>
    <w:unhideWhenUsed/>
    <w:qFormat/>
    <w:uiPriority w:val="99"/>
    <w:pPr>
      <w:spacing w:after="120"/>
      <w:ind w:left="420" w:leftChars="200"/>
    </w:pPr>
  </w:style>
  <w:style w:type="paragraph" w:styleId="4">
    <w:name w:val="Plain Text"/>
    <w:basedOn w:val="1"/>
    <w:link w:val="21"/>
    <w:qFormat/>
    <w:uiPriority w:val="0"/>
    <w:rPr>
      <w:rFonts w:ascii="宋体" w:hAnsi="Courier New" w:cstheme="minorBidi"/>
      <w:szCs w:val="22"/>
    </w:rPr>
  </w:style>
  <w:style w:type="paragraph" w:styleId="5">
    <w:name w:val="Balloon Text"/>
    <w:basedOn w:val="1"/>
    <w:link w:val="20"/>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qFormat/>
    <w:uiPriority w:val="0"/>
    <w:rPr>
      <w:rFonts w:cs="Times New Roman"/>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paragraph" w:customStyle="1" w:styleId="15">
    <w:name w:val="普通(网站)1"/>
    <w:basedOn w:val="1"/>
    <w:qFormat/>
    <w:uiPriority w:val="0"/>
    <w:pPr>
      <w:jc w:val="left"/>
    </w:pPr>
    <w:rPr>
      <w:kern w:val="0"/>
      <w:sz w:val="24"/>
    </w:rPr>
  </w:style>
  <w:style w:type="character" w:customStyle="1" w:styleId="16">
    <w:name w:val="纯文本 Char"/>
    <w:link w:val="17"/>
    <w:qFormat/>
    <w:locked/>
    <w:uiPriority w:val="0"/>
    <w:rPr>
      <w:rFonts w:ascii="宋体" w:hAnsi="Courier New" w:eastAsia="宋体"/>
      <w:szCs w:val="21"/>
    </w:rPr>
  </w:style>
  <w:style w:type="paragraph" w:customStyle="1" w:styleId="17">
    <w:name w:val="纯文本1"/>
    <w:basedOn w:val="1"/>
    <w:link w:val="16"/>
    <w:qFormat/>
    <w:uiPriority w:val="0"/>
    <w:rPr>
      <w:rFonts w:ascii="宋体" w:hAnsi="Courier New" w:cstheme="minorBidi"/>
      <w:szCs w:val="21"/>
    </w:rPr>
  </w:style>
  <w:style w:type="character" w:customStyle="1" w:styleId="18">
    <w:name w:val="正文文本缩进 Char"/>
    <w:basedOn w:val="11"/>
    <w:link w:val="3"/>
    <w:semiHidden/>
    <w:qFormat/>
    <w:uiPriority w:val="99"/>
    <w:rPr>
      <w:rFonts w:ascii="Calibri" w:hAnsi="Calibri" w:eastAsia="宋体" w:cs="Times New Roman"/>
      <w:szCs w:val="24"/>
    </w:rPr>
  </w:style>
  <w:style w:type="character" w:customStyle="1" w:styleId="19">
    <w:name w:val="正文首行缩进 2 Char"/>
    <w:basedOn w:val="18"/>
    <w:link w:val="2"/>
    <w:qFormat/>
    <w:uiPriority w:val="99"/>
    <w:rPr>
      <w:rFonts w:ascii="Calibri" w:hAnsi="Calibri" w:eastAsia="宋体" w:cs="Times New Roman"/>
      <w:szCs w:val="24"/>
    </w:rPr>
  </w:style>
  <w:style w:type="character" w:customStyle="1" w:styleId="20">
    <w:name w:val="批注框文本 Char"/>
    <w:basedOn w:val="11"/>
    <w:link w:val="5"/>
    <w:semiHidden/>
    <w:qFormat/>
    <w:uiPriority w:val="99"/>
    <w:rPr>
      <w:rFonts w:ascii="Calibri" w:hAnsi="Calibri"/>
      <w:kern w:val="2"/>
      <w:sz w:val="18"/>
      <w:szCs w:val="18"/>
    </w:rPr>
  </w:style>
  <w:style w:type="character" w:customStyle="1" w:styleId="21">
    <w:name w:val="纯文本 Char1"/>
    <w:basedOn w:val="11"/>
    <w:link w:val="4"/>
    <w:qFormat/>
    <w:uiPriority w:val="0"/>
    <w:rPr>
      <w:rFonts w:ascii="宋体" w:hAnsi="Courier New"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0E5ABC-6000-4A7A-B7DB-446EB35C024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1822</Words>
  <Characters>10388</Characters>
  <Lines>86</Lines>
  <Paragraphs>24</Paragraphs>
  <TotalTime>609</TotalTime>
  <ScaleCrop>false</ScaleCrop>
  <LinksUpToDate>false</LinksUpToDate>
  <CharactersWithSpaces>12186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2020-12-07T03:33:00Z</dcterms:created>
  <dc:creator>刘登高</dc:creator>
  <cp:lastModifiedBy>晴天</cp:lastModifiedBy>
  <cp:lastPrinted>2020-12-14T02:57:00Z</cp:lastPrinted>
  <dcterms:modified xsi:type="dcterms:W3CDTF">2020-12-16T09:03:14Z</dcterms:modified>
  <cp:revision>608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