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ind w:firstLine="88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湖州市文广旅局</w:t>
      </w:r>
      <w:r>
        <w:rPr>
          <w:rFonts w:hint="eastAsia"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z w:val="44"/>
          <w:szCs w:val="44"/>
        </w:rPr>
        <w:t>年度“双随机一公开”抽查工作计划</w:t>
      </w:r>
    </w:p>
    <w:p>
      <w:pPr>
        <w:ind w:firstLine="640"/>
        <w:rPr>
          <w:rFonts w:ascii="仿宋_GB2312" w:hAnsi="黑体" w:eastAsia="仿宋_GB2312"/>
          <w:sz w:val="32"/>
          <w:szCs w:val="32"/>
        </w:rPr>
      </w:pPr>
    </w:p>
    <w:p>
      <w:pPr>
        <w:ind w:firstLine="64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为进一步落实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全市</w:t>
      </w:r>
      <w:r>
        <w:rPr>
          <w:rFonts w:hint="eastAsia" w:ascii="仿宋_GB2312" w:hAnsi="黑体" w:eastAsia="仿宋_GB2312"/>
          <w:sz w:val="32"/>
          <w:szCs w:val="32"/>
        </w:rPr>
        <w:t>文化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旅游</w:t>
      </w:r>
      <w:r>
        <w:rPr>
          <w:rFonts w:hint="eastAsia" w:ascii="仿宋_GB2312" w:hAnsi="黑体" w:eastAsia="仿宋_GB2312"/>
          <w:sz w:val="32"/>
          <w:szCs w:val="32"/>
        </w:rPr>
        <w:t>市场“双随机一公开”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抽查</w:t>
      </w:r>
      <w:r>
        <w:rPr>
          <w:rFonts w:hint="eastAsia" w:ascii="仿宋_GB2312" w:hAnsi="黑体" w:eastAsia="仿宋_GB2312"/>
          <w:sz w:val="32"/>
          <w:szCs w:val="32"/>
        </w:rPr>
        <w:t>工作，强化对文化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旅游</w:t>
      </w:r>
      <w:r>
        <w:rPr>
          <w:rFonts w:hint="eastAsia" w:ascii="仿宋_GB2312" w:hAnsi="黑体" w:eastAsia="仿宋_GB2312"/>
          <w:sz w:val="32"/>
          <w:szCs w:val="32"/>
        </w:rPr>
        <w:t>市场主体事中事后监管，结合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全</w:t>
      </w:r>
      <w:r>
        <w:rPr>
          <w:rFonts w:hint="eastAsia" w:ascii="仿宋_GB2312" w:hAnsi="黑体" w:eastAsia="仿宋_GB2312"/>
          <w:sz w:val="32"/>
          <w:szCs w:val="32"/>
        </w:rPr>
        <w:t>市文化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旅游</w:t>
      </w:r>
      <w:r>
        <w:rPr>
          <w:rFonts w:hint="eastAsia" w:ascii="仿宋_GB2312" w:hAnsi="黑体" w:eastAsia="仿宋_GB2312"/>
          <w:sz w:val="32"/>
          <w:szCs w:val="32"/>
        </w:rPr>
        <w:t>市场行业特点，制定本年度文化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旅游</w:t>
      </w:r>
      <w:r>
        <w:rPr>
          <w:rFonts w:hint="eastAsia" w:ascii="仿宋_GB2312" w:hAnsi="黑体" w:eastAsia="仿宋_GB2312"/>
          <w:sz w:val="32"/>
          <w:szCs w:val="32"/>
        </w:rPr>
        <w:t>市场“双随机一公开”抽查工作计划。具体内容如下：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为贯彻落实《国务院关于在市场监管领域全面推行部门联合“双随机、一公开”监管的意见》（国发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[2019]5号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）文件精神</w:t>
      </w:r>
      <w:r>
        <w:rPr>
          <w:rFonts w:hint="eastAsia" w:ascii="仿宋_GB2312" w:hAnsi="黑体" w:eastAsia="仿宋_GB2312"/>
          <w:sz w:val="32"/>
          <w:szCs w:val="32"/>
        </w:rPr>
        <w:t>，按省、市政府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统一部署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推动全市文化旅游市场监管领域“双随机、一公开”监管常态化</w:t>
      </w:r>
      <w:r>
        <w:rPr>
          <w:rFonts w:hint="eastAsia" w:ascii="仿宋_GB2312" w:hAnsi="黑体" w:eastAsia="仿宋_GB2312"/>
          <w:sz w:val="32"/>
          <w:szCs w:val="32"/>
        </w:rPr>
        <w:t>，进一步激发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全市</w:t>
      </w:r>
      <w:r>
        <w:rPr>
          <w:rFonts w:hint="eastAsia" w:ascii="仿宋_GB2312" w:hAnsi="黑体" w:eastAsia="仿宋_GB2312"/>
          <w:sz w:val="32"/>
          <w:szCs w:val="32"/>
        </w:rPr>
        <w:t>文化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旅游</w:t>
      </w:r>
      <w:r>
        <w:rPr>
          <w:rFonts w:hint="eastAsia" w:ascii="仿宋_GB2312" w:hAnsi="黑体" w:eastAsia="仿宋_GB2312"/>
          <w:sz w:val="32"/>
          <w:szCs w:val="32"/>
        </w:rPr>
        <w:t>市场活力。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二、抽查工作计划</w:t>
      </w:r>
    </w:p>
    <w:p>
      <w:pPr>
        <w:widowControl/>
        <w:shd w:val="clear" w:color="auto" w:fill="FFFFFF"/>
        <w:ind w:firstLine="640"/>
        <w:rPr>
          <w:rFonts w:ascii="楷体_GB2312" w:hAnsi="宋体" w:eastAsia="楷体_GB2312" w:cs="宋体"/>
          <w:color w:val="333333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333333"/>
          <w:kern w:val="0"/>
          <w:sz w:val="32"/>
          <w:szCs w:val="32"/>
        </w:rPr>
        <w:t>（一）继续完善“两库一单”，实行动态管理</w:t>
      </w:r>
    </w:p>
    <w:p>
      <w:pPr>
        <w:widowControl/>
        <w:shd w:val="clear" w:color="auto" w:fill="FFFFFF"/>
        <w:ind w:firstLine="64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按照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统一部署</w:t>
      </w:r>
      <w:r>
        <w:rPr>
          <w:rFonts w:hint="eastAsia" w:ascii="仿宋_GB2312" w:hAnsi="黑体" w:eastAsia="仿宋_GB2312"/>
          <w:sz w:val="32"/>
          <w:szCs w:val="32"/>
        </w:rPr>
        <w:t>，继续完善文化市场“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一单两库一细则</w:t>
      </w:r>
      <w:r>
        <w:rPr>
          <w:rFonts w:hint="eastAsia" w:ascii="仿宋_GB2312" w:hAnsi="黑体" w:eastAsia="仿宋_GB2312"/>
          <w:sz w:val="32"/>
          <w:szCs w:val="32"/>
        </w:rPr>
        <w:t>”，更新相关信息，对“两库一单”进行动态调整；进一步摸清市场家数、底数，确保监管对象齐全。要对现有持有执法证件的人员、监管事项数进行集中的梳理，确保监管人员合格、监管事项合法。</w:t>
      </w:r>
    </w:p>
    <w:p>
      <w:pPr>
        <w:widowControl/>
        <w:shd w:val="clear" w:color="auto" w:fill="FFFFFF"/>
        <w:ind w:firstLine="640"/>
        <w:rPr>
          <w:rFonts w:ascii="楷体_GB2312" w:hAnsi="宋体" w:eastAsia="楷体_GB2312" w:cs="宋体"/>
          <w:color w:val="333333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333333"/>
          <w:kern w:val="0"/>
          <w:sz w:val="32"/>
          <w:szCs w:val="32"/>
        </w:rPr>
        <w:t>（二）合理确定随机抽查的比例和频次</w:t>
      </w:r>
    </w:p>
    <w:p>
      <w:pPr>
        <w:widowControl/>
        <w:shd w:val="clear" w:color="auto" w:fill="FFFFFF"/>
        <w:ind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根据监管领域实际情况，结合省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文化和旅游厅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年度考核有关指标要求，科学测算并合理确定随机抽查的比例和频次，既要保证必要的抽查覆盖面和工作力度，又要防止检查过多和执法扰民。</w:t>
      </w:r>
    </w:p>
    <w:p>
      <w:pPr>
        <w:widowControl/>
        <w:shd w:val="clear" w:color="auto" w:fill="FFFFFF"/>
        <w:ind w:firstLine="640"/>
        <w:rPr>
          <w:rFonts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抽查次数的规定：20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年度市级每个月不少于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次，全年不少于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12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次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含交叉执法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次、暗访督查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次、跨部门随机抽查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次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，县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市、区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级每个月不少于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次，全年不少于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24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次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含跨部门随机抽查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次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ind w:firstLine="640"/>
        <w:rPr>
          <w:rFonts w:hint="eastAsia"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抽查比例的规定：原则上不得超过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%，</w:t>
      </w:r>
      <w:r>
        <w:rPr>
          <w:rFonts w:hint="eastAsia" w:ascii="仿宋_GB2312" w:hAnsi="Calibri" w:eastAsia="仿宋_GB2312" w:cs="Times New Roman"/>
          <w:sz w:val="32"/>
          <w:szCs w:val="32"/>
        </w:rPr>
        <w:t>在寒暑假、重大节假日、违规经营行为高发时段等重点时间节点，要提高抽查频次，加大随机抽查力度。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在文化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旅游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市场违规经营行为多发的地区，提高抽查频次。根据文化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旅游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市场经营单位信用情况确定抽查机率，对投诉举报多、违法经营行为多发或有严重违法违规记录等情况的文化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旅游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市场经营主体，提高抽中机率，以实现分级分类管理的目的。</w:t>
      </w:r>
    </w:p>
    <w:p>
      <w:pPr>
        <w:widowControl/>
        <w:shd w:val="clear" w:color="auto" w:fill="FFFFFF"/>
        <w:ind w:firstLine="640"/>
        <w:rPr>
          <w:rFonts w:ascii="仿宋_GB2312" w:hAnsi="黑体" w:eastAsia="仿宋_GB2312"/>
          <w:sz w:val="32"/>
          <w:szCs w:val="32"/>
        </w:rPr>
      </w:pPr>
      <w:r>
        <w:rPr>
          <w:rFonts w:hint="eastAsia" w:ascii="楷体_GB2312" w:hAnsi="宋体" w:eastAsia="楷体_GB2312" w:cs="宋体"/>
          <w:color w:val="333333"/>
          <w:kern w:val="0"/>
          <w:sz w:val="32"/>
          <w:szCs w:val="32"/>
        </w:rPr>
        <w:t>（三）深入推进文化</w:t>
      </w:r>
      <w:r>
        <w:rPr>
          <w:rFonts w:hint="eastAsia" w:ascii="楷体_GB2312" w:hAnsi="宋体" w:eastAsia="楷体_GB2312" w:cs="宋体"/>
          <w:color w:val="333333"/>
          <w:kern w:val="0"/>
          <w:sz w:val="32"/>
          <w:szCs w:val="32"/>
          <w:lang w:eastAsia="zh-CN"/>
        </w:rPr>
        <w:t>旅游</w:t>
      </w:r>
      <w:r>
        <w:rPr>
          <w:rFonts w:hint="eastAsia" w:ascii="楷体_GB2312" w:hAnsi="宋体" w:eastAsia="楷体_GB2312" w:cs="宋体"/>
          <w:color w:val="333333"/>
          <w:kern w:val="0"/>
          <w:sz w:val="32"/>
          <w:szCs w:val="32"/>
        </w:rPr>
        <w:t>领域跨部门联合抽查工作</w:t>
      </w:r>
    </w:p>
    <w:p>
      <w:pPr>
        <w:widowControl/>
        <w:shd w:val="clear" w:color="auto" w:fill="FFFFFF"/>
        <w:ind w:firstLine="64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按照省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文化和旅游厅</w:t>
      </w:r>
      <w:r>
        <w:rPr>
          <w:rFonts w:hint="eastAsia" w:ascii="仿宋_GB2312" w:hAnsi="黑体" w:eastAsia="仿宋_GB2312"/>
          <w:sz w:val="32"/>
          <w:szCs w:val="32"/>
        </w:rPr>
        <w:t>和市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市场监管领域“双随机一公开”抽查监管工作领导小组办公室</w:t>
      </w:r>
      <w:r>
        <w:rPr>
          <w:rFonts w:hint="eastAsia" w:ascii="仿宋_GB2312" w:hAnsi="黑体" w:eastAsia="仿宋_GB2312"/>
          <w:sz w:val="32"/>
          <w:szCs w:val="32"/>
        </w:rPr>
        <w:t>有关要求，继续深入开展文化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旅游</w:t>
      </w:r>
      <w:r>
        <w:rPr>
          <w:rFonts w:hint="eastAsia" w:ascii="仿宋_GB2312" w:hAnsi="黑体" w:eastAsia="仿宋_GB2312"/>
          <w:sz w:val="32"/>
          <w:szCs w:val="32"/>
        </w:rPr>
        <w:t>市场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领域</w:t>
      </w:r>
      <w:r>
        <w:rPr>
          <w:rFonts w:hint="eastAsia" w:ascii="仿宋_GB2312" w:hAnsi="黑体" w:eastAsia="仿宋_GB2312"/>
          <w:sz w:val="32"/>
          <w:szCs w:val="32"/>
        </w:rPr>
        <w:t>跨部门“双随机”联合抽查工作。（具体方案另行制定）</w:t>
      </w:r>
    </w:p>
    <w:p>
      <w:pPr>
        <w:widowControl/>
        <w:shd w:val="clear" w:color="auto" w:fill="FFFFFF"/>
        <w:ind w:firstLine="640"/>
        <w:rPr>
          <w:rFonts w:ascii="楷体_GB2312" w:hAnsi="宋体" w:eastAsia="楷体_GB2312" w:cs="宋体"/>
          <w:color w:val="333333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333333"/>
          <w:kern w:val="0"/>
          <w:sz w:val="32"/>
          <w:szCs w:val="32"/>
        </w:rPr>
        <w:t>（四）如实记录检查情况，依法处理违法违规行为，及时公示抽查及处理结果</w:t>
      </w:r>
    </w:p>
    <w:p>
      <w:pPr>
        <w:widowControl/>
        <w:shd w:val="clear" w:color="auto" w:fill="FFFFFF"/>
        <w:ind w:firstLine="690" w:firstLineChars="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依法对被抽查市场主体实施检查，每次检查人员不得少于2人，并出示执法证件，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全面应用浙江省行政执法监管平台和掌上执法开展双随机抽查，及时准确录入检查信息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690" w:firstLineChars="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三、工作要求</w:t>
      </w:r>
    </w:p>
    <w:p>
      <w:pPr>
        <w:widowControl/>
        <w:shd w:val="clear" w:color="auto" w:fill="FFFFFF"/>
        <w:ind w:firstLine="690" w:firstLineChars="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333333"/>
          <w:kern w:val="0"/>
          <w:sz w:val="32"/>
          <w:szCs w:val="32"/>
        </w:rPr>
        <w:t>（一）强化组织领导。</w:t>
      </w:r>
      <w:r>
        <w:rPr>
          <w:rFonts w:hint="eastAsia" w:ascii="仿宋_GB2312" w:eastAsia="仿宋_GB2312"/>
          <w:kern w:val="0"/>
          <w:sz w:val="32"/>
          <w:szCs w:val="32"/>
        </w:rPr>
        <w:t>各级文化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和旅游</w:t>
      </w:r>
      <w:r>
        <w:rPr>
          <w:rFonts w:hint="eastAsia" w:ascii="仿宋_GB2312" w:eastAsia="仿宋_GB2312"/>
          <w:kern w:val="0"/>
          <w:sz w:val="32"/>
          <w:szCs w:val="32"/>
        </w:rPr>
        <w:t>行政部门和文化市场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综合行政执法</w:t>
      </w:r>
      <w:r>
        <w:rPr>
          <w:rFonts w:hint="eastAsia" w:ascii="仿宋_GB2312" w:eastAsia="仿宋_GB2312"/>
          <w:kern w:val="0"/>
          <w:sz w:val="32"/>
          <w:szCs w:val="32"/>
        </w:rPr>
        <w:t>机构，要高度重视“双随机一公开”抽查工作，要按照本计划规定的时间节点，合理调配执法检查力量，加强跨部门协调配合，不断提高检查水平，切实把“双随机一公开”抽查落到实处。</w:t>
      </w:r>
    </w:p>
    <w:p>
      <w:pPr>
        <w:widowControl/>
        <w:shd w:val="clear" w:color="auto" w:fill="FFFFFF"/>
        <w:ind w:firstLine="690" w:firstLineChars="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333333"/>
          <w:kern w:val="0"/>
          <w:sz w:val="32"/>
          <w:szCs w:val="32"/>
        </w:rPr>
        <w:t>（二）严格抽查纪律。</w:t>
      </w:r>
      <w:r>
        <w:rPr>
          <w:rFonts w:hint="eastAsia" w:ascii="仿宋_GB2312" w:eastAsia="仿宋_GB2312"/>
          <w:kern w:val="0"/>
          <w:sz w:val="32"/>
          <w:szCs w:val="32"/>
        </w:rPr>
        <w:t>执法人员对被抽取的市场主体实施检查时，不得妨碍市场主体正常的生产经营活动，不得索取或收受市场主体的财物，不得谋取其他利益。对抽查监管工作中失职渎职和违纪的，将依法依纪严肃处理。</w:t>
      </w:r>
    </w:p>
    <w:p>
      <w:pPr>
        <w:ind w:firstLine="640"/>
        <w:rPr>
          <w:rFonts w:ascii="仿宋_GB2312" w:hAnsi="黑体" w:eastAsia="仿宋_GB2312"/>
          <w:sz w:val="32"/>
          <w:szCs w:val="32"/>
        </w:rPr>
      </w:pPr>
    </w:p>
    <w:p>
      <w:pPr>
        <w:ind w:firstLine="640"/>
        <w:rPr>
          <w:rFonts w:ascii="仿宋_GB2312" w:hAnsi="黑体" w:eastAsia="仿宋_GB2312"/>
          <w:sz w:val="32"/>
          <w:szCs w:val="32"/>
        </w:rPr>
      </w:pPr>
    </w:p>
    <w:p>
      <w:pPr>
        <w:ind w:firstLine="198" w:firstLineChars="62"/>
        <w:rPr>
          <w:rFonts w:ascii="仿宋_GB2312" w:hAnsi="黑体" w:eastAsia="仿宋_GB2312"/>
          <w:sz w:val="32"/>
          <w:szCs w:val="32"/>
        </w:rPr>
      </w:pPr>
    </w:p>
    <w:p>
      <w:pPr>
        <w:ind w:firstLine="198" w:firstLineChars="62"/>
        <w:rPr>
          <w:rFonts w:ascii="仿宋_GB2312" w:hAnsi="黑体" w:eastAsia="仿宋_GB2312"/>
          <w:sz w:val="32"/>
          <w:szCs w:val="32"/>
        </w:rPr>
      </w:pPr>
    </w:p>
    <w:p>
      <w:pPr>
        <w:ind w:firstLine="198" w:firstLineChars="62"/>
        <w:rPr>
          <w:rFonts w:ascii="仿宋_GB2312" w:hAnsi="黑体" w:eastAsia="仿宋_GB2312"/>
          <w:sz w:val="32"/>
          <w:szCs w:val="32"/>
        </w:rPr>
      </w:pPr>
    </w:p>
    <w:p>
      <w:pPr>
        <w:ind w:firstLine="198" w:firstLineChars="62"/>
        <w:rPr>
          <w:rFonts w:ascii="仿宋_GB2312" w:hAnsi="黑体" w:eastAsia="仿宋_GB2312"/>
          <w:sz w:val="32"/>
          <w:szCs w:val="32"/>
        </w:rPr>
      </w:pPr>
    </w:p>
    <w:p>
      <w:pPr>
        <w:ind w:firstLine="198" w:firstLineChars="62"/>
        <w:rPr>
          <w:rFonts w:ascii="仿宋_GB2312" w:hAnsi="黑体" w:eastAsia="仿宋_GB2312"/>
          <w:sz w:val="32"/>
          <w:szCs w:val="32"/>
        </w:rPr>
      </w:pPr>
    </w:p>
    <w:p>
      <w:pPr>
        <w:widowControl/>
        <w:shd w:val="clear" w:color="auto" w:fill="FFFFFF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77" w:bottom="1440" w:left="107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A2"/>
    <w:rsid w:val="00025DBC"/>
    <w:rsid w:val="000E19C2"/>
    <w:rsid w:val="00145D8F"/>
    <w:rsid w:val="001F7B9F"/>
    <w:rsid w:val="00250A91"/>
    <w:rsid w:val="00262845"/>
    <w:rsid w:val="00337EEB"/>
    <w:rsid w:val="00366007"/>
    <w:rsid w:val="003C5EF2"/>
    <w:rsid w:val="00456061"/>
    <w:rsid w:val="004D3ADF"/>
    <w:rsid w:val="005846E9"/>
    <w:rsid w:val="00584B91"/>
    <w:rsid w:val="005E3CC2"/>
    <w:rsid w:val="00630EE2"/>
    <w:rsid w:val="00635DAD"/>
    <w:rsid w:val="006D0445"/>
    <w:rsid w:val="00712B87"/>
    <w:rsid w:val="007D30FA"/>
    <w:rsid w:val="008734A2"/>
    <w:rsid w:val="008C070C"/>
    <w:rsid w:val="008D0731"/>
    <w:rsid w:val="00903845"/>
    <w:rsid w:val="00953FB1"/>
    <w:rsid w:val="00956369"/>
    <w:rsid w:val="0099794C"/>
    <w:rsid w:val="009B2363"/>
    <w:rsid w:val="00A27022"/>
    <w:rsid w:val="00A92EC8"/>
    <w:rsid w:val="00AA5C4C"/>
    <w:rsid w:val="00AB20DF"/>
    <w:rsid w:val="00AE2592"/>
    <w:rsid w:val="00B05390"/>
    <w:rsid w:val="00B41413"/>
    <w:rsid w:val="00B55DCE"/>
    <w:rsid w:val="00B768F3"/>
    <w:rsid w:val="00BD200F"/>
    <w:rsid w:val="00C25F31"/>
    <w:rsid w:val="00C33882"/>
    <w:rsid w:val="00C56067"/>
    <w:rsid w:val="00D15E11"/>
    <w:rsid w:val="00D342BC"/>
    <w:rsid w:val="00D66862"/>
    <w:rsid w:val="00DA4D36"/>
    <w:rsid w:val="00DE1B2B"/>
    <w:rsid w:val="00EB2B33"/>
    <w:rsid w:val="00F426BC"/>
    <w:rsid w:val="00F767A5"/>
    <w:rsid w:val="00FB4C25"/>
    <w:rsid w:val="01B0256A"/>
    <w:rsid w:val="0B0C0DDE"/>
    <w:rsid w:val="2C4446EC"/>
    <w:rsid w:val="2DEA692B"/>
    <w:rsid w:val="30496463"/>
    <w:rsid w:val="30C3607D"/>
    <w:rsid w:val="4080033A"/>
    <w:rsid w:val="43E45339"/>
    <w:rsid w:val="46D05BA0"/>
    <w:rsid w:val="4BCD1634"/>
    <w:rsid w:val="515D55D0"/>
    <w:rsid w:val="54CE0BAF"/>
    <w:rsid w:val="5E9E0DF9"/>
    <w:rsid w:val="5FC443E4"/>
    <w:rsid w:val="6B4D0BD2"/>
    <w:rsid w:val="72B44BCF"/>
    <w:rsid w:val="778C351F"/>
    <w:rsid w:val="78494F89"/>
    <w:rsid w:val="7F76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正文 New"/>
    <w:qFormat/>
    <w:uiPriority w:val="0"/>
    <w:pPr>
      <w:widowControl w:val="0"/>
      <w:autoSpaceDE w:val="0"/>
      <w:autoSpaceDN w:val="0"/>
      <w:snapToGrid w:val="0"/>
      <w:spacing w:line="590" w:lineRule="atLeast"/>
      <w:ind w:firstLine="624" w:firstLineChars="0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08010D-2444-43EE-A8DD-65DF1FE4F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2492</Characters>
  <Lines>20</Lines>
  <Paragraphs>5</Paragraphs>
  <TotalTime>236</TotalTime>
  <ScaleCrop>false</ScaleCrop>
  <LinksUpToDate>false</LinksUpToDate>
  <CharactersWithSpaces>2924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2018-04-02T00:37:00Z</dcterms:created>
  <dc:creator>Administrator</dc:creator>
  <cp:lastModifiedBy>小生</cp:lastModifiedBy>
  <dcterms:modified xsi:type="dcterms:W3CDTF">2020-11-13T07:51:54Z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