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仿宋"/>
        </w:rPr>
      </w:pPr>
      <w:bookmarkStart w:id="0" w:name="_Toc20907"/>
      <w:r>
        <w:rPr>
          <w:rFonts w:hint="eastAsia" w:ascii="宋体" w:hAnsi="宋体" w:cs="仿宋"/>
          <w:b/>
          <w:sz w:val="44"/>
          <w:szCs w:val="44"/>
        </w:rPr>
        <w:t>目  录</w:t>
      </w:r>
      <w:bookmarkEnd w:id="0"/>
    </w:p>
    <w:p>
      <w:pPr>
        <w:adjustRightInd w:val="0"/>
        <w:snapToGrid w:val="0"/>
        <w:spacing w:line="360" w:lineRule="auto"/>
        <w:rPr>
          <w:rFonts w:ascii="宋体" w:hAnsi="宋体" w:cs="仿宋"/>
          <w:sz w:val="30"/>
          <w:szCs w:val="30"/>
        </w:rPr>
      </w:pPr>
    </w:p>
    <w:p>
      <w:pPr>
        <w:adjustRightInd w:val="0"/>
        <w:snapToGrid w:val="0"/>
        <w:spacing w:line="360" w:lineRule="auto"/>
        <w:rPr>
          <w:rFonts w:ascii="宋体" w:hAnsi="宋体" w:cs="仿宋"/>
          <w:sz w:val="30"/>
          <w:szCs w:val="30"/>
        </w:rPr>
      </w:pPr>
    </w:p>
    <w:p>
      <w:pPr>
        <w:pStyle w:val="32"/>
        <w:tabs>
          <w:tab w:val="right" w:leader="dot" w:pos="9532"/>
        </w:tabs>
        <w:spacing w:line="360" w:lineRule="auto"/>
        <w:rPr>
          <w:rFonts w:ascii="宋体" w:hAnsi="宋体" w:cs="仿宋"/>
          <w:sz w:val="30"/>
          <w:szCs w:val="30"/>
        </w:rPr>
      </w:pPr>
      <w:r>
        <w:rPr>
          <w:rFonts w:hint="eastAsia" w:ascii="宋体" w:hAnsi="宋体" w:cs="仿宋"/>
          <w:sz w:val="30"/>
          <w:szCs w:val="30"/>
        </w:rPr>
        <w:fldChar w:fldCharType="begin"/>
      </w:r>
      <w:r>
        <w:rPr>
          <w:rFonts w:hint="eastAsia" w:ascii="宋体" w:hAnsi="宋体" w:cs="仿宋"/>
          <w:sz w:val="30"/>
          <w:szCs w:val="30"/>
        </w:rPr>
        <w:instrText xml:space="preserve">TOC \o "1-2" \h \u </w:instrText>
      </w:r>
      <w:r>
        <w:rPr>
          <w:rFonts w:hint="eastAsia" w:ascii="宋体" w:hAnsi="宋体" w:cs="仿宋"/>
          <w:sz w:val="30"/>
          <w:szCs w:val="30"/>
        </w:rPr>
        <w:fldChar w:fldCharType="separate"/>
      </w:r>
      <w:r>
        <w:fldChar w:fldCharType="begin"/>
      </w:r>
      <w:r>
        <w:instrText xml:space="preserve"> HYPERLINK \l "_Toc28990" </w:instrText>
      </w:r>
      <w:r>
        <w:fldChar w:fldCharType="separate"/>
      </w:r>
      <w:r>
        <w:rPr>
          <w:rFonts w:hint="eastAsia" w:ascii="宋体" w:hAnsi="宋体" w:cs="仿宋"/>
          <w:sz w:val="30"/>
          <w:szCs w:val="30"/>
        </w:rPr>
        <w:t>第一章  公开招标采购公告</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_Toc28990 </w:instrText>
      </w:r>
      <w:r>
        <w:rPr>
          <w:rFonts w:hint="eastAsia" w:ascii="宋体" w:hAnsi="宋体" w:cs="仿宋"/>
          <w:sz w:val="30"/>
          <w:szCs w:val="30"/>
        </w:rPr>
        <w:fldChar w:fldCharType="separate"/>
      </w:r>
      <w:r>
        <w:rPr>
          <w:rFonts w:hint="eastAsia" w:ascii="宋体" w:hAnsi="宋体" w:cs="仿宋"/>
          <w:sz w:val="30"/>
          <w:szCs w:val="30"/>
        </w:rPr>
        <w:t>2</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"_Toc27574" </w:instrText>
      </w:r>
      <w:r>
        <w:fldChar w:fldCharType="separate"/>
      </w:r>
      <w:r>
        <w:rPr>
          <w:rFonts w:hint="eastAsia" w:ascii="宋体" w:hAnsi="宋体" w:cs="仿宋"/>
          <w:sz w:val="30"/>
          <w:szCs w:val="30"/>
        </w:rPr>
        <w:t>第二章  招标需求</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_Toc27574 </w:instrText>
      </w:r>
      <w:r>
        <w:rPr>
          <w:rFonts w:hint="eastAsia" w:ascii="宋体" w:hAnsi="宋体" w:cs="仿宋"/>
          <w:sz w:val="30"/>
          <w:szCs w:val="30"/>
        </w:rPr>
        <w:fldChar w:fldCharType="separate"/>
      </w:r>
      <w:r>
        <w:rPr>
          <w:rFonts w:hint="eastAsia" w:ascii="宋体" w:hAnsi="宋体" w:cs="仿宋"/>
          <w:sz w:val="30"/>
          <w:szCs w:val="30"/>
        </w:rPr>
        <w:t>6</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"_Toc23238" </w:instrText>
      </w:r>
      <w:r>
        <w:fldChar w:fldCharType="separate"/>
      </w:r>
      <w:r>
        <w:rPr>
          <w:rFonts w:hint="eastAsia" w:ascii="宋体" w:hAnsi="宋体" w:cs="仿宋"/>
          <w:sz w:val="30"/>
          <w:szCs w:val="30"/>
        </w:rPr>
        <w:t>第三章  投标供应商须知</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_Toc23238 </w:instrText>
      </w:r>
      <w:r>
        <w:rPr>
          <w:rFonts w:hint="eastAsia" w:ascii="宋体" w:hAnsi="宋体" w:cs="仿宋"/>
          <w:sz w:val="30"/>
          <w:szCs w:val="30"/>
        </w:rPr>
        <w:fldChar w:fldCharType="separate"/>
      </w:r>
      <w:r>
        <w:rPr>
          <w:rFonts w:hint="eastAsia" w:ascii="宋体" w:hAnsi="宋体" w:cs="仿宋"/>
          <w:sz w:val="30"/>
          <w:szCs w:val="30"/>
        </w:rPr>
        <w:t>7</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"_Toc9577" </w:instrText>
      </w:r>
      <w:r>
        <w:fldChar w:fldCharType="separate"/>
      </w:r>
      <w:r>
        <w:rPr>
          <w:rFonts w:hint="eastAsia" w:ascii="宋体" w:hAnsi="宋体" w:cs="仿宋"/>
          <w:sz w:val="30"/>
          <w:szCs w:val="30"/>
        </w:rPr>
        <w:t>一、总  则</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_Toc9577 </w:instrText>
      </w:r>
      <w:r>
        <w:rPr>
          <w:rFonts w:hint="eastAsia" w:ascii="宋体" w:hAnsi="宋体" w:cs="仿宋"/>
          <w:sz w:val="30"/>
          <w:szCs w:val="30"/>
        </w:rPr>
        <w:fldChar w:fldCharType="separate"/>
      </w:r>
      <w:r>
        <w:rPr>
          <w:rFonts w:hint="eastAsia" w:ascii="宋体" w:hAnsi="宋体" w:cs="仿宋"/>
          <w:sz w:val="30"/>
          <w:szCs w:val="30"/>
        </w:rPr>
        <w:t>23</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"_Toc13309" </w:instrText>
      </w:r>
      <w:r>
        <w:fldChar w:fldCharType="separate"/>
      </w:r>
      <w:r>
        <w:rPr>
          <w:rFonts w:hint="eastAsia" w:ascii="宋体" w:hAnsi="宋体" w:cs="仿宋"/>
          <w:sz w:val="30"/>
          <w:szCs w:val="30"/>
        </w:rPr>
        <w:t>二、招标文件</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_Toc13309 </w:instrText>
      </w:r>
      <w:r>
        <w:rPr>
          <w:rFonts w:hint="eastAsia" w:ascii="宋体" w:hAnsi="宋体" w:cs="仿宋"/>
          <w:sz w:val="30"/>
          <w:szCs w:val="30"/>
        </w:rPr>
        <w:fldChar w:fldCharType="separate"/>
      </w:r>
      <w:r>
        <w:rPr>
          <w:rFonts w:hint="eastAsia" w:ascii="宋体" w:hAnsi="宋体" w:cs="仿宋"/>
          <w:sz w:val="30"/>
          <w:szCs w:val="30"/>
        </w:rPr>
        <w:t>26</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"_Toc3451" </w:instrText>
      </w:r>
      <w:r>
        <w:fldChar w:fldCharType="separate"/>
      </w:r>
      <w:r>
        <w:rPr>
          <w:rFonts w:hint="eastAsia" w:ascii="宋体" w:hAnsi="宋体" w:cs="仿宋"/>
          <w:sz w:val="30"/>
          <w:szCs w:val="30"/>
        </w:rPr>
        <w:t>三、投标文件的编制要求</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_Toc3451 </w:instrText>
      </w:r>
      <w:r>
        <w:rPr>
          <w:rFonts w:hint="eastAsia" w:ascii="宋体" w:hAnsi="宋体" w:cs="仿宋"/>
          <w:sz w:val="30"/>
          <w:szCs w:val="30"/>
        </w:rPr>
        <w:fldChar w:fldCharType="separate"/>
      </w:r>
      <w:r>
        <w:rPr>
          <w:rFonts w:hint="eastAsia" w:ascii="宋体" w:hAnsi="宋体" w:cs="仿宋"/>
          <w:sz w:val="30"/>
          <w:szCs w:val="30"/>
        </w:rPr>
        <w:t>27</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"_Toc16193" </w:instrText>
      </w:r>
      <w:r>
        <w:fldChar w:fldCharType="separate"/>
      </w:r>
      <w:r>
        <w:rPr>
          <w:rFonts w:hint="eastAsia" w:ascii="宋体" w:hAnsi="宋体" w:cs="仿宋"/>
          <w:sz w:val="30"/>
          <w:szCs w:val="30"/>
        </w:rPr>
        <w:t>四、开标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_Toc16193 </w:instrText>
      </w:r>
      <w:r>
        <w:rPr>
          <w:rFonts w:hint="eastAsia" w:ascii="宋体" w:hAnsi="宋体" w:cs="仿宋"/>
          <w:sz w:val="30"/>
          <w:szCs w:val="30"/>
        </w:rPr>
        <w:fldChar w:fldCharType="separate"/>
      </w:r>
      <w:r>
        <w:rPr>
          <w:rFonts w:hint="eastAsia" w:ascii="宋体" w:hAnsi="宋体" w:cs="仿宋"/>
          <w:sz w:val="30"/>
          <w:szCs w:val="30"/>
        </w:rPr>
        <w:t>32</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"_Toc17761" </w:instrText>
      </w:r>
      <w:r>
        <w:fldChar w:fldCharType="separate"/>
      </w:r>
      <w:r>
        <w:rPr>
          <w:rFonts w:hint="eastAsia" w:ascii="宋体" w:hAnsi="宋体" w:cs="仿宋"/>
          <w:sz w:val="30"/>
          <w:szCs w:val="30"/>
        </w:rPr>
        <w:t>五、评标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_Toc17761 </w:instrText>
      </w:r>
      <w:r>
        <w:rPr>
          <w:rFonts w:hint="eastAsia" w:ascii="宋体" w:hAnsi="宋体" w:cs="仿宋"/>
          <w:sz w:val="30"/>
          <w:szCs w:val="30"/>
        </w:rPr>
        <w:fldChar w:fldCharType="separate"/>
      </w:r>
      <w:r>
        <w:rPr>
          <w:rFonts w:hint="eastAsia" w:ascii="宋体" w:hAnsi="宋体" w:cs="仿宋"/>
          <w:sz w:val="30"/>
          <w:szCs w:val="30"/>
        </w:rPr>
        <w:t>33</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"_Toc7711" </w:instrText>
      </w:r>
      <w:r>
        <w:fldChar w:fldCharType="separate"/>
      </w:r>
      <w:r>
        <w:rPr>
          <w:rFonts w:hint="eastAsia" w:ascii="宋体" w:hAnsi="宋体" w:cs="仿宋"/>
          <w:sz w:val="30"/>
          <w:szCs w:val="30"/>
        </w:rPr>
        <w:t>六、定标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_Toc7711 </w:instrText>
      </w:r>
      <w:r>
        <w:rPr>
          <w:rFonts w:hint="eastAsia" w:ascii="宋体" w:hAnsi="宋体" w:cs="仿宋"/>
          <w:sz w:val="30"/>
          <w:szCs w:val="30"/>
        </w:rPr>
        <w:fldChar w:fldCharType="separate"/>
      </w:r>
      <w:r>
        <w:rPr>
          <w:rFonts w:hint="eastAsia" w:ascii="宋体" w:hAnsi="宋体" w:cs="仿宋"/>
          <w:sz w:val="30"/>
          <w:szCs w:val="30"/>
        </w:rPr>
        <w:t>39</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"_Toc23098" </w:instrText>
      </w:r>
      <w:r>
        <w:fldChar w:fldCharType="separate"/>
      </w:r>
      <w:r>
        <w:rPr>
          <w:rFonts w:hint="eastAsia" w:ascii="宋体" w:hAnsi="宋体" w:cs="仿宋"/>
          <w:sz w:val="30"/>
          <w:szCs w:val="30"/>
        </w:rPr>
        <w:t>七、合同授予</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_Toc23098 </w:instrText>
      </w:r>
      <w:r>
        <w:rPr>
          <w:rFonts w:hint="eastAsia" w:ascii="宋体" w:hAnsi="宋体" w:cs="仿宋"/>
          <w:sz w:val="30"/>
          <w:szCs w:val="30"/>
        </w:rPr>
        <w:fldChar w:fldCharType="separate"/>
      </w:r>
      <w:r>
        <w:rPr>
          <w:rFonts w:hint="eastAsia" w:ascii="宋体" w:hAnsi="宋体" w:cs="仿宋"/>
          <w:sz w:val="30"/>
          <w:szCs w:val="30"/>
        </w:rPr>
        <w:t>40</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"_Toc31705" </w:instrText>
      </w:r>
      <w:r>
        <w:fldChar w:fldCharType="separate"/>
      </w:r>
      <w:r>
        <w:rPr>
          <w:rFonts w:hint="eastAsia" w:ascii="宋体" w:hAnsi="宋体" w:cs="仿宋"/>
          <w:sz w:val="30"/>
          <w:szCs w:val="30"/>
        </w:rPr>
        <w:t>第四章  评标办法及评分标准</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_Toc31705 </w:instrText>
      </w:r>
      <w:r>
        <w:rPr>
          <w:rFonts w:hint="eastAsia" w:ascii="宋体" w:hAnsi="宋体" w:cs="仿宋"/>
          <w:sz w:val="30"/>
          <w:szCs w:val="30"/>
        </w:rPr>
        <w:fldChar w:fldCharType="separate"/>
      </w:r>
      <w:r>
        <w:rPr>
          <w:rFonts w:hint="eastAsia" w:ascii="宋体" w:hAnsi="宋体" w:cs="仿宋"/>
          <w:sz w:val="30"/>
          <w:szCs w:val="30"/>
        </w:rPr>
        <w:t>41</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"_Toc16549" </w:instrText>
      </w:r>
      <w:r>
        <w:fldChar w:fldCharType="separate"/>
      </w:r>
      <w:r>
        <w:rPr>
          <w:rFonts w:hint="eastAsia" w:ascii="宋体" w:hAnsi="宋体" w:cs="仿宋"/>
          <w:sz w:val="30"/>
          <w:szCs w:val="30"/>
        </w:rPr>
        <w:t>第五章  合同主要条款</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_Toc16549 </w:instrText>
      </w:r>
      <w:r>
        <w:rPr>
          <w:rFonts w:hint="eastAsia" w:ascii="宋体" w:hAnsi="宋体" w:cs="仿宋"/>
          <w:sz w:val="30"/>
          <w:szCs w:val="30"/>
        </w:rPr>
        <w:fldChar w:fldCharType="separate"/>
      </w:r>
      <w:r>
        <w:rPr>
          <w:rFonts w:hint="eastAsia" w:ascii="宋体" w:hAnsi="宋体" w:cs="仿宋"/>
          <w:sz w:val="30"/>
          <w:szCs w:val="30"/>
        </w:rPr>
        <w:t>45</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"_Toc11931" </w:instrText>
      </w:r>
      <w:r>
        <w:fldChar w:fldCharType="separate"/>
      </w:r>
      <w:r>
        <w:rPr>
          <w:rFonts w:hint="eastAsia" w:ascii="宋体" w:hAnsi="宋体" w:cs="仿宋"/>
          <w:sz w:val="30"/>
          <w:szCs w:val="30"/>
        </w:rPr>
        <w:t>第六章  投标文件格式</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_Toc11931 </w:instrText>
      </w:r>
      <w:r>
        <w:rPr>
          <w:rFonts w:hint="eastAsia" w:ascii="宋体" w:hAnsi="宋体" w:cs="仿宋"/>
          <w:sz w:val="30"/>
          <w:szCs w:val="30"/>
        </w:rPr>
        <w:fldChar w:fldCharType="separate"/>
      </w:r>
      <w:r>
        <w:rPr>
          <w:rFonts w:hint="eastAsia" w:ascii="宋体" w:hAnsi="宋体" w:cs="仿宋"/>
          <w:sz w:val="30"/>
          <w:szCs w:val="30"/>
        </w:rPr>
        <w:t>49</w:t>
      </w:r>
      <w:r>
        <w:rPr>
          <w:rFonts w:hint="eastAsia" w:ascii="宋体" w:hAnsi="宋体" w:cs="仿宋"/>
          <w:sz w:val="30"/>
          <w:szCs w:val="30"/>
        </w:rPr>
        <w:fldChar w:fldCharType="end"/>
      </w:r>
      <w:r>
        <w:rPr>
          <w:rFonts w:hint="eastAsia" w:ascii="宋体" w:hAnsi="宋体" w:cs="仿宋"/>
          <w:sz w:val="30"/>
          <w:szCs w:val="30"/>
        </w:rPr>
        <w:fldChar w:fldCharType="end"/>
      </w:r>
    </w:p>
    <w:p>
      <w:pPr>
        <w:adjustRightInd w:val="0"/>
        <w:snapToGrid w:val="0"/>
        <w:spacing w:line="360" w:lineRule="auto"/>
        <w:ind w:firstLine="600"/>
        <w:rPr>
          <w:rFonts w:ascii="宋体" w:hAnsi="宋体" w:cs="仿宋"/>
          <w:sz w:val="30"/>
          <w:szCs w:val="30"/>
        </w:rPr>
      </w:pPr>
      <w:r>
        <w:rPr>
          <w:rFonts w:hint="eastAsia" w:ascii="宋体" w:hAnsi="宋体" w:cs="仿宋"/>
          <w:sz w:val="30"/>
          <w:szCs w:val="30"/>
        </w:rPr>
        <w:fldChar w:fldCharType="end"/>
      </w: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jc w:val="center"/>
        <w:outlineLvl w:val="0"/>
        <w:rPr>
          <w:rFonts w:ascii="宋体" w:hAnsi="宋体" w:cs="仿宋"/>
          <w:b/>
          <w:sz w:val="44"/>
          <w:szCs w:val="44"/>
        </w:rPr>
      </w:pPr>
      <w:r>
        <w:rPr>
          <w:rFonts w:hint="eastAsia" w:ascii="宋体" w:hAnsi="宋体" w:cs="仿宋"/>
          <w:b/>
          <w:sz w:val="44"/>
          <w:szCs w:val="44"/>
        </w:rPr>
        <w:br w:type="page"/>
      </w:r>
      <w:bookmarkStart w:id="1" w:name="_Toc28990"/>
      <w:r>
        <w:rPr>
          <w:rFonts w:hint="eastAsia" w:ascii="宋体" w:hAnsi="宋体" w:cs="仿宋"/>
          <w:b/>
          <w:sz w:val="44"/>
          <w:szCs w:val="44"/>
        </w:rPr>
        <w:t>第一章 公开招标采购公告</w:t>
      </w:r>
      <w:bookmarkEnd w:id="1"/>
    </w:p>
    <w:p>
      <w:pPr>
        <w:pStyle w:val="28"/>
        <w:adjustRightInd w:val="0"/>
        <w:snapToGrid w:val="0"/>
        <w:spacing w:line="360" w:lineRule="auto"/>
        <w:ind w:firstLine="480"/>
        <w:rPr>
          <w:rFonts w:cs="宋体"/>
          <w:sz w:val="24"/>
          <w:szCs w:val="24"/>
        </w:rPr>
      </w:pPr>
      <w:r>
        <w:rPr>
          <w:rFonts w:hint="eastAsia" w:cs="宋体"/>
          <w:sz w:val="24"/>
          <w:szCs w:val="24"/>
        </w:rPr>
        <w:t>根据《中华人民共和国政府采购法》等规定，经</w:t>
      </w:r>
      <w:r>
        <w:rPr>
          <w:rFonts w:hint="eastAsia" w:cs="宋体"/>
          <w:kern w:val="0"/>
          <w:sz w:val="24"/>
          <w:u w:val="single"/>
        </w:rPr>
        <w:t>湖州市吴兴区财政局</w:t>
      </w:r>
      <w:r>
        <w:rPr>
          <w:rFonts w:hint="eastAsia" w:cs="宋体"/>
          <w:sz w:val="24"/>
          <w:szCs w:val="24"/>
        </w:rPr>
        <w:t>批准（财政审批编号:临[2020]</w:t>
      </w:r>
      <w:r>
        <w:rPr>
          <w:rFonts w:hint="eastAsia" w:cs="宋体"/>
          <w:sz w:val="24"/>
          <w:szCs w:val="24"/>
          <w:lang w:val="en-US" w:eastAsia="zh-CN"/>
        </w:rPr>
        <w:t>8747</w:t>
      </w:r>
      <w:r>
        <w:rPr>
          <w:rFonts w:hint="eastAsia" w:cs="宋体"/>
          <w:sz w:val="24"/>
          <w:szCs w:val="24"/>
        </w:rPr>
        <w:t>号），</w:t>
      </w:r>
      <w:r>
        <w:rPr>
          <w:rFonts w:hint="eastAsia" w:cs="宋体"/>
          <w:sz w:val="24"/>
          <w:szCs w:val="24"/>
          <w:u w:val="single"/>
        </w:rPr>
        <w:t>湖州星兴工程咨询有限公司</w:t>
      </w:r>
      <w:r>
        <w:rPr>
          <w:rFonts w:hint="eastAsia" w:cs="宋体"/>
          <w:sz w:val="24"/>
          <w:szCs w:val="24"/>
        </w:rPr>
        <w:t>受</w:t>
      </w:r>
      <w:r>
        <w:rPr>
          <w:rFonts w:hint="eastAsia" w:cs="宋体"/>
          <w:sz w:val="24"/>
          <w:szCs w:val="24"/>
          <w:u w:val="single"/>
          <w:lang w:eastAsia="zh-CN"/>
        </w:rPr>
        <w:t>湖州市吴兴区织里镇人民政府</w:t>
      </w:r>
      <w:r>
        <w:rPr>
          <w:rFonts w:hint="eastAsia" w:cs="宋体"/>
          <w:sz w:val="24"/>
          <w:szCs w:val="24"/>
        </w:rPr>
        <w:t>委托，现就</w:t>
      </w:r>
      <w:r>
        <w:rPr>
          <w:rFonts w:hint="eastAsia" w:cs="宋体"/>
          <w:kern w:val="0"/>
          <w:sz w:val="24"/>
          <w:u w:val="single"/>
          <w:lang w:eastAsia="zh-CN"/>
        </w:rPr>
        <w:t>织里镇智慧红绿灯建设监理项目</w:t>
      </w:r>
      <w:r>
        <w:rPr>
          <w:rFonts w:hint="eastAsia" w:cs="宋体"/>
          <w:sz w:val="24"/>
          <w:szCs w:val="24"/>
        </w:rPr>
        <w:t>进行公开招标采购，欢迎中华人民共和国境内的合格投标供应商前来参加投标。</w:t>
      </w:r>
    </w:p>
    <w:p>
      <w:pPr>
        <w:pStyle w:val="28"/>
        <w:adjustRightInd w:val="0"/>
        <w:snapToGrid w:val="0"/>
        <w:spacing w:line="360" w:lineRule="auto"/>
        <w:ind w:firstLine="482"/>
        <w:outlineLvl w:val="1"/>
        <w:rPr>
          <w:rFonts w:hint="default" w:eastAsia="宋体" w:cs="宋体"/>
          <w:sz w:val="24"/>
          <w:szCs w:val="24"/>
          <w:lang w:val="en-US" w:eastAsia="zh-CN"/>
        </w:rPr>
      </w:pPr>
      <w:bookmarkStart w:id="2" w:name="_Toc7519"/>
      <w:r>
        <w:rPr>
          <w:rFonts w:hint="eastAsia" w:cs="宋体"/>
          <w:b/>
          <w:sz w:val="24"/>
          <w:szCs w:val="24"/>
        </w:rPr>
        <w:t>一、项目编号：</w:t>
      </w:r>
      <w:bookmarkEnd w:id="2"/>
      <w:r>
        <w:rPr>
          <w:rFonts w:hint="eastAsia" w:cs="宋体"/>
          <w:sz w:val="24"/>
          <w:szCs w:val="24"/>
        </w:rPr>
        <w:t>XXCG(2020)-</w:t>
      </w:r>
      <w:r>
        <w:rPr>
          <w:rFonts w:hint="eastAsia" w:cs="宋体"/>
          <w:sz w:val="24"/>
          <w:szCs w:val="24"/>
          <w:lang w:val="en-US" w:eastAsia="zh-CN"/>
        </w:rPr>
        <w:t>037</w:t>
      </w:r>
    </w:p>
    <w:p>
      <w:pPr>
        <w:pStyle w:val="28"/>
        <w:adjustRightInd w:val="0"/>
        <w:snapToGrid w:val="0"/>
        <w:spacing w:line="360" w:lineRule="auto"/>
        <w:ind w:firstLine="482"/>
        <w:outlineLvl w:val="1"/>
        <w:rPr>
          <w:rFonts w:cs="宋体"/>
          <w:sz w:val="24"/>
          <w:szCs w:val="24"/>
        </w:rPr>
      </w:pPr>
      <w:bookmarkStart w:id="3" w:name="_Toc3936"/>
      <w:r>
        <w:rPr>
          <w:rFonts w:hint="eastAsia" w:cs="宋体"/>
          <w:b/>
          <w:sz w:val="24"/>
          <w:szCs w:val="24"/>
        </w:rPr>
        <w:t>二、项目组织类型：</w:t>
      </w:r>
      <w:r>
        <w:rPr>
          <w:rFonts w:hint="eastAsia" w:cs="宋体"/>
          <w:sz w:val="24"/>
          <w:szCs w:val="24"/>
        </w:rPr>
        <w:t>分散采购-委托代理</w:t>
      </w:r>
      <w:bookmarkEnd w:id="3"/>
    </w:p>
    <w:p>
      <w:pPr>
        <w:pStyle w:val="28"/>
        <w:adjustRightInd w:val="0"/>
        <w:snapToGrid w:val="0"/>
        <w:spacing w:line="360" w:lineRule="auto"/>
        <w:ind w:firstLine="482"/>
        <w:outlineLvl w:val="1"/>
        <w:rPr>
          <w:rFonts w:cs="宋体"/>
          <w:sz w:val="24"/>
          <w:szCs w:val="24"/>
        </w:rPr>
      </w:pPr>
      <w:bookmarkStart w:id="4" w:name="_Toc20830"/>
      <w:r>
        <w:rPr>
          <w:rFonts w:hint="eastAsia" w:cs="宋体"/>
          <w:b/>
          <w:sz w:val="24"/>
          <w:szCs w:val="24"/>
        </w:rPr>
        <w:t>三、招标方式：</w:t>
      </w:r>
      <w:r>
        <w:rPr>
          <w:rFonts w:hint="eastAsia" w:cs="宋体"/>
          <w:sz w:val="24"/>
          <w:szCs w:val="24"/>
        </w:rPr>
        <w:t>公开招标</w:t>
      </w:r>
      <w:bookmarkEnd w:id="4"/>
    </w:p>
    <w:p>
      <w:pPr>
        <w:pStyle w:val="28"/>
        <w:adjustRightInd w:val="0"/>
        <w:snapToGrid w:val="0"/>
        <w:spacing w:line="360" w:lineRule="auto"/>
        <w:ind w:firstLine="482"/>
        <w:outlineLvl w:val="1"/>
        <w:rPr>
          <w:rFonts w:cs="宋体"/>
          <w:b/>
          <w:sz w:val="24"/>
          <w:szCs w:val="24"/>
        </w:rPr>
      </w:pPr>
      <w:bookmarkStart w:id="5" w:name="_Toc4561"/>
      <w:r>
        <w:rPr>
          <w:rFonts w:hint="eastAsia" w:cs="宋体"/>
          <w:b/>
          <w:sz w:val="24"/>
          <w:szCs w:val="24"/>
        </w:rPr>
        <w:t>四、采购内容及预算：</w:t>
      </w:r>
      <w:bookmarkEnd w:id="5"/>
    </w:p>
    <w:tbl>
      <w:tblPr>
        <w:tblStyle w:val="39"/>
        <w:tblW w:w="9217" w:type="dxa"/>
        <w:jc w:val="center"/>
        <w:tblLayout w:type="fixed"/>
        <w:tblCellMar>
          <w:top w:w="0" w:type="dxa"/>
          <w:left w:w="10" w:type="dxa"/>
          <w:bottom w:w="0" w:type="dxa"/>
          <w:right w:w="10" w:type="dxa"/>
        </w:tblCellMar>
      </w:tblPr>
      <w:tblGrid>
        <w:gridCol w:w="462"/>
        <w:gridCol w:w="4320"/>
        <w:gridCol w:w="847"/>
        <w:gridCol w:w="1701"/>
        <w:gridCol w:w="1887"/>
      </w:tblGrid>
      <w:tr>
        <w:tblPrEx>
          <w:tblCellMar>
            <w:top w:w="0" w:type="dxa"/>
            <w:left w:w="10" w:type="dxa"/>
            <w:bottom w:w="0" w:type="dxa"/>
            <w:right w:w="10" w:type="dxa"/>
          </w:tblCellMar>
        </w:tblPrEx>
        <w:trPr>
          <w:trHeight w:val="637" w:hRule="atLeast"/>
          <w:jc w:val="center"/>
        </w:trPr>
        <w:tc>
          <w:tcPr>
            <w:tcW w:w="462"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left="60" w:right="60"/>
              <w:jc w:val="center"/>
              <w:rPr>
                <w:rFonts w:ascii="宋体" w:hAnsi="宋体" w:cs="宋体"/>
                <w:color w:val="000000"/>
                <w:kern w:val="0"/>
                <w:sz w:val="24"/>
              </w:rPr>
            </w:pPr>
            <w:bookmarkStart w:id="6" w:name="_Toc4575"/>
            <w:r>
              <w:rPr>
                <w:rFonts w:hint="eastAsia" w:ascii="宋体" w:hAnsi="宋体" w:cs="宋体"/>
                <w:color w:val="000000"/>
                <w:kern w:val="0"/>
                <w:sz w:val="24"/>
              </w:rPr>
              <w:t>序号</w:t>
            </w:r>
          </w:p>
        </w:tc>
        <w:tc>
          <w:tcPr>
            <w:tcW w:w="4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项目名称</w:t>
            </w:r>
          </w:p>
        </w:tc>
        <w:tc>
          <w:tcPr>
            <w:tcW w:w="847" w:type="dxa"/>
            <w:tcBorders>
              <w:top w:val="single" w:color="auto" w:sz="6" w:space="0"/>
              <w:left w:val="single" w:color="auto" w:sz="6"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数量</w:t>
            </w:r>
          </w:p>
        </w:tc>
        <w:tc>
          <w:tcPr>
            <w:tcW w:w="1701" w:type="dxa"/>
            <w:tcBorders>
              <w:top w:val="single" w:color="auto" w:sz="6" w:space="0"/>
              <w:left w:val="single" w:color="auto" w:sz="4" w:space="0"/>
              <w:bottom w:val="single" w:color="auto" w:sz="4" w:space="0"/>
              <w:right w:val="single" w:color="auto" w:sz="6" w:space="0"/>
            </w:tcBorders>
            <w:vAlign w:val="center"/>
          </w:tcPr>
          <w:p>
            <w:pPr>
              <w:widowControl/>
              <w:spacing w:line="360" w:lineRule="auto"/>
              <w:ind w:right="60"/>
              <w:jc w:val="center"/>
              <w:rPr>
                <w:rFonts w:ascii="宋体" w:hAnsi="宋体" w:cs="宋体"/>
                <w:color w:val="000000"/>
                <w:kern w:val="0"/>
                <w:sz w:val="24"/>
              </w:rPr>
            </w:pPr>
            <w:r>
              <w:rPr>
                <w:rFonts w:hint="eastAsia" w:ascii="宋体" w:hAnsi="宋体" w:cs="宋体"/>
                <w:color w:val="000000"/>
                <w:kern w:val="0"/>
                <w:sz w:val="24"/>
              </w:rPr>
              <w:t>简要技术要求</w:t>
            </w:r>
          </w:p>
        </w:tc>
        <w:tc>
          <w:tcPr>
            <w:tcW w:w="1887"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预算金额（万元）</w:t>
            </w:r>
          </w:p>
        </w:tc>
      </w:tr>
      <w:tr>
        <w:tblPrEx>
          <w:tblCellMar>
            <w:top w:w="0" w:type="dxa"/>
            <w:left w:w="10" w:type="dxa"/>
            <w:bottom w:w="0" w:type="dxa"/>
            <w:right w:w="10" w:type="dxa"/>
          </w:tblCellMar>
        </w:tblPrEx>
        <w:trPr>
          <w:trHeight w:val="742" w:hRule="atLeast"/>
          <w:jc w:val="center"/>
        </w:trPr>
        <w:tc>
          <w:tcPr>
            <w:tcW w:w="462"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4320" w:type="dxa"/>
            <w:tcBorders>
              <w:top w:val="single" w:color="auto" w:sz="6" w:space="0"/>
              <w:left w:val="single" w:color="auto" w:sz="6" w:space="0"/>
              <w:bottom w:val="single" w:color="auto" w:sz="6" w:space="0"/>
              <w:right w:val="single" w:color="auto" w:sz="6" w:space="0"/>
            </w:tcBorders>
            <w:vAlign w:val="center"/>
          </w:tcPr>
          <w:p>
            <w:pPr>
              <w:pStyle w:val="94"/>
              <w:spacing w:line="360" w:lineRule="auto"/>
              <w:jc w:val="center"/>
              <w:rPr>
                <w:rFonts w:hint="eastAsia" w:hAnsi="宋体" w:eastAsia="宋体"/>
                <w:lang w:eastAsia="zh-CN"/>
              </w:rPr>
            </w:pPr>
            <w:r>
              <w:rPr>
                <w:rFonts w:hint="eastAsia" w:hAnsi="宋体"/>
                <w:lang w:eastAsia="zh-CN"/>
              </w:rPr>
              <w:t xml:space="preserve">织里镇智慧红绿灯建设监理项目 </w:t>
            </w:r>
          </w:p>
        </w:tc>
        <w:tc>
          <w:tcPr>
            <w:tcW w:w="847" w:type="dxa"/>
            <w:tcBorders>
              <w:top w:val="single" w:color="auto" w:sz="6" w:space="0"/>
              <w:left w:val="single" w:color="auto" w:sz="6" w:space="0"/>
              <w:bottom w:val="single" w:color="auto" w:sz="6" w:space="0"/>
              <w:right w:val="single" w:color="auto" w:sz="4" w:space="0"/>
            </w:tcBorders>
            <w:vAlign w:val="center"/>
          </w:tcPr>
          <w:p>
            <w:pPr>
              <w:tabs>
                <w:tab w:val="left" w:pos="720"/>
              </w:tabs>
              <w:autoSpaceDE w:val="0"/>
              <w:autoSpaceDN w:val="0"/>
              <w:spacing w:before="67" w:after="67" w:line="360" w:lineRule="auto"/>
              <w:ind w:left="67" w:right="67"/>
              <w:jc w:val="center"/>
              <w:rPr>
                <w:rFonts w:ascii="宋体" w:hAnsi="宋体" w:cs="宋体"/>
                <w:color w:val="000000"/>
                <w:sz w:val="24"/>
              </w:rPr>
            </w:pPr>
            <w:r>
              <w:rPr>
                <w:rFonts w:hint="eastAsia" w:ascii="宋体" w:hAnsi="宋体" w:cs="宋体"/>
                <w:color w:val="000000"/>
                <w:sz w:val="24"/>
              </w:rPr>
              <w:t>1项</w:t>
            </w:r>
          </w:p>
        </w:tc>
        <w:tc>
          <w:tcPr>
            <w:tcW w:w="1701" w:type="dxa"/>
            <w:tcBorders>
              <w:top w:val="single" w:color="auto" w:sz="6" w:space="0"/>
              <w:left w:val="single" w:color="auto" w:sz="4" w:space="0"/>
              <w:bottom w:val="single" w:color="auto" w:sz="6" w:space="0"/>
              <w:right w:val="single" w:color="auto" w:sz="6" w:space="0"/>
            </w:tcBorders>
            <w:vAlign w:val="center"/>
          </w:tcPr>
          <w:p>
            <w:pPr>
              <w:tabs>
                <w:tab w:val="left" w:pos="720"/>
              </w:tabs>
              <w:autoSpaceDE w:val="0"/>
              <w:autoSpaceDN w:val="0"/>
              <w:spacing w:before="67" w:after="67" w:line="360" w:lineRule="auto"/>
              <w:ind w:right="67"/>
              <w:jc w:val="center"/>
              <w:rPr>
                <w:rFonts w:ascii="宋体" w:hAnsi="宋体" w:cs="宋体"/>
                <w:color w:val="000000"/>
                <w:sz w:val="24"/>
              </w:rPr>
            </w:pPr>
            <w:r>
              <w:rPr>
                <w:rFonts w:hint="eastAsia" w:ascii="宋体" w:hAnsi="宋体" w:eastAsia="宋体" w:cs="宋体"/>
                <w:color w:val="000000"/>
                <w:kern w:val="0"/>
                <w:sz w:val="24"/>
                <w:szCs w:val="24"/>
                <w:lang w:val="en-US" w:eastAsia="zh-CN" w:bidi="ar-SA"/>
              </w:rPr>
              <w:t>详见招标文件需求</w:t>
            </w:r>
          </w:p>
        </w:tc>
        <w:tc>
          <w:tcPr>
            <w:tcW w:w="1887" w:type="dxa"/>
            <w:tcBorders>
              <w:top w:val="single" w:color="auto" w:sz="6" w:space="0"/>
              <w:left w:val="single" w:color="auto" w:sz="6" w:space="0"/>
              <w:bottom w:val="single" w:color="auto" w:sz="6" w:space="0"/>
              <w:right w:val="single" w:color="auto" w:sz="6" w:space="0"/>
            </w:tcBorders>
            <w:vAlign w:val="center"/>
          </w:tcPr>
          <w:p>
            <w:pPr>
              <w:tabs>
                <w:tab w:val="left" w:pos="720"/>
              </w:tabs>
              <w:autoSpaceDE w:val="0"/>
              <w:autoSpaceDN w:val="0"/>
              <w:spacing w:before="67" w:after="67" w:line="360" w:lineRule="auto"/>
              <w:ind w:left="67" w:right="67"/>
              <w:jc w:val="center"/>
              <w:rPr>
                <w:rFonts w:ascii="宋体" w:hAnsi="宋体" w:cs="宋体"/>
                <w:color w:val="000000"/>
                <w:sz w:val="24"/>
              </w:rPr>
            </w:pPr>
            <w:r>
              <w:rPr>
                <w:rFonts w:hint="eastAsia" w:ascii="宋体" w:hAnsi="宋体" w:cs="宋体"/>
                <w:color w:val="000000"/>
                <w:sz w:val="24"/>
                <w:lang w:val="en-US" w:eastAsia="zh-CN"/>
              </w:rPr>
              <w:t>21</w:t>
            </w:r>
            <w:r>
              <w:rPr>
                <w:rFonts w:hint="eastAsia" w:ascii="宋体" w:hAnsi="宋体" w:cs="宋体"/>
                <w:color w:val="000000"/>
                <w:sz w:val="24"/>
              </w:rPr>
              <w:t>万元</w:t>
            </w:r>
          </w:p>
        </w:tc>
      </w:tr>
    </w:tbl>
    <w:p>
      <w:pPr>
        <w:pStyle w:val="28"/>
        <w:adjustRightInd w:val="0"/>
        <w:snapToGrid w:val="0"/>
        <w:spacing w:line="360" w:lineRule="auto"/>
        <w:ind w:firstLine="482"/>
        <w:outlineLvl w:val="1"/>
        <w:rPr>
          <w:rFonts w:cs="宋体"/>
          <w:b/>
          <w:sz w:val="24"/>
          <w:szCs w:val="24"/>
        </w:rPr>
      </w:pPr>
      <w:r>
        <w:rPr>
          <w:rFonts w:hint="eastAsia" w:cs="宋体"/>
          <w:b/>
          <w:sz w:val="24"/>
          <w:szCs w:val="24"/>
        </w:rPr>
        <w:t>五、合格投标供应商的资格要求：</w:t>
      </w:r>
      <w:bookmarkEnd w:id="6"/>
    </w:p>
    <w:p>
      <w:pPr>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符合《中华人民共和国政府采购法》第二十二条投标供应商应当具备的条件和浙财采监【2013】24号《关于规范政府采购投标供应商资格设定及资格审查的通知》第六条规定；且未被“信用中国”</w:t>
      </w:r>
      <w:r>
        <w:fldChar w:fldCharType="begin"/>
      </w:r>
      <w:r>
        <w:instrText xml:space="preserve"> HYPERLINK "http://www.creditchina.gov.cn/" \h </w:instrText>
      </w:r>
      <w: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）、“中国政府采购网”（</w:t>
      </w:r>
      <w:r>
        <w:fldChar w:fldCharType="begin"/>
      </w:r>
      <w:r>
        <w:instrText xml:space="preserve"> HYPERLINK "http://www.ccgp.gov.cn/" \h </w:instrText>
      </w:r>
      <w:r>
        <w:fldChar w:fldCharType="separate"/>
      </w:r>
      <w:r>
        <w:rPr>
          <w:rFonts w:hint="eastAsia" w:ascii="宋体" w:hAnsi="宋体" w:cs="宋体"/>
          <w:sz w:val="24"/>
        </w:rPr>
        <w:t>www.ccgp.gov.cn</w:t>
      </w:r>
      <w:r>
        <w:rPr>
          <w:rFonts w:hint="eastAsia" w:ascii="宋体" w:hAnsi="宋体" w:cs="宋体"/>
          <w:sz w:val="24"/>
        </w:rPr>
        <w:fldChar w:fldCharType="end"/>
      </w:r>
      <w:r>
        <w:rPr>
          <w:rFonts w:hint="eastAsia" w:ascii="宋体" w:hAnsi="宋体" w:cs="宋体"/>
          <w:sz w:val="24"/>
        </w:rPr>
        <w:t>）列入失信被执行人、重大税收违法案件当事人名单、政府采购严重违法失信行为记录名单。</w:t>
      </w:r>
    </w:p>
    <w:p>
      <w:pPr>
        <w:pStyle w:val="28"/>
        <w:adjustRightInd w:val="0"/>
        <w:snapToGrid w:val="0"/>
        <w:spacing w:line="360" w:lineRule="auto"/>
        <w:ind w:firstLine="480"/>
        <w:rPr>
          <w:rFonts w:cs="宋体"/>
          <w:sz w:val="24"/>
          <w:szCs w:val="24"/>
        </w:rPr>
      </w:pPr>
      <w:r>
        <w:rPr>
          <w:rFonts w:hint="eastAsia" w:cs="宋体"/>
          <w:kern w:val="0"/>
          <w:sz w:val="24"/>
        </w:rPr>
        <w:t>2</w:t>
      </w:r>
      <w:r>
        <w:rPr>
          <w:rFonts w:hint="eastAsia" w:cs="宋体"/>
          <w:kern w:val="0"/>
          <w:sz w:val="24"/>
          <w:lang w:val="en-US" w:eastAsia="zh-CN"/>
        </w:rPr>
        <w:t>.</w:t>
      </w:r>
      <w:r>
        <w:rPr>
          <w:rFonts w:hint="eastAsia" w:cs="宋体"/>
          <w:kern w:val="0"/>
          <w:sz w:val="24"/>
        </w:rPr>
        <w:t>本项目不接受联合体投标</w:t>
      </w:r>
      <w:r>
        <w:rPr>
          <w:rFonts w:hint="eastAsia" w:cs="宋体"/>
          <w:sz w:val="24"/>
          <w:szCs w:val="24"/>
        </w:rPr>
        <w:t>。</w:t>
      </w:r>
    </w:p>
    <w:p>
      <w:pPr>
        <w:pStyle w:val="28"/>
        <w:adjustRightInd w:val="0"/>
        <w:snapToGrid w:val="0"/>
        <w:spacing w:line="360" w:lineRule="auto"/>
        <w:ind w:firstLine="482"/>
        <w:outlineLvl w:val="1"/>
        <w:rPr>
          <w:rFonts w:cs="宋体"/>
          <w:b/>
          <w:sz w:val="24"/>
          <w:szCs w:val="24"/>
        </w:rPr>
      </w:pPr>
      <w:bookmarkStart w:id="7" w:name="_Toc3951"/>
      <w:r>
        <w:rPr>
          <w:rFonts w:hint="eastAsia" w:cs="宋体"/>
          <w:b/>
          <w:sz w:val="24"/>
          <w:szCs w:val="24"/>
        </w:rPr>
        <w:t>六、采购文件获取：</w:t>
      </w:r>
      <w:bookmarkEnd w:id="7"/>
    </w:p>
    <w:p>
      <w:pPr>
        <w:snapToGrid w:val="0"/>
        <w:spacing w:line="360" w:lineRule="auto"/>
        <w:ind w:firstLine="480" w:firstLineChars="200"/>
        <w:rPr>
          <w:rFonts w:hint="eastAsia" w:ascii="宋体" w:hAnsi="宋体" w:eastAsia="宋体" w:cs="宋体"/>
          <w:sz w:val="24"/>
          <w:szCs w:val="24"/>
        </w:rPr>
      </w:pPr>
      <w:bookmarkStart w:id="8" w:name="_Toc6085"/>
      <w:r>
        <w:rPr>
          <w:rFonts w:hint="eastAsia" w:ascii="宋体" w:hAnsi="宋体" w:cs="宋体"/>
          <w:sz w:val="24"/>
        </w:rPr>
        <w:t>1.</w:t>
      </w:r>
      <w:r>
        <w:rPr>
          <w:rFonts w:hint="eastAsia" w:ascii="宋体" w:hAnsi="宋体" w:cs="宋体"/>
        </w:rPr>
        <w:t xml:space="preserve"> </w:t>
      </w:r>
      <w:r>
        <w:rPr>
          <w:rFonts w:hint="eastAsia" w:ascii="宋体" w:hAnsi="宋体" w:cs="宋体"/>
          <w:sz w:val="24"/>
        </w:rPr>
        <w:t>获取文件时间</w:t>
      </w:r>
      <w:r>
        <w:rPr>
          <w:rFonts w:hint="eastAsia" w:ascii="宋体" w:hAnsi="宋体" w:cs="宋体"/>
          <w:b/>
          <w:bCs/>
          <w:color w:val="auto"/>
          <w:sz w:val="24"/>
          <w:szCs w:val="24"/>
          <w:highlight w:val="none"/>
          <w:lang w:val="en-US" w:eastAsia="zh-CN"/>
        </w:rPr>
        <w:t>2020</w:t>
      </w:r>
      <w:r>
        <w:rPr>
          <w:rFonts w:hint="eastAsia" w:ascii="宋体" w:hAnsi="宋体" w:eastAsia="宋体" w:cs="宋体"/>
          <w:b/>
          <w:bCs/>
          <w:color w:val="auto"/>
          <w:sz w:val="24"/>
          <w:szCs w:val="24"/>
          <w:highlight w:val="none"/>
          <w:lang w:val="en-US" w:eastAsia="zh-CN"/>
        </w:rPr>
        <w:t>年</w:t>
      </w:r>
      <w:r>
        <w:rPr>
          <w:rFonts w:hint="eastAsia" w:ascii="宋体" w:hAnsi="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lang w:val="en-US" w:eastAsia="zh-CN"/>
        </w:rPr>
        <w:t>月</w:t>
      </w:r>
      <w:r>
        <w:rPr>
          <w:rFonts w:hint="eastAsia" w:ascii="宋体" w:hAnsi="宋体" w:cs="宋体"/>
          <w:b/>
          <w:bCs/>
          <w:color w:val="auto"/>
          <w:sz w:val="24"/>
          <w:szCs w:val="24"/>
          <w:highlight w:val="none"/>
          <w:lang w:val="en-US" w:eastAsia="zh-CN"/>
        </w:rPr>
        <w:t>29</w:t>
      </w:r>
      <w:r>
        <w:rPr>
          <w:rFonts w:hint="eastAsia" w:ascii="宋体" w:hAnsi="宋体" w:eastAsia="宋体" w:cs="宋体"/>
          <w:b/>
          <w:bCs/>
          <w:color w:val="auto"/>
          <w:sz w:val="24"/>
          <w:szCs w:val="24"/>
          <w:highlight w:val="none"/>
          <w:lang w:val="en-US" w:eastAsia="zh-CN"/>
        </w:rPr>
        <w:t>日至</w:t>
      </w:r>
      <w:r>
        <w:rPr>
          <w:rFonts w:hint="eastAsia" w:ascii="宋体" w:hAnsi="宋体" w:eastAsia="宋体" w:cs="宋体"/>
          <w:b/>
          <w:bCs/>
          <w:color w:val="auto"/>
          <w:sz w:val="24"/>
          <w:szCs w:val="24"/>
          <w:lang w:val="en-US" w:eastAsia="zh-CN"/>
        </w:rPr>
        <w:t>开标截止时间前</w:t>
      </w:r>
      <w:r>
        <w:rPr>
          <w:rFonts w:hint="eastAsia" w:ascii="宋体" w:hAnsi="宋体" w:eastAsia="宋体" w:cs="宋体"/>
          <w:sz w:val="24"/>
          <w:szCs w:val="24"/>
          <w:lang w:val="en-US" w:eastAsia="zh-CN"/>
        </w:rPr>
        <w:t>(潜在供应商报名及获取招标文件前应当在政采云电子交易平台上注册账号并登录，截止时间后不再接受潜在供应商报名及获取招标文件)。</w:t>
      </w:r>
      <w:r>
        <w:rPr>
          <w:rFonts w:hint="eastAsia" w:ascii="宋体" w:hAnsi="宋体" w:eastAsia="宋体" w:cs="宋体"/>
          <w:sz w:val="24"/>
          <w:szCs w:val="24"/>
        </w:rPr>
        <w:t xml:space="preserve"> </w:t>
      </w:r>
    </w:p>
    <w:p>
      <w:pPr>
        <w:snapToGrid w:val="0"/>
        <w:spacing w:line="360" w:lineRule="auto"/>
        <w:ind w:firstLine="480" w:firstLineChars="200"/>
        <w:rPr>
          <w:rFonts w:ascii="宋体" w:hAnsi="宋体" w:cs="宋体"/>
          <w:b/>
          <w:bCs/>
          <w:kern w:val="0"/>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rPr>
        <w:t>本项目采购文件实行网上获取，</w:t>
      </w:r>
      <w:r>
        <w:rPr>
          <w:rFonts w:hint="eastAsia" w:ascii="宋体" w:hAnsi="宋体" w:cs="宋体"/>
          <w:b/>
          <w:bCs/>
          <w:kern w:val="0"/>
          <w:sz w:val="24"/>
        </w:rPr>
        <w:t>不收取工本费。</w:t>
      </w:r>
    </w:p>
    <w:p>
      <w:pPr>
        <w:snapToGrid w:val="0"/>
        <w:spacing w:line="360" w:lineRule="auto"/>
        <w:ind w:firstLine="480" w:firstLineChars="200"/>
        <w:rPr>
          <w:rFonts w:ascii="宋体" w:hAnsi="宋体" w:cs="宋体"/>
          <w:sz w:val="24"/>
        </w:rPr>
      </w:pPr>
      <w:r>
        <w:rPr>
          <w:rFonts w:hint="eastAsia" w:ascii="宋体" w:hAnsi="宋体" w:cs="宋体"/>
          <w:sz w:val="24"/>
        </w:rPr>
        <w:t>3. 本项目实行网上报名，不接受投标供应商现场报名，投标供应商登录浙江政府采购网(http://zfcg.czt.zj.gov.cn/)进入政采云系统“项目采购”模块“获取采购文件”菜单，进行网上获取采购文件。（“政采云”注册账号、密码登录系统后获取采购文件）。</w:t>
      </w:r>
    </w:p>
    <w:p>
      <w:pPr>
        <w:snapToGrid w:val="0"/>
        <w:spacing w:before="60" w:after="60" w:line="360" w:lineRule="auto"/>
        <w:ind w:right="60"/>
        <w:rPr>
          <w:rFonts w:ascii="宋体" w:hAnsi="宋体" w:cs="宋体"/>
          <w:sz w:val="24"/>
        </w:rPr>
      </w:pPr>
      <w:r>
        <w:rPr>
          <w:rFonts w:hint="eastAsia" w:ascii="宋体" w:hAnsi="宋体" w:cs="宋体"/>
          <w:sz w:val="24"/>
        </w:rPr>
        <w:t xml:space="preserve">    4.未注册投标供应商可登录浙江政府采购网(http://zfcg.czt.zj.gov.cn/)查看公告下附件或在湖州市吴兴区公共资源交易中心</w:t>
      </w:r>
      <w:r>
        <w:rPr>
          <w:rFonts w:hint="eastAsia" w:ascii="宋体" w:hAnsi="宋体" w:cs="仿宋"/>
          <w:sz w:val="24"/>
        </w:rPr>
        <w:t>http://www.wuxing.gov.cn/hzgov/front/s127/sy/index.html</w:t>
      </w:r>
      <w:r>
        <w:rPr>
          <w:rFonts w:hint="eastAsia" w:ascii="宋体" w:hAnsi="宋体" w:cs="宋体"/>
          <w:sz w:val="24"/>
        </w:rPr>
        <w:t>“政府采购”--“招标公告”版块公告附件下载。招标公告附件内的采购文件仅供阅览使用，投标供应商只有在“政府采购云平台”完成获取采购文件申请并下载了采购文件后才视作依法获取采购文件（投标供应商获取采购文件时间以投标供应商完成获取采购文件申请后下载采购文件的时间为准）。请投标供应商按上述要求获取采购文件，如未在“政采云”系统内完成相关流程，引起的投标无效责任自负。</w:t>
      </w:r>
    </w:p>
    <w:p>
      <w:pPr>
        <w:snapToGrid w:val="0"/>
        <w:spacing w:line="360" w:lineRule="auto"/>
        <w:ind w:firstLine="480" w:firstLineChars="200"/>
        <w:rPr>
          <w:rFonts w:ascii="宋体" w:hAnsi="宋体" w:cs="宋体"/>
          <w:sz w:val="24"/>
        </w:rPr>
      </w:pPr>
      <w:r>
        <w:rPr>
          <w:rFonts w:hint="eastAsia" w:ascii="宋体" w:hAnsi="宋体" w:cs="宋体"/>
          <w:sz w:val="24"/>
        </w:rPr>
        <w:t>5.免费注册网址：浙江政府采购网（投标供应商注册页面）：https://middle.zcygov.cn/v-settle-front/registry“政采云”, 如遇平台技术问题咨询电话：400-881-7190。</w:t>
      </w:r>
    </w:p>
    <w:p>
      <w:pPr>
        <w:snapToGrid w:val="0"/>
        <w:spacing w:line="360" w:lineRule="auto"/>
        <w:ind w:firstLine="480" w:firstLineChars="200"/>
        <w:rPr>
          <w:rFonts w:ascii="宋体" w:hAnsi="宋体" w:cs="宋体"/>
          <w:sz w:val="24"/>
        </w:rPr>
      </w:pPr>
      <w:r>
        <w:rPr>
          <w:rFonts w:hint="eastAsia" w:ascii="宋体" w:hAnsi="宋体" w:cs="宋体"/>
          <w:sz w:val="24"/>
        </w:rPr>
        <w:t>已经注册成功的投标供应商无需重复注册。</w:t>
      </w:r>
    </w:p>
    <w:p>
      <w:pPr>
        <w:snapToGrid w:val="0"/>
        <w:spacing w:line="360" w:lineRule="auto"/>
        <w:ind w:firstLine="482" w:firstLineChars="200"/>
        <w:rPr>
          <w:rFonts w:ascii="宋体" w:hAnsi="宋体" w:cs="宋体"/>
          <w:b/>
          <w:bCs/>
          <w:sz w:val="24"/>
        </w:rPr>
      </w:pPr>
      <w:r>
        <w:rPr>
          <w:rFonts w:hint="eastAsia" w:ascii="宋体" w:hAnsi="宋体" w:cs="宋体"/>
          <w:b/>
          <w:bCs/>
          <w:sz w:val="24"/>
        </w:rPr>
        <w:t>七、</w:t>
      </w:r>
      <w:bookmarkEnd w:id="8"/>
      <w:bookmarkStart w:id="9" w:name="_Toc140"/>
      <w:bookmarkStart w:id="10" w:name="_Toc3484"/>
      <w:r>
        <w:rPr>
          <w:rFonts w:hint="eastAsia" w:ascii="宋体" w:hAnsi="宋体" w:cs="宋体"/>
          <w:b/>
          <w:bCs/>
          <w:sz w:val="24"/>
        </w:rPr>
        <w:t>投标截止时间和投标文件递交地点：</w:t>
      </w:r>
      <w:bookmarkEnd w:id="9"/>
      <w:bookmarkEnd w:id="10"/>
    </w:p>
    <w:p>
      <w:pPr>
        <w:snapToGrid w:val="0"/>
        <w:spacing w:line="360" w:lineRule="auto"/>
        <w:ind w:firstLine="480" w:firstLineChars="200"/>
        <w:rPr>
          <w:rFonts w:ascii="宋体" w:hAnsi="宋体" w:cs="宋体"/>
          <w:sz w:val="24"/>
          <w:highlight w:val="none"/>
        </w:rPr>
      </w:pPr>
      <w:r>
        <w:rPr>
          <w:rFonts w:hint="eastAsia" w:ascii="宋体" w:hAnsi="宋体" w:cs="宋体"/>
          <w:sz w:val="24"/>
        </w:rPr>
        <w:t>（1）投标截止</w:t>
      </w:r>
      <w:r>
        <w:rPr>
          <w:rFonts w:hint="eastAsia" w:ascii="宋体" w:hAnsi="宋体" w:cs="宋体"/>
          <w:sz w:val="24"/>
          <w:highlight w:val="none"/>
        </w:rPr>
        <w:t>时间：2020年</w:t>
      </w:r>
      <w:r>
        <w:rPr>
          <w:rFonts w:hint="eastAsia" w:ascii="宋体" w:hAnsi="宋体" w:cs="宋体"/>
          <w:sz w:val="24"/>
          <w:highlight w:val="none"/>
          <w:lang w:val="en-US" w:eastAsia="zh-CN"/>
        </w:rPr>
        <w:t>11</w:t>
      </w:r>
      <w:r>
        <w:rPr>
          <w:rFonts w:hint="eastAsia" w:ascii="宋体" w:hAnsi="宋体" w:cs="宋体"/>
          <w:sz w:val="24"/>
          <w:highlight w:val="none"/>
        </w:rPr>
        <w:t>月</w:t>
      </w:r>
      <w:r>
        <w:rPr>
          <w:rFonts w:hint="eastAsia" w:ascii="宋体" w:hAnsi="宋体" w:cs="宋体"/>
          <w:sz w:val="24"/>
          <w:highlight w:val="none"/>
          <w:lang w:val="en-US" w:eastAsia="zh-CN"/>
        </w:rPr>
        <w:t>18</w:t>
      </w:r>
      <w:r>
        <w:rPr>
          <w:rFonts w:hint="eastAsia" w:ascii="宋体" w:hAnsi="宋体" w:cs="宋体"/>
          <w:sz w:val="24"/>
          <w:highlight w:val="none"/>
        </w:rPr>
        <w:t>日</w:t>
      </w:r>
      <w:r>
        <w:rPr>
          <w:rFonts w:hint="eastAsia" w:ascii="宋体" w:hAnsi="宋体" w:cs="宋体"/>
          <w:sz w:val="24"/>
          <w:highlight w:val="none"/>
          <w:lang w:val="en-US" w:eastAsia="zh-CN"/>
        </w:rPr>
        <w:t>13</w:t>
      </w:r>
      <w:r>
        <w:rPr>
          <w:rFonts w:hint="eastAsia" w:ascii="宋体" w:hAnsi="宋体" w:cs="宋体"/>
          <w:sz w:val="24"/>
          <w:highlight w:val="none"/>
        </w:rPr>
        <w:t xml:space="preserve"> 时</w:t>
      </w:r>
      <w:r>
        <w:rPr>
          <w:rFonts w:hint="eastAsia" w:ascii="宋体" w:hAnsi="宋体" w:cs="宋体"/>
          <w:sz w:val="24"/>
          <w:highlight w:val="none"/>
          <w:lang w:val="en-US" w:eastAsia="zh-CN"/>
        </w:rPr>
        <w:t>30</w:t>
      </w:r>
      <w:r>
        <w:rPr>
          <w:rFonts w:hint="eastAsia" w:ascii="宋体" w:hAnsi="宋体" w:cs="宋体"/>
          <w:sz w:val="24"/>
          <w:highlight w:val="none"/>
        </w:rPr>
        <w:t>分整。</w:t>
      </w:r>
    </w:p>
    <w:p>
      <w:pPr>
        <w:snapToGrid w:val="0"/>
        <w:spacing w:line="360" w:lineRule="auto"/>
        <w:ind w:firstLine="480" w:firstLineChars="200"/>
        <w:rPr>
          <w:rFonts w:ascii="宋体" w:hAnsi="宋体" w:cs="宋体"/>
          <w:sz w:val="24"/>
        </w:rPr>
      </w:pPr>
      <w:r>
        <w:rPr>
          <w:rFonts w:hint="eastAsia" w:ascii="宋体" w:hAnsi="宋体" w:cs="宋体"/>
          <w:sz w:val="24"/>
        </w:rPr>
        <w:t xml:space="preserve">（2）投标文件递交地点：本项目通过“政府采购云平台（www.zcygov.cn）”实行在线投标响应（电子投标）。 </w:t>
      </w:r>
    </w:p>
    <w:p>
      <w:pPr>
        <w:snapToGrid w:val="0"/>
        <w:spacing w:line="360" w:lineRule="auto"/>
        <w:ind w:firstLine="480" w:firstLineChars="200"/>
        <w:rPr>
          <w:rFonts w:ascii="宋体" w:hAnsi="宋体" w:cs="宋体"/>
          <w:sz w:val="24"/>
        </w:rPr>
      </w:pPr>
      <w:r>
        <w:rPr>
          <w:rFonts w:hint="eastAsia" w:ascii="宋体" w:hAnsi="宋体" w:cs="宋体"/>
          <w:sz w:val="24"/>
        </w:rPr>
        <w:t>（3）投标供应商应当在投标截止时间前，将生成的文件格式“.jmbs”的“电子加密投标文件”上传递交至“政府采购云平台”实行在线投标响应。投标截止时间以后上传递交的投标文件将被“政府采购云平台”拒收。</w:t>
      </w:r>
    </w:p>
    <w:p>
      <w:pPr>
        <w:snapToGrid w:val="0"/>
        <w:spacing w:line="360" w:lineRule="auto"/>
        <w:ind w:firstLine="482" w:firstLineChars="200"/>
        <w:rPr>
          <w:rFonts w:ascii="宋体" w:hAnsi="宋体" w:cs="宋体"/>
          <w:b/>
          <w:bCs/>
          <w:sz w:val="24"/>
        </w:rPr>
      </w:pPr>
      <w:bookmarkStart w:id="11" w:name="_Toc25948"/>
      <w:bookmarkStart w:id="12" w:name="_Toc1896"/>
      <w:r>
        <w:rPr>
          <w:rFonts w:hint="eastAsia" w:ascii="宋体" w:hAnsi="宋体" w:cs="宋体"/>
          <w:b/>
          <w:bCs/>
          <w:sz w:val="24"/>
        </w:rPr>
        <w:t>八、开标时间及地点：</w:t>
      </w:r>
      <w:bookmarkEnd w:id="11"/>
      <w:bookmarkEnd w:id="12"/>
    </w:p>
    <w:p>
      <w:pPr>
        <w:snapToGrid w:val="0"/>
        <w:spacing w:line="360" w:lineRule="auto"/>
        <w:ind w:firstLine="480" w:firstLineChars="200"/>
        <w:rPr>
          <w:rFonts w:ascii="宋体" w:hAnsi="宋体" w:cs="宋体"/>
          <w:sz w:val="24"/>
          <w:highlight w:val="cyan"/>
        </w:rPr>
      </w:pPr>
      <w:r>
        <w:rPr>
          <w:rFonts w:hint="eastAsia" w:ascii="宋体" w:hAnsi="宋体" w:cs="宋体"/>
          <w:sz w:val="24"/>
        </w:rPr>
        <w:t>开标</w:t>
      </w:r>
      <w:r>
        <w:rPr>
          <w:rFonts w:hint="eastAsia" w:ascii="宋体" w:hAnsi="宋体" w:cs="宋体"/>
          <w:sz w:val="24"/>
          <w:highlight w:val="none"/>
        </w:rPr>
        <w:t>时</w:t>
      </w:r>
      <w:r>
        <w:rPr>
          <w:rFonts w:hint="eastAsia" w:ascii="宋体" w:hAnsi="宋体" w:cs="宋体"/>
          <w:sz w:val="24"/>
          <w:highlight w:val="none"/>
        </w:rPr>
        <w:t>间：2020年</w:t>
      </w:r>
      <w:r>
        <w:rPr>
          <w:rFonts w:hint="eastAsia" w:ascii="宋体" w:hAnsi="宋体" w:cs="宋体"/>
          <w:sz w:val="24"/>
          <w:highlight w:val="none"/>
          <w:lang w:val="en-US" w:eastAsia="zh-CN"/>
        </w:rPr>
        <w:t>11</w:t>
      </w:r>
      <w:r>
        <w:rPr>
          <w:rFonts w:hint="eastAsia" w:ascii="宋体" w:hAnsi="宋体" w:cs="宋体"/>
          <w:sz w:val="24"/>
          <w:highlight w:val="none"/>
        </w:rPr>
        <w:t>月</w:t>
      </w:r>
      <w:r>
        <w:rPr>
          <w:rFonts w:hint="eastAsia" w:ascii="宋体" w:hAnsi="宋体" w:cs="宋体"/>
          <w:sz w:val="24"/>
          <w:highlight w:val="none"/>
          <w:lang w:val="en-US" w:eastAsia="zh-CN"/>
        </w:rPr>
        <w:t>18</w:t>
      </w:r>
      <w:r>
        <w:rPr>
          <w:rFonts w:hint="eastAsia" w:ascii="宋体" w:hAnsi="宋体" w:cs="宋体"/>
          <w:sz w:val="24"/>
          <w:highlight w:val="none"/>
        </w:rPr>
        <w:t>日</w:t>
      </w:r>
      <w:r>
        <w:rPr>
          <w:rFonts w:hint="eastAsia" w:ascii="宋体" w:hAnsi="宋体" w:cs="宋体"/>
          <w:sz w:val="24"/>
          <w:highlight w:val="none"/>
          <w:lang w:val="en-US" w:eastAsia="zh-CN"/>
        </w:rPr>
        <w:t>13</w:t>
      </w:r>
      <w:r>
        <w:rPr>
          <w:rFonts w:hint="eastAsia" w:ascii="宋体" w:hAnsi="宋体" w:cs="宋体"/>
          <w:sz w:val="24"/>
          <w:highlight w:val="none"/>
        </w:rPr>
        <w:t xml:space="preserve"> 时</w:t>
      </w:r>
      <w:r>
        <w:rPr>
          <w:rFonts w:hint="eastAsia" w:ascii="宋体" w:hAnsi="宋体" w:cs="宋体"/>
          <w:sz w:val="24"/>
          <w:highlight w:val="none"/>
          <w:lang w:val="en-US" w:eastAsia="zh-CN"/>
        </w:rPr>
        <w:t>30</w:t>
      </w:r>
      <w:r>
        <w:rPr>
          <w:rFonts w:hint="eastAsia" w:ascii="宋体" w:hAnsi="宋体" w:cs="宋体"/>
          <w:sz w:val="24"/>
          <w:highlight w:val="none"/>
        </w:rPr>
        <w:t>分整。</w:t>
      </w:r>
    </w:p>
    <w:p>
      <w:pPr>
        <w:snapToGrid w:val="0"/>
        <w:spacing w:line="360" w:lineRule="auto"/>
        <w:ind w:firstLine="480" w:firstLineChars="200"/>
        <w:rPr>
          <w:rFonts w:ascii="宋体" w:hAnsi="宋体" w:cs="宋体"/>
          <w:sz w:val="24"/>
        </w:rPr>
      </w:pPr>
      <w:r>
        <w:rPr>
          <w:rFonts w:hint="eastAsia" w:ascii="宋体" w:hAnsi="宋体" w:cs="宋体"/>
          <w:sz w:val="24"/>
        </w:rPr>
        <w:t>开标地点：采购代理机构在湖州市吴兴区公共资源交易中</w:t>
      </w:r>
      <w:r>
        <w:rPr>
          <w:rFonts w:hint="eastAsia" w:ascii="宋体" w:hAnsi="宋体" w:cs="宋体"/>
          <w:sz w:val="24"/>
          <w:highlight w:val="none"/>
        </w:rPr>
        <w:t>心开标室</w:t>
      </w:r>
      <w:r>
        <w:rPr>
          <w:rFonts w:hint="eastAsia" w:ascii="宋体" w:hAnsi="宋体" w:cs="宋体"/>
          <w:sz w:val="24"/>
          <w:highlight w:val="none"/>
          <w:lang w:eastAsia="zh-CN"/>
        </w:rPr>
        <w:t>（</w:t>
      </w:r>
      <w:r>
        <w:rPr>
          <w:rFonts w:hint="eastAsia" w:ascii="宋体" w:hAnsi="宋体" w:cs="宋体"/>
          <w:sz w:val="24"/>
          <w:highlight w:val="none"/>
          <w:lang w:val="en-US" w:eastAsia="zh-CN"/>
        </w:rPr>
        <w:t>403</w:t>
      </w:r>
      <w:r>
        <w:rPr>
          <w:rFonts w:hint="eastAsia" w:ascii="宋体" w:hAnsi="宋体" w:cs="宋体"/>
          <w:sz w:val="24"/>
          <w:highlight w:val="none"/>
        </w:rPr>
        <w:t>号）</w:t>
      </w:r>
      <w:r>
        <w:rPr>
          <w:rFonts w:hint="eastAsia" w:ascii="宋体" w:hAnsi="宋体" w:cs="宋体"/>
          <w:sz w:val="24"/>
        </w:rPr>
        <w:t>【湖州市吴兴区区府路1188 号总部自由港E 幢4楼】对本项目进行开标。投标供应商应在投标截止时间前委派投标代表（法定代表人或授权委托人）登入“政府采购云平台（www.zcygov.cn）”在线参与开标，并CA锁在线解密投标文件等完成相关工作 。</w:t>
      </w:r>
    </w:p>
    <w:p>
      <w:pPr>
        <w:snapToGrid w:val="0"/>
        <w:spacing w:line="400" w:lineRule="exact"/>
        <w:ind w:firstLine="472" w:firstLineChars="196"/>
        <w:rPr>
          <w:rFonts w:ascii="宋体" w:hAnsi="宋体" w:cs="宋体"/>
          <w:b/>
          <w:kern w:val="0"/>
          <w:sz w:val="24"/>
        </w:rPr>
      </w:pPr>
      <w:r>
        <w:rPr>
          <w:rFonts w:hint="eastAsia" w:cs="宋体"/>
          <w:b/>
          <w:sz w:val="24"/>
        </w:rPr>
        <w:t>注：</w:t>
      </w:r>
      <w:r>
        <w:rPr>
          <w:rFonts w:hint="eastAsia" w:cs="宋体"/>
          <w:b/>
          <w:sz w:val="24"/>
        </w:rPr>
        <w:fldChar w:fldCharType="begin"/>
      </w:r>
      <w:r>
        <w:rPr>
          <w:rFonts w:hint="eastAsia" w:cs="宋体"/>
          <w:b/>
          <w:sz w:val="24"/>
        </w:rPr>
        <w:instrText xml:space="preserve"> EQ \o\ac(</w:instrText>
      </w:r>
      <w:r>
        <w:rPr>
          <w:rFonts w:hint="eastAsia" w:ascii="宋体" w:hAnsi="宋体" w:cs="宋体"/>
          <w:b/>
          <w:position w:val="-4"/>
          <w:sz w:val="36"/>
          <w:lang w:bidi="zh-CN"/>
        </w:rPr>
        <w:instrText xml:space="preserve">○</w:instrText>
      </w:r>
      <w:r>
        <w:rPr>
          <w:rFonts w:hint="eastAsia" w:cs="宋体"/>
          <w:b/>
          <w:sz w:val="24"/>
        </w:rPr>
        <w:instrText xml:space="preserve">,1)</w:instrText>
      </w:r>
      <w:r>
        <w:rPr>
          <w:rFonts w:hint="eastAsia" w:cs="宋体"/>
          <w:b/>
          <w:sz w:val="24"/>
        </w:rPr>
        <w:fldChar w:fldCharType="end"/>
      </w:r>
      <w:r>
        <w:rPr>
          <w:rFonts w:hint="eastAsia" w:ascii="宋体" w:hAnsi="宋体" w:cs="宋体"/>
          <w:b/>
          <w:kern w:val="0"/>
          <w:sz w:val="24"/>
        </w:rPr>
        <w:t>供应商可以派授权代表出席开标会议（授权代表必须携带身份证、法人授权委托书或法人身份证明文书等有效证明文件以及最近一个月个人社保缴纳证明文件。）。</w:t>
      </w:r>
    </w:p>
    <w:p>
      <w:pPr>
        <w:pStyle w:val="28"/>
        <w:adjustRightInd w:val="0"/>
        <w:snapToGrid w:val="0"/>
        <w:spacing w:line="400" w:lineRule="exact"/>
        <w:ind w:firstLine="964" w:firstLineChars="400"/>
      </w:pPr>
      <w:r>
        <w:rPr>
          <w:rFonts w:hint="eastAsia" w:cs="宋体"/>
          <w:b/>
          <w:kern w:val="0"/>
          <w:sz w:val="24"/>
        </w:rPr>
        <w:fldChar w:fldCharType="begin"/>
      </w:r>
      <w:r>
        <w:rPr>
          <w:rFonts w:hint="eastAsia" w:cs="宋体"/>
          <w:b/>
          <w:kern w:val="0"/>
          <w:sz w:val="24"/>
        </w:rPr>
        <w:instrText xml:space="preserve"> EQ \o\ac(</w:instrText>
      </w:r>
      <w:r>
        <w:rPr>
          <w:rFonts w:hint="eastAsia" w:cs="宋体"/>
          <w:b/>
          <w:kern w:val="0"/>
          <w:position w:val="-4"/>
          <w:sz w:val="36"/>
          <w:lang w:bidi="zh-CN"/>
        </w:rPr>
        <w:instrText xml:space="preserve">○</w:instrText>
      </w:r>
      <w:r>
        <w:rPr>
          <w:rFonts w:hint="eastAsia" w:cs="宋体"/>
          <w:b/>
          <w:kern w:val="0"/>
          <w:sz w:val="24"/>
        </w:rPr>
        <w:instrText xml:space="preserve">,2)</w:instrText>
      </w:r>
      <w:r>
        <w:rPr>
          <w:rFonts w:hint="eastAsia" w:cs="宋体"/>
          <w:b/>
          <w:kern w:val="0"/>
          <w:sz w:val="24"/>
        </w:rPr>
        <w:fldChar w:fldCharType="end"/>
      </w:r>
      <w:r>
        <w:rPr>
          <w:rFonts w:hint="eastAsia" w:cs="宋体"/>
          <w:b/>
          <w:kern w:val="0"/>
          <w:sz w:val="24"/>
        </w:rPr>
        <w:t>疫情防控期，按照“不见面、少接触”的原则，投标人可不委派专人（法定代表人或委托代理人）参加现场开标。</w:t>
      </w:r>
    </w:p>
    <w:p>
      <w:pPr>
        <w:snapToGrid w:val="0"/>
        <w:spacing w:line="360" w:lineRule="auto"/>
        <w:ind w:firstLine="482" w:firstLineChars="200"/>
        <w:rPr>
          <w:rFonts w:ascii="宋体" w:hAnsi="宋体" w:cs="宋体"/>
          <w:b/>
          <w:bCs/>
          <w:sz w:val="24"/>
        </w:rPr>
      </w:pPr>
      <w:r>
        <w:rPr>
          <w:rFonts w:hint="eastAsia" w:ascii="宋体" w:hAnsi="宋体" w:cs="宋体"/>
          <w:b/>
          <w:bCs/>
          <w:sz w:val="24"/>
        </w:rPr>
        <w:t>九、投标保证金：无</w:t>
      </w:r>
    </w:p>
    <w:p>
      <w:pPr>
        <w:snapToGrid w:val="0"/>
        <w:spacing w:line="360" w:lineRule="auto"/>
        <w:ind w:firstLine="482" w:firstLineChars="200"/>
        <w:rPr>
          <w:rFonts w:ascii="宋体" w:hAnsi="宋体" w:cs="宋体"/>
          <w:b/>
          <w:bCs/>
          <w:sz w:val="24"/>
        </w:rPr>
      </w:pPr>
      <w:r>
        <w:rPr>
          <w:rFonts w:hint="eastAsia" w:ascii="宋体" w:hAnsi="宋体" w:cs="宋体"/>
          <w:b/>
          <w:bCs/>
          <w:sz w:val="24"/>
        </w:rPr>
        <w:t>十、在线投标响应（电子投标）说明</w:t>
      </w:r>
    </w:p>
    <w:p>
      <w:pPr>
        <w:snapToGrid w:val="0"/>
        <w:spacing w:line="360" w:lineRule="auto"/>
        <w:ind w:firstLine="480" w:firstLineChars="200"/>
        <w:rPr>
          <w:rFonts w:ascii="宋体" w:hAnsi="宋体" w:cs="宋体"/>
          <w:sz w:val="24"/>
        </w:rPr>
      </w:pPr>
      <w:bookmarkStart w:id="13" w:name="_Toc32145"/>
      <w:bookmarkStart w:id="14" w:name="_Toc4490"/>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本项目通过“政府采购云平台（www.zcygov.cn）”实行在线投标（电子投标），投标供应商应先安装“政采云电子交易客户端”，“政采云电子交易客户端”请自行前往“浙江政府采购网-下载专区-电子交易客户端”进行下载；投标供应商电子交易操作指南详见网址：</w:t>
      </w:r>
      <w:r>
        <w:fldChar w:fldCharType="begin"/>
      </w:r>
      <w:r>
        <w:instrText xml:space="preserve"> HYPERLINK "https://help.zcygov.cn/web/site_2/2018/12-28/2573.html" </w:instrText>
      </w:r>
      <w:r>
        <w:fldChar w:fldCharType="separate"/>
      </w:r>
      <w:r>
        <w:rPr>
          <w:rFonts w:hint="eastAsia" w:ascii="宋体" w:hAnsi="宋体" w:cs="宋体"/>
          <w:sz w:val="24"/>
        </w:rPr>
        <w:t>https://help.zcygov.cn/web/site_2/2018/12-28/2573.html</w:t>
      </w:r>
      <w:r>
        <w:rPr>
          <w:rFonts w:hint="eastAsia" w:ascii="宋体" w:hAnsi="宋体" w:cs="宋体"/>
          <w:sz w:val="24"/>
        </w:rPr>
        <w:fldChar w:fldCharType="end"/>
      </w:r>
      <w:r>
        <w:rPr>
          <w:rFonts w:hint="eastAsia" w:ascii="宋体" w:hAnsi="宋体" w:cs="宋体"/>
          <w:sz w:val="24"/>
        </w:rPr>
        <w:t>）。</w:t>
      </w:r>
    </w:p>
    <w:p>
      <w:pPr>
        <w:spacing w:line="360" w:lineRule="auto"/>
        <w:ind w:firstLine="480"/>
        <w:outlineLvl w:val="0"/>
        <w:rPr>
          <w:rFonts w:ascii="宋体" w:hAnsi="宋体" w:cs="宋体"/>
          <w:sz w:val="24"/>
        </w:rPr>
      </w:pPr>
      <w:r>
        <w:rPr>
          <w:rFonts w:hint="eastAsia" w:ascii="宋体" w:hAnsi="宋体" w:cs="宋体"/>
          <w:sz w:val="24"/>
        </w:rPr>
        <w:t>2. 为确保网上操作合法、有效和安全，投标供应商应当在开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供应商自行把握时间），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w:t>
      </w:r>
    </w:p>
    <w:p>
      <w:pPr>
        <w:spacing w:line="360" w:lineRule="auto"/>
        <w:ind w:firstLine="470" w:firstLineChars="196"/>
        <w:outlineLvl w:val="0"/>
        <w:rPr>
          <w:rFonts w:ascii="宋体" w:hAnsi="宋体" w:cs="宋体"/>
          <w:kern w:val="0"/>
          <w:sz w:val="24"/>
        </w:rPr>
      </w:pPr>
      <w:r>
        <w:rPr>
          <w:rFonts w:hint="eastAsia" w:ascii="宋体" w:hAnsi="宋体" w:cs="宋体"/>
          <w:kern w:val="0"/>
          <w:sz w:val="24"/>
        </w:rPr>
        <w:t>3.投标文件递交方式：</w:t>
      </w:r>
    </w:p>
    <w:p>
      <w:pPr>
        <w:snapToGrid w:val="0"/>
        <w:spacing w:line="400" w:lineRule="exact"/>
        <w:ind w:firstLine="470" w:firstLineChars="196"/>
        <w:rPr>
          <w:rFonts w:ascii="宋体" w:hAnsi="宋体" w:cs="宋体"/>
          <w:kern w:val="0"/>
          <w:sz w:val="24"/>
        </w:rPr>
      </w:pPr>
      <w:r>
        <w:rPr>
          <w:rFonts w:hint="eastAsia" w:cs="宋体"/>
          <w:kern w:val="0"/>
          <w:sz w:val="24"/>
        </w:rPr>
        <w:t>3.1</w:t>
      </w:r>
      <w:r>
        <w:rPr>
          <w:rFonts w:hint="eastAsia" w:ascii="宋体" w:hAnsi="宋体" w:cs="宋体"/>
          <w:kern w:val="0"/>
          <w:sz w:val="24"/>
        </w:rPr>
        <w:t>供应</w:t>
      </w:r>
      <w:r>
        <w:rPr>
          <w:rFonts w:hint="eastAsia" w:ascii="宋体" w:hAnsi="宋体" w:cs="宋体"/>
          <w:kern w:val="0"/>
          <w:sz w:val="24"/>
          <w:highlight w:val="none"/>
        </w:rPr>
        <w:t>商应当</w:t>
      </w:r>
      <w:r>
        <w:rPr>
          <w:rFonts w:hint="eastAsia" w:ascii="宋体" w:hAnsi="宋体" w:cs="宋体"/>
          <w:color w:val="auto"/>
          <w:kern w:val="0"/>
          <w:sz w:val="24"/>
          <w:highlight w:val="none"/>
        </w:rPr>
        <w:t>在2020年</w:t>
      </w:r>
      <w:r>
        <w:rPr>
          <w:rFonts w:hint="eastAsia" w:ascii="宋体" w:hAnsi="宋体" w:cs="宋体"/>
          <w:color w:val="auto"/>
          <w:kern w:val="0"/>
          <w:sz w:val="24"/>
          <w:highlight w:val="none"/>
          <w:lang w:val="en-US" w:eastAsia="zh-CN"/>
        </w:rPr>
        <w:t>11</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18</w:t>
      </w:r>
      <w:r>
        <w:rPr>
          <w:rFonts w:hint="eastAsia" w:ascii="宋体" w:hAnsi="宋体" w:cs="宋体"/>
          <w:color w:val="auto"/>
          <w:kern w:val="0"/>
          <w:sz w:val="24"/>
          <w:highlight w:val="none"/>
        </w:rPr>
        <w:t>日</w:t>
      </w:r>
      <w:r>
        <w:rPr>
          <w:rFonts w:hint="eastAsia" w:ascii="宋体" w:hAnsi="宋体" w:cs="宋体"/>
          <w:color w:val="auto"/>
          <w:kern w:val="0"/>
          <w:sz w:val="24"/>
          <w:highlight w:val="none"/>
          <w:lang w:eastAsia="zh-CN"/>
        </w:rPr>
        <w:t>下午</w:t>
      </w:r>
      <w:r>
        <w:rPr>
          <w:rFonts w:hint="eastAsia" w:ascii="宋体" w:hAnsi="宋体" w:cs="宋体"/>
          <w:color w:val="auto"/>
          <w:kern w:val="0"/>
          <w:sz w:val="24"/>
          <w:highlight w:val="none"/>
          <w:lang w:val="en-US" w:eastAsia="zh-CN"/>
        </w:rPr>
        <w:t>13</w:t>
      </w:r>
      <w:r>
        <w:rPr>
          <w:rFonts w:hint="eastAsia" w:ascii="宋体" w:hAnsi="宋体" w:cs="宋体"/>
          <w:color w:val="auto"/>
          <w:kern w:val="0"/>
          <w:sz w:val="24"/>
          <w:highlight w:val="none"/>
        </w:rPr>
        <w:t>:</w:t>
      </w:r>
      <w:r>
        <w:rPr>
          <w:rFonts w:hint="eastAsia" w:cs="宋体"/>
          <w:color w:val="auto"/>
          <w:kern w:val="0"/>
          <w:sz w:val="24"/>
          <w:highlight w:val="none"/>
          <w:lang w:val="en-US" w:eastAsia="zh-CN"/>
        </w:rPr>
        <w:t>3</w:t>
      </w:r>
      <w:r>
        <w:rPr>
          <w:rFonts w:hint="eastAsia" w:ascii="宋体" w:hAnsi="宋体" w:cs="宋体"/>
          <w:color w:val="auto"/>
          <w:kern w:val="0"/>
          <w:sz w:val="24"/>
          <w:highlight w:val="none"/>
        </w:rPr>
        <w:t>0 时</w:t>
      </w:r>
      <w:r>
        <w:rPr>
          <w:rFonts w:hint="eastAsia" w:ascii="宋体" w:hAnsi="宋体" w:cs="宋体"/>
          <w:kern w:val="0"/>
          <w:sz w:val="24"/>
        </w:rPr>
        <w:t>（北京时间）</w:t>
      </w:r>
      <w:r>
        <w:rPr>
          <w:rFonts w:hint="eastAsia" w:cs="宋体"/>
          <w:kern w:val="0"/>
          <w:sz w:val="24"/>
        </w:rPr>
        <w:t>前</w:t>
      </w:r>
      <w:r>
        <w:rPr>
          <w:rFonts w:hint="eastAsia" w:ascii="宋体" w:hAnsi="宋体" w:cs="宋体"/>
          <w:kern w:val="0"/>
          <w:sz w:val="24"/>
        </w:rPr>
        <w:t>，将生成的“电子加密</w:t>
      </w:r>
      <w:r>
        <w:rPr>
          <w:rFonts w:hint="eastAsia" w:ascii="宋体" w:hAnsi="宋体" w:cs="宋体"/>
          <w:kern w:val="0"/>
          <w:sz w:val="24"/>
          <w:lang w:eastAsia="zh-CN"/>
        </w:rPr>
        <w:t>投标文件</w:t>
      </w:r>
      <w:r>
        <w:rPr>
          <w:rFonts w:hint="eastAsia" w:ascii="宋体" w:hAnsi="宋体" w:cs="宋体"/>
          <w:kern w:val="0"/>
          <w:sz w:val="24"/>
        </w:rPr>
        <w:t>”上传递交至“政采云平台”。（未准时上传的视为放弃投标资格，作无效标处理）。</w:t>
      </w:r>
    </w:p>
    <w:p>
      <w:pPr>
        <w:snapToGrid w:val="0"/>
        <w:spacing w:line="400" w:lineRule="exact"/>
        <w:ind w:firstLine="470" w:firstLineChars="196"/>
        <w:rPr>
          <w:rFonts w:ascii="宋体" w:hAnsi="宋体" w:cs="宋体"/>
          <w:kern w:val="0"/>
          <w:sz w:val="24"/>
        </w:rPr>
      </w:pPr>
      <w:r>
        <w:rPr>
          <w:rFonts w:hint="eastAsia" w:cs="宋体"/>
          <w:kern w:val="0"/>
          <w:sz w:val="24"/>
        </w:rPr>
        <w:t>3.2</w:t>
      </w:r>
      <w:r>
        <w:rPr>
          <w:rFonts w:hint="eastAsia" w:ascii="宋体" w:hAnsi="宋体" w:cs="宋体"/>
          <w:kern w:val="0"/>
          <w:sz w:val="24"/>
        </w:rPr>
        <w:t>数据电子备份投标文件（U 盘）：以 U 盘形式提供的数据电子备份投标文件格式及内容须与政采云平台项目采购-电子交易操作指南中制作、加密并递交的电子投标文件格式及内容一致。）</w:t>
      </w:r>
    </w:p>
    <w:p>
      <w:pPr>
        <w:snapToGrid w:val="0"/>
        <w:spacing w:line="400" w:lineRule="exact"/>
        <w:ind w:firstLine="470" w:firstLineChars="196"/>
        <w:rPr>
          <w:rFonts w:ascii="宋体" w:hAnsi="宋体" w:cs="宋体"/>
          <w:kern w:val="0"/>
          <w:sz w:val="24"/>
        </w:rPr>
      </w:pPr>
      <w:r>
        <w:rPr>
          <w:rFonts w:hint="eastAsia" w:cs="宋体"/>
          <w:kern w:val="0"/>
          <w:sz w:val="24"/>
        </w:rPr>
        <w:t>3.3供应商可以以现场递交或邮寄的形式递交以介质存储的数据电文形式的</w:t>
      </w:r>
      <w:r>
        <w:rPr>
          <w:rFonts w:hint="eastAsia" w:cs="宋体"/>
          <w:kern w:val="0"/>
          <w:sz w:val="24"/>
          <w:lang w:eastAsia="zh-CN"/>
        </w:rPr>
        <w:t>备份</w:t>
      </w:r>
      <w:r>
        <w:rPr>
          <w:rFonts w:hint="eastAsia" w:cs="宋体"/>
          <w:kern w:val="0"/>
          <w:sz w:val="24"/>
        </w:rPr>
        <w:t>投标文件，现场递交地址为：</w:t>
      </w:r>
      <w:r>
        <w:rPr>
          <w:rFonts w:hint="eastAsia" w:cs="宋体"/>
          <w:b/>
          <w:bCs/>
          <w:kern w:val="0"/>
          <w:sz w:val="24"/>
        </w:rPr>
        <w:t>湖州市吴兴区公</w:t>
      </w:r>
      <w:r>
        <w:rPr>
          <w:rFonts w:hint="eastAsia" w:cs="宋体"/>
          <w:b/>
          <w:bCs/>
          <w:kern w:val="0"/>
          <w:sz w:val="24"/>
          <w:highlight w:val="none"/>
        </w:rPr>
        <w:t>共资源交易中心开标室（</w:t>
      </w:r>
      <w:r>
        <w:rPr>
          <w:rFonts w:hint="eastAsia" w:cs="宋体"/>
          <w:b/>
          <w:bCs/>
          <w:kern w:val="0"/>
          <w:sz w:val="24"/>
          <w:highlight w:val="none"/>
          <w:lang w:val="en-US" w:eastAsia="zh-CN"/>
        </w:rPr>
        <w:t>403</w:t>
      </w:r>
      <w:r>
        <w:rPr>
          <w:rFonts w:hint="eastAsia" w:cs="宋体"/>
          <w:b/>
          <w:bCs/>
          <w:kern w:val="0"/>
          <w:sz w:val="24"/>
          <w:highlight w:val="none"/>
        </w:rPr>
        <w:t>号）【</w:t>
      </w:r>
      <w:r>
        <w:rPr>
          <w:rFonts w:hint="eastAsia" w:cs="宋体"/>
          <w:b/>
          <w:bCs/>
          <w:kern w:val="0"/>
          <w:sz w:val="24"/>
        </w:rPr>
        <w:t>湖州市吴兴区区府路1188 号总部自由港E 幢4楼】</w:t>
      </w:r>
      <w:r>
        <w:rPr>
          <w:rFonts w:hint="eastAsia" w:cs="宋体"/>
          <w:kern w:val="0"/>
          <w:sz w:val="24"/>
        </w:rPr>
        <w:t>，</w:t>
      </w:r>
      <w:r>
        <w:rPr>
          <w:rFonts w:hint="eastAsia" w:ascii="宋体" w:hAnsi="宋体" w:cs="宋体"/>
          <w:kern w:val="0"/>
          <w:sz w:val="24"/>
        </w:rPr>
        <w:t>供应商若采用邮寄方式递交数据电子备份投标文件（快递单上请注明项目编号及供应商名称）；邮寄地址为：</w:t>
      </w:r>
      <w:r>
        <w:rPr>
          <w:rFonts w:hint="eastAsia" w:cs="宋体"/>
          <w:b/>
          <w:bCs/>
          <w:kern w:val="0"/>
          <w:sz w:val="24"/>
        </w:rPr>
        <w:t>湖州星兴工程咨询有限公司</w:t>
      </w:r>
      <w:r>
        <w:rPr>
          <w:rFonts w:hint="eastAsia" w:ascii="宋体" w:hAnsi="宋体" w:cs="宋体"/>
          <w:b/>
          <w:bCs/>
          <w:kern w:val="0"/>
          <w:sz w:val="24"/>
        </w:rPr>
        <w:t>[湖州市</w:t>
      </w:r>
      <w:r>
        <w:rPr>
          <w:rFonts w:hint="eastAsia" w:cs="宋体"/>
          <w:b/>
          <w:bCs/>
          <w:kern w:val="0"/>
          <w:sz w:val="24"/>
        </w:rPr>
        <w:t>赵湾仁皇佳苑108-2幢</w:t>
      </w:r>
      <w:r>
        <w:rPr>
          <w:rFonts w:hint="eastAsia" w:ascii="宋体" w:hAnsi="宋体" w:cs="宋体"/>
          <w:b/>
          <w:bCs/>
          <w:kern w:val="0"/>
          <w:sz w:val="24"/>
        </w:rPr>
        <w:t>]</w:t>
      </w:r>
      <w:r>
        <w:rPr>
          <w:rFonts w:hint="eastAsia" w:ascii="宋体" w:hAnsi="宋体" w:cs="宋体"/>
          <w:kern w:val="0"/>
          <w:sz w:val="24"/>
        </w:rPr>
        <w:t>，联系电话：</w:t>
      </w:r>
      <w:r>
        <w:rPr>
          <w:rFonts w:hint="eastAsia" w:cs="宋体"/>
          <w:kern w:val="0"/>
          <w:sz w:val="24"/>
        </w:rPr>
        <w:t>0572-2630018。</w:t>
      </w:r>
      <w:r>
        <w:rPr>
          <w:rFonts w:hint="eastAsia" w:ascii="宋体" w:hAnsi="宋体" w:cs="宋体"/>
          <w:kern w:val="0"/>
          <w:sz w:val="24"/>
        </w:rPr>
        <w:t>数据电子备份投标文件（U 盘）接收截止时</w:t>
      </w:r>
      <w:r>
        <w:rPr>
          <w:rFonts w:hint="eastAsia" w:ascii="宋体" w:hAnsi="宋体" w:cs="宋体"/>
          <w:kern w:val="0"/>
          <w:sz w:val="24"/>
          <w:highlight w:val="none"/>
        </w:rPr>
        <w:t>间：</w:t>
      </w:r>
      <w:r>
        <w:rPr>
          <w:rFonts w:hint="eastAsia" w:ascii="宋体" w:hAnsi="宋体" w:cs="宋体"/>
          <w:b/>
          <w:bCs/>
          <w:color w:val="auto"/>
          <w:kern w:val="0"/>
          <w:sz w:val="24"/>
          <w:highlight w:val="none"/>
        </w:rPr>
        <w:t>为2020年</w:t>
      </w:r>
      <w:r>
        <w:rPr>
          <w:rFonts w:hint="eastAsia" w:ascii="宋体" w:hAnsi="宋体" w:cs="宋体"/>
          <w:b/>
          <w:bCs/>
          <w:color w:val="auto"/>
          <w:kern w:val="0"/>
          <w:sz w:val="24"/>
          <w:highlight w:val="none"/>
          <w:lang w:val="en-US" w:eastAsia="zh-CN"/>
        </w:rPr>
        <w:t>11</w:t>
      </w:r>
      <w:r>
        <w:rPr>
          <w:rFonts w:hint="eastAsia" w:ascii="宋体" w:hAnsi="宋体" w:cs="宋体"/>
          <w:b/>
          <w:bCs/>
          <w:color w:val="auto"/>
          <w:kern w:val="0"/>
          <w:sz w:val="24"/>
          <w:highlight w:val="none"/>
        </w:rPr>
        <w:t>月</w:t>
      </w:r>
      <w:r>
        <w:rPr>
          <w:rFonts w:hint="eastAsia" w:ascii="宋体" w:hAnsi="宋体" w:cs="宋体"/>
          <w:b/>
          <w:bCs/>
          <w:color w:val="auto"/>
          <w:kern w:val="0"/>
          <w:sz w:val="24"/>
          <w:highlight w:val="none"/>
          <w:lang w:val="en-US" w:eastAsia="zh-CN"/>
        </w:rPr>
        <w:t>18</w:t>
      </w:r>
      <w:r>
        <w:rPr>
          <w:rFonts w:hint="eastAsia" w:ascii="宋体" w:hAnsi="宋体" w:cs="宋体"/>
          <w:b/>
          <w:bCs/>
          <w:color w:val="auto"/>
          <w:kern w:val="0"/>
          <w:sz w:val="24"/>
          <w:highlight w:val="none"/>
        </w:rPr>
        <w:t>日</w:t>
      </w:r>
      <w:r>
        <w:rPr>
          <w:rFonts w:hint="eastAsia" w:cs="宋体"/>
          <w:b/>
          <w:bCs/>
          <w:color w:val="auto"/>
          <w:kern w:val="0"/>
          <w:sz w:val="24"/>
          <w:highlight w:val="none"/>
          <w:lang w:eastAsia="zh-CN"/>
        </w:rPr>
        <w:t>上午</w:t>
      </w:r>
      <w:r>
        <w:rPr>
          <w:rFonts w:hint="eastAsia" w:cs="宋体"/>
          <w:b/>
          <w:bCs/>
          <w:color w:val="auto"/>
          <w:kern w:val="0"/>
          <w:sz w:val="24"/>
          <w:highlight w:val="none"/>
          <w:lang w:val="en-US" w:eastAsia="zh-CN"/>
        </w:rPr>
        <w:t>12</w:t>
      </w:r>
      <w:r>
        <w:rPr>
          <w:rFonts w:hint="eastAsia" w:ascii="宋体" w:hAnsi="宋体" w:cs="宋体"/>
          <w:b/>
          <w:bCs/>
          <w:color w:val="auto"/>
          <w:kern w:val="0"/>
          <w:sz w:val="24"/>
          <w:highlight w:val="none"/>
        </w:rPr>
        <w:t>:00 时前</w:t>
      </w:r>
      <w:r>
        <w:rPr>
          <w:rFonts w:hint="eastAsia" w:ascii="宋体" w:hAnsi="宋体" w:cs="宋体"/>
          <w:color w:val="auto"/>
          <w:kern w:val="0"/>
          <w:sz w:val="24"/>
          <w:highlight w:val="none"/>
        </w:rPr>
        <w:t>，</w:t>
      </w:r>
      <w:r>
        <w:rPr>
          <w:rFonts w:hint="eastAsia" w:ascii="宋体" w:hAnsi="宋体" w:cs="宋体"/>
          <w:kern w:val="0"/>
          <w:sz w:val="24"/>
        </w:rPr>
        <w:t>逾期送达或未密封的将被拒收。由代理公司二名人员（一名接收人、一名监督人员）统一负责接收数据电子备份投标文件（U 盘），二人均在接收记录单上对数据电子备份投标文件（U 盘）快递包裹的相关情况签字确认，与投标资料一并归档，接收文件全过程将录音录像。</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注：1）供应商应权衡利弊考虑是否提供数据电子备份投标文件（U盘），采购人及采购代理机构不做强制性要求，若因下一条款（第4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招标文件中关于数据电子备份投标文件（U盘）的要求及内容不再适用。</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3.4.CA 锁解密时间为开标当日投标截止时间后，各供应商须提供符合要求的 CA 加密后的电子投标文件、有效的 CA 锁供开标当天解密，投标截止时间止未完成上传的电子投标文件或未按招标文件要求密封、包装的数据电子备份投标文件（U 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 盘），数据电子备份投标文件（U 盘）未提供或因供应商问题造成无法打开的，作无效标处理。若正常解密成功，则数据电子备份投标文件（U 盘）不予开启。在下一顺位的投标文件启用时，前一顺位的投标文件自动失效。</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4.供应商须在线获取CA数字证书（完成CA数字证书办理预计一周左右，建议各供应商自行把握时间，办理流程详见</w:t>
      </w:r>
    </w:p>
    <w:p>
      <w:pPr>
        <w:snapToGrid w:val="0"/>
        <w:spacing w:line="400" w:lineRule="exact"/>
        <w:ind w:firstLine="470" w:firstLineChars="196"/>
        <w:rPr>
          <w:rFonts w:ascii="宋体" w:hAnsi="宋体" w:cs="宋体"/>
          <w:kern w:val="0"/>
          <w:sz w:val="24"/>
        </w:rPr>
      </w:pPr>
      <w:r>
        <w:rPr>
          <w:rFonts w:hint="eastAsia" w:ascii="宋体" w:hAnsi="宋体" w:cs="宋体"/>
          <w:kern w:val="0"/>
          <w:sz w:val="24"/>
          <w:lang w:val="en-US"/>
        </w:rPr>
        <w:t>http://zfcg.czt.zj.gov.cn/bidClientTemplate/2019-05-27/12945.html</w:t>
      </w:r>
      <w:r>
        <w:rPr>
          <w:rFonts w:hint="eastAsia" w:ascii="宋体" w:hAnsi="宋体" w:cs="宋体"/>
          <w:kern w:val="0"/>
          <w:sz w:val="24"/>
        </w:rPr>
        <w:t>），并登陆“浙江省政府采购网”(http://www.zjzfcg.gov.cn)，进入“下载专区”下载“电子交易客户端”，制作投标文件。</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5.供应商须将制作、加密后的电子版投标文件于投标截止时间前上传到政采云系统中，超过投标截止时间上传的，均按无效标处理。</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6.供应商通过政采云平台电子投标工具制作投标文件，电子投标工具请供应商自行前往浙江省政府采购网下载并安装，（下载网址：</w:t>
      </w:r>
      <w:r>
        <w:rPr>
          <w:rFonts w:hint="eastAsia" w:ascii="宋体" w:hAnsi="宋体" w:cs="宋体"/>
          <w:kern w:val="0"/>
          <w:sz w:val="24"/>
          <w:lang w:val="en-US"/>
        </w:rPr>
        <w:t>http://zfcg.czt.zj.gov.cn</w:t>
      </w:r>
      <w:r>
        <w:rPr>
          <w:rFonts w:hint="eastAsia" w:ascii="宋体" w:hAnsi="宋体" w:cs="宋体"/>
          <w:kern w:val="0"/>
          <w:sz w:val="24"/>
        </w:rPr>
        <w:t>/bidClientTemplate/2019-09-24/12975.html），供应商电子交易操作指南详见网址：https://help.zcygov.cn/web/site_2/2018/12-28/2573.html）；</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具体的投标文件加密上传等操作详见政采云平台操作指南。</w:t>
      </w:r>
    </w:p>
    <w:p>
      <w:pPr>
        <w:snapToGrid w:val="0"/>
        <w:spacing w:line="400" w:lineRule="exact"/>
        <w:ind w:firstLine="548" w:firstLineChars="196"/>
        <w:rPr>
          <w:rFonts w:ascii="宋体" w:hAnsi="宋体" w:cs="宋体"/>
          <w:kern w:val="0"/>
          <w:sz w:val="24"/>
        </w:rPr>
      </w:pPr>
      <w:r>
        <w:fldChar w:fldCharType="begin"/>
      </w:r>
      <w:r>
        <w:instrText xml:space="preserve"> HYPERLINK "https://edu.zcygov.cn/luban/e-biding?utm=a0004.2ef5001f.0001.0109.da8b35e0da8611e98d8937b7ef8a3544" </w:instrText>
      </w:r>
      <w:r>
        <w:fldChar w:fldCharType="separate"/>
      </w:r>
      <w:r>
        <w:rPr>
          <w:rFonts w:hint="eastAsia" w:ascii="宋体" w:hAnsi="宋体" w:cs="宋体"/>
          <w:kern w:val="0"/>
          <w:sz w:val="24"/>
        </w:rPr>
        <w:t>https://edu.zcygov.cn/luban/e-biding?utm=a0004.2ef5001f.0001.0109.da8b35e0da8611e98d8937b7ef8a3544</w:t>
      </w:r>
      <w:r>
        <w:rPr>
          <w:rFonts w:hint="eastAsia" w:ascii="宋体" w:hAnsi="宋体" w:cs="宋体"/>
          <w:kern w:val="0"/>
          <w:sz w:val="24"/>
        </w:rPr>
        <w:fldChar w:fldCharType="end"/>
      </w:r>
    </w:p>
    <w:p>
      <w:pPr>
        <w:snapToGrid w:val="0"/>
        <w:spacing w:line="360" w:lineRule="auto"/>
        <w:ind w:firstLine="472" w:firstLineChars="196"/>
        <w:rPr>
          <w:rFonts w:ascii="宋体" w:hAnsi="宋体" w:cs="宋体"/>
          <w:b/>
          <w:sz w:val="24"/>
        </w:rPr>
      </w:pPr>
      <w:r>
        <w:rPr>
          <w:rFonts w:hint="eastAsia" w:ascii="宋体" w:hAnsi="宋体" w:cs="宋体"/>
          <w:b/>
          <w:sz w:val="24"/>
        </w:rPr>
        <w:t>十一、发布采购公告的媒体为：</w:t>
      </w:r>
    </w:p>
    <w:p>
      <w:pPr>
        <w:widowControl/>
        <w:tabs>
          <w:tab w:val="left" w:pos="418"/>
        </w:tabs>
        <w:spacing w:line="360" w:lineRule="auto"/>
        <w:ind w:firstLine="480" w:firstLineChars="200"/>
        <w:rPr>
          <w:rFonts w:ascii="宋体" w:hAnsi="宋体" w:cs="宋体"/>
          <w:kern w:val="0"/>
          <w:sz w:val="24"/>
        </w:rPr>
      </w:pPr>
      <w:r>
        <w:rPr>
          <w:rFonts w:hint="eastAsia" w:ascii="宋体" w:hAnsi="宋体" w:cs="宋体"/>
          <w:kern w:val="0"/>
          <w:sz w:val="24"/>
        </w:rPr>
        <w:t>浙江政府采购网 （</w:t>
      </w:r>
      <w:r>
        <w:rPr>
          <w:rFonts w:ascii="宋体" w:hAnsi="宋体" w:eastAsia="宋体" w:cs="宋体"/>
          <w:sz w:val="24"/>
          <w:szCs w:val="24"/>
        </w:rPr>
        <w:t>http://zfcg.czt.zj.gov.cn/</w:t>
      </w:r>
      <w:r>
        <w:rPr>
          <w:rFonts w:hint="eastAsia" w:ascii="宋体" w:hAnsi="宋体" w:cs="宋体"/>
          <w:kern w:val="0"/>
          <w:sz w:val="24"/>
        </w:rPr>
        <w:t>）；</w:t>
      </w:r>
    </w:p>
    <w:p>
      <w:pPr>
        <w:widowControl/>
        <w:tabs>
          <w:tab w:val="left" w:pos="418"/>
        </w:tabs>
        <w:spacing w:line="360" w:lineRule="auto"/>
        <w:ind w:firstLine="480" w:firstLineChars="200"/>
        <w:rPr>
          <w:rFonts w:ascii="宋体" w:hAnsi="宋体" w:cs="宋体"/>
          <w:kern w:val="0"/>
          <w:sz w:val="24"/>
        </w:rPr>
      </w:pPr>
      <w:r>
        <w:rPr>
          <w:rFonts w:hint="eastAsia" w:ascii="宋体" w:hAnsi="宋体" w:cs="宋体"/>
          <w:kern w:val="0"/>
          <w:sz w:val="24"/>
        </w:rPr>
        <w:t>湖州市吴兴区公共资源交易中心（http://www.wuxing.gov.cn/hzgov/front/s127/sy/index.html）；</w:t>
      </w:r>
    </w:p>
    <w:p>
      <w:pPr>
        <w:pStyle w:val="28"/>
        <w:adjustRightInd w:val="0"/>
        <w:snapToGrid w:val="0"/>
        <w:spacing w:line="360" w:lineRule="auto"/>
        <w:ind w:firstLine="482"/>
        <w:outlineLvl w:val="1"/>
        <w:rPr>
          <w:rFonts w:cs="宋体"/>
          <w:b/>
          <w:sz w:val="24"/>
          <w:szCs w:val="24"/>
        </w:rPr>
      </w:pPr>
      <w:r>
        <w:rPr>
          <w:rFonts w:hint="eastAsia" w:cs="宋体"/>
          <w:b/>
          <w:sz w:val="24"/>
          <w:szCs w:val="24"/>
        </w:rPr>
        <w:t>十</w:t>
      </w:r>
      <w:bookmarkEnd w:id="13"/>
      <w:bookmarkEnd w:id="14"/>
      <w:r>
        <w:rPr>
          <w:rFonts w:hint="eastAsia" w:cs="宋体"/>
          <w:b/>
          <w:sz w:val="24"/>
          <w:szCs w:val="24"/>
        </w:rPr>
        <w:t>二、其它事项：</w:t>
      </w:r>
    </w:p>
    <w:p>
      <w:pPr>
        <w:snapToGrid w:val="0"/>
        <w:spacing w:line="360" w:lineRule="auto"/>
        <w:ind w:firstLine="480" w:firstLineChars="200"/>
        <w:rPr>
          <w:rFonts w:ascii="宋体" w:hAnsi="宋体" w:cs="宋体"/>
          <w:kern w:val="0"/>
          <w:sz w:val="24"/>
        </w:rPr>
      </w:pPr>
      <w:bookmarkStart w:id="15" w:name="_Toc20737"/>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本项目为电子招投标项目，实行网上招投标，应按照本采购文件及政采云平台的要求编制、加密并要求投标供应商通过政采云系统在线开标响应，开标截止时间前须完成电子投标文件的上传。投标供应商在使用系统进行响应的过程中遇到涉及平台使用的任何问题，可致电政采云平台技术支持热线咨询，联系方式：400-881-7190。</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rPr>
        <w:t>本项目公告期限：5个工作日。</w:t>
      </w:r>
    </w:p>
    <w:p>
      <w:pPr>
        <w:snapToGrid w:val="0"/>
        <w:spacing w:line="360" w:lineRule="auto"/>
        <w:ind w:firstLine="480" w:firstLineChars="200"/>
        <w:rPr>
          <w:rFonts w:ascii="宋体" w:hAnsi="宋体" w:cs="宋体"/>
          <w:sz w:val="24"/>
        </w:rPr>
      </w:pPr>
      <w:r>
        <w:rPr>
          <w:rFonts w:hint="eastAsia" w:ascii="宋体" w:hAnsi="宋体" w:cs="宋体"/>
          <w:kern w:val="0"/>
          <w:sz w:val="24"/>
        </w:rPr>
        <w:t>3</w:t>
      </w:r>
      <w:r>
        <w:rPr>
          <w:rFonts w:hint="eastAsia" w:ascii="宋体" w:hAnsi="宋体" w:cs="宋体"/>
          <w:kern w:val="0"/>
          <w:sz w:val="24"/>
          <w:lang w:val="en-US" w:eastAsia="zh-CN"/>
        </w:rPr>
        <w:t>.</w:t>
      </w:r>
      <w:r>
        <w:rPr>
          <w:rFonts w:hint="eastAsia" w:ascii="宋体" w:hAnsi="宋体"/>
          <w:sz w:val="24"/>
          <w:szCs w:val="20"/>
        </w:rPr>
        <w:t>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ascii="宋体" w:hAnsi="宋体"/>
          <w:b/>
          <w:sz w:val="24"/>
          <w:szCs w:val="20"/>
        </w:rPr>
        <w:t>（逾期将不再受理）</w:t>
      </w:r>
      <w:r>
        <w:rPr>
          <w:rFonts w:hint="eastAsia" w:ascii="宋体" w:hAnsi="宋体"/>
          <w:sz w:val="24"/>
          <w:szCs w:val="20"/>
        </w:rPr>
        <w:t>，以书面形式向采购人和采购代理公司提出质疑。</w:t>
      </w:r>
      <w:r>
        <w:rPr>
          <w:rFonts w:hint="eastAsia" w:ascii="宋体" w:hAnsi="宋体" w:cs="宋体"/>
          <w:kern w:val="0"/>
          <w:sz w:val="24"/>
        </w:rPr>
        <w:t>采购人将在规定的时间内统一进行澄清和修改，并书面（含传真）通知所有认购采购文件的投标供应商。投标供应商未按规定要求提出的，则视同认可采购文件，但法律法规及规范性文件有明确规定的除外。</w:t>
      </w:r>
    </w:p>
    <w:p>
      <w:pPr>
        <w:snapToGrid w:val="0"/>
        <w:spacing w:line="360" w:lineRule="auto"/>
        <w:ind w:firstLine="480" w:firstLineChars="200"/>
        <w:rPr>
          <w:rFonts w:ascii="宋体" w:hAnsi="宋体" w:cs="宋体"/>
          <w:sz w:val="24"/>
        </w:rPr>
      </w:pPr>
      <w:r>
        <w:rPr>
          <w:rFonts w:hint="eastAsia" w:ascii="宋体" w:hAnsi="宋体" w:cs="宋体"/>
          <w:color w:val="000000"/>
          <w:kern w:val="0"/>
          <w:sz w:val="24"/>
        </w:rPr>
        <w:t>4</w:t>
      </w:r>
      <w:r>
        <w:rPr>
          <w:rFonts w:hint="eastAsia" w:ascii="宋体" w:hAnsi="宋体" w:cs="宋体"/>
          <w:color w:val="000000"/>
          <w:kern w:val="0"/>
          <w:sz w:val="24"/>
          <w:lang w:val="en-US" w:eastAsia="zh-CN"/>
        </w:rPr>
        <w:t>.</w:t>
      </w:r>
      <w:r>
        <w:rPr>
          <w:rFonts w:hint="eastAsia" w:ascii="宋体" w:hAnsi="宋体" w:cs="宋体"/>
          <w:color w:val="000000"/>
          <w:kern w:val="0"/>
          <w:sz w:val="24"/>
        </w:rPr>
        <w:t>投标供应商如认为开标过程和成交结果使自身的合法权益受到损害的，应于自预成交结果公告之日起七个工作日内以书面形式向采购机构提出质疑，逾期不予受理。投标供应商对采购代理机构的质疑答复不满意或者采购代理机构未在规定时间内作出答复的，可以在答复期满后十五个工作日内向同级政府采购监督管理部门投诉。</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5.参与政府采购项目的注册投标供应商，需登录浙江政府采购云平台(http://www.zcygov.cn)进行网上报名；尚未注册的投标供应商应当先在浙江政府采购云平台上申请注册，注册终审通过后再进行网上报名。</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6.</w:t>
      </w:r>
      <w:r>
        <w:rPr>
          <w:rFonts w:hint="eastAsia"/>
          <w:sz w:val="24"/>
          <w:szCs w:val="24"/>
        </w:rPr>
        <w:t>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r>
        <w:rPr>
          <w:rFonts w:hint="eastAsia" w:ascii="宋体" w:hAnsi="宋体" w:cs="宋体"/>
          <w:kern w:val="0"/>
          <w:sz w:val="24"/>
          <w:lang w:val="en-US" w:eastAsia="zh-CN"/>
        </w:rPr>
        <w:t>。</w:t>
      </w:r>
    </w:p>
    <w:p>
      <w:pPr>
        <w:pStyle w:val="8"/>
        <w:rPr>
          <w:rFonts w:hint="default"/>
          <w:b w:val="0"/>
          <w:bCs/>
          <w:lang w:val="en-US" w:eastAsia="zh-CN"/>
        </w:rPr>
      </w:pPr>
      <w:r>
        <w:rPr>
          <w:rFonts w:hint="eastAsia" w:cs="宋体"/>
          <w:b w:val="0"/>
          <w:bCs/>
          <w:kern w:val="0"/>
          <w:sz w:val="24"/>
          <w:lang w:val="en-US" w:eastAsia="zh-CN"/>
        </w:rPr>
        <w:t>7.本项目是否专门面向中小企业采购：是。</w:t>
      </w:r>
    </w:p>
    <w:p>
      <w:pPr>
        <w:snapToGrid w:val="0"/>
        <w:spacing w:line="360" w:lineRule="auto"/>
        <w:ind w:firstLine="482" w:firstLineChars="200"/>
        <w:rPr>
          <w:rFonts w:ascii="宋体" w:hAnsi="宋体" w:cs="宋体"/>
          <w:b/>
          <w:sz w:val="24"/>
        </w:rPr>
      </w:pPr>
      <w:r>
        <w:rPr>
          <w:rFonts w:hint="eastAsia" w:ascii="宋体" w:hAnsi="宋体" w:cs="宋体"/>
          <w:b/>
          <w:bCs/>
          <w:kern w:val="0"/>
          <w:sz w:val="24"/>
        </w:rPr>
        <w:t>十三、告知事</w:t>
      </w:r>
      <w:r>
        <w:rPr>
          <w:rFonts w:hint="eastAsia" w:ascii="宋体" w:hAnsi="宋体" w:cs="宋体"/>
          <w:b/>
          <w:sz w:val="24"/>
        </w:rPr>
        <w:t>项</w:t>
      </w:r>
    </w:p>
    <w:p>
      <w:pPr>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投标供应商如需到场，必须指派无疫情接触史、身体健康且符合防控要求、佩戴口罩的人员参与开标现场活动，请严格把关。且只能指派 1 人参加现场开标活动；</w:t>
      </w:r>
    </w:p>
    <w:p>
      <w:pPr>
        <w:snapToGrid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参加开标的人员，请自觉做好个人防护工作，必须全程佩戴口罩（自备），听从交易中心工作人员引导，必须提供“一证一码一表”，即：身份证、“湖州健康码”（个人支付宝或浙里办 APP 中申领），开评标人员健康信息登记表（格式详见附件）。主动配合做好体温测量等各项疫情防控措施。投标供应商若为省外的，投标供应商代表在持有“湖州健康码”。</w:t>
      </w:r>
    </w:p>
    <w:p>
      <w:pPr>
        <w:snapToGrid w:val="0"/>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“湖州健康码”显示为绿色可进入交易中心，“湖州健康码”显示为黄色、红色或者现场测量体温高于 37.2℃且不符合防控管理要求的人员，一律谢绝进入交易中心参加开标活动；</w:t>
      </w:r>
    </w:p>
    <w:p>
      <w:pPr>
        <w:snapToGrid w:val="0"/>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各投标供应商如确需到场，请充分考虑因路程、卡口防疫检查等因素（注：不得违反国家、浙江省、湖州市、吴兴区等相关规定）。特殊时期，为避免各因素带来不便导致时间效率问题，各投标供应商如确需到场，请提前30分钟。</w:t>
      </w:r>
    </w:p>
    <w:p>
      <w:pPr>
        <w:snapToGrid w:val="0"/>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所有需进入湖州市</w:t>
      </w:r>
      <w:r>
        <w:rPr>
          <w:rFonts w:hint="eastAsia" w:ascii="宋体" w:hAnsi="宋体" w:cs="宋体"/>
          <w:sz w:val="24"/>
          <w:lang w:eastAsia="zh-CN"/>
        </w:rPr>
        <w:t>吴兴区</w:t>
      </w:r>
      <w:r>
        <w:rPr>
          <w:rFonts w:hint="eastAsia" w:ascii="宋体" w:hAnsi="宋体" w:cs="宋体"/>
          <w:sz w:val="24"/>
        </w:rPr>
        <w:t>公共资源交易中心的相关人员应自觉遵守国家以及省、市、区有关疫情防控的其他规定。</w:t>
      </w:r>
    </w:p>
    <w:p>
      <w:pPr>
        <w:pStyle w:val="28"/>
        <w:adjustRightInd w:val="0"/>
        <w:snapToGrid w:val="0"/>
        <w:spacing w:line="360" w:lineRule="auto"/>
        <w:ind w:firstLine="482"/>
        <w:rPr>
          <w:rFonts w:cs="宋体"/>
          <w:b/>
          <w:sz w:val="24"/>
          <w:szCs w:val="24"/>
        </w:rPr>
      </w:pPr>
      <w:r>
        <w:rPr>
          <w:rFonts w:hint="eastAsia" w:cs="宋体"/>
          <w:b/>
          <w:sz w:val="24"/>
          <w:szCs w:val="24"/>
        </w:rPr>
        <w:t>十四、业务咨询：</w:t>
      </w:r>
      <w:bookmarkEnd w:id="15"/>
    </w:p>
    <w:p>
      <w:pPr>
        <w:snapToGrid w:val="0"/>
        <w:spacing w:line="360" w:lineRule="auto"/>
        <w:ind w:firstLine="480" w:firstLineChars="200"/>
        <w:rPr>
          <w:rFonts w:ascii="宋体" w:hAnsi="宋体" w:cs="宋体"/>
          <w:sz w:val="24"/>
        </w:rPr>
      </w:pPr>
      <w:r>
        <w:rPr>
          <w:rFonts w:hint="eastAsia" w:ascii="宋体" w:hAnsi="宋体" w:cs="宋体"/>
          <w:sz w:val="24"/>
        </w:rPr>
        <w:t>采购人：</w:t>
      </w:r>
      <w:r>
        <w:rPr>
          <w:rFonts w:hint="eastAsia" w:ascii="宋体" w:hAnsi="宋体" w:cs="宋体"/>
          <w:sz w:val="24"/>
          <w:lang w:eastAsia="zh-CN"/>
        </w:rPr>
        <w:t>湖州市吴兴区织里镇人民政府</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联系人：车先生         联系电话：0572-3218171</w:t>
      </w:r>
    </w:p>
    <w:p>
      <w:pPr>
        <w:pStyle w:val="2"/>
        <w:spacing w:line="360" w:lineRule="auto"/>
        <w:ind w:left="0" w:leftChars="0" w:firstLine="448" w:firstLineChars="0"/>
        <w:rPr>
          <w:rFonts w:hint="eastAsia" w:eastAsia="宋体"/>
          <w:lang w:eastAsia="zh-CN"/>
        </w:rPr>
      </w:pPr>
      <w:r>
        <w:rPr>
          <w:rFonts w:hint="eastAsia" w:ascii="宋体" w:hAnsi="宋体" w:cs="宋体"/>
          <w:sz w:val="24"/>
        </w:rPr>
        <w:t>地址：湖州市吴兴区</w:t>
      </w:r>
      <w:r>
        <w:rPr>
          <w:rFonts w:hint="eastAsia" w:ascii="宋体" w:hAnsi="宋体" w:cs="宋体"/>
          <w:sz w:val="24"/>
          <w:lang w:eastAsia="zh-CN"/>
        </w:rPr>
        <w:t>织里镇</w:t>
      </w:r>
    </w:p>
    <w:p>
      <w:pPr>
        <w:snapToGrid w:val="0"/>
        <w:spacing w:line="360" w:lineRule="auto"/>
        <w:ind w:firstLine="480" w:firstLineChars="200"/>
        <w:rPr>
          <w:rFonts w:ascii="宋体" w:hAnsi="宋体" w:cs="宋体"/>
          <w:sz w:val="24"/>
        </w:rPr>
      </w:pPr>
      <w:r>
        <w:rPr>
          <w:rFonts w:hint="eastAsia" w:ascii="宋体" w:hAnsi="宋体" w:cs="宋体"/>
          <w:sz w:val="24"/>
        </w:rPr>
        <w:t>代理机构：湖州星兴工程咨询有限公司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lang w:eastAsia="zh-CN"/>
        </w:rPr>
        <w:t>汪美玲</w:t>
      </w:r>
      <w:r>
        <w:rPr>
          <w:rFonts w:hint="eastAsia" w:ascii="宋体" w:hAnsi="宋体" w:cs="宋体"/>
          <w:sz w:val="24"/>
        </w:rPr>
        <w:t xml:space="preserve">          联系电话：0572-2630018</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质疑函接收人：沈</w:t>
      </w:r>
      <w:r>
        <w:rPr>
          <w:rFonts w:hint="eastAsia" w:ascii="宋体" w:hAnsi="宋体" w:cs="宋体"/>
          <w:kern w:val="0"/>
          <w:sz w:val="24"/>
          <w:lang w:eastAsia="zh-CN"/>
        </w:rPr>
        <w:t>芳</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联系电话：0572-2023019</w:t>
      </w:r>
    </w:p>
    <w:p>
      <w:pPr>
        <w:snapToGrid w:val="0"/>
        <w:spacing w:line="360" w:lineRule="auto"/>
        <w:ind w:firstLine="480" w:firstLineChars="200"/>
        <w:rPr>
          <w:rFonts w:ascii="宋体" w:hAnsi="宋体" w:cs="宋体"/>
          <w:kern w:val="0"/>
          <w:sz w:val="24"/>
        </w:rPr>
      </w:pPr>
      <w:r>
        <w:rPr>
          <w:rFonts w:hint="eastAsia" w:ascii="宋体" w:hAnsi="宋体" w:cs="宋体"/>
          <w:sz w:val="24"/>
        </w:rPr>
        <w:t>地址：</w:t>
      </w:r>
      <w:r>
        <w:rPr>
          <w:rFonts w:hint="eastAsia" w:ascii="宋体" w:hAnsi="宋体" w:cs="宋体"/>
          <w:kern w:val="0"/>
          <w:sz w:val="24"/>
        </w:rPr>
        <w:t>湖州市赵湾仁皇佳苑108-2幢</w:t>
      </w:r>
    </w:p>
    <w:p>
      <w:pPr>
        <w:snapToGrid w:val="0"/>
        <w:spacing w:line="360" w:lineRule="auto"/>
        <w:ind w:firstLine="480" w:firstLineChars="200"/>
        <w:rPr>
          <w:rFonts w:ascii="宋体" w:hAnsi="宋体" w:cs="宋体"/>
          <w:sz w:val="24"/>
        </w:rPr>
      </w:pPr>
      <w:r>
        <w:rPr>
          <w:rFonts w:hint="eastAsia" w:ascii="宋体" w:hAnsi="宋体" w:cs="宋体"/>
          <w:sz w:val="24"/>
        </w:rPr>
        <w:t>政府采购行政监管及投诉受理部门：</w:t>
      </w:r>
    </w:p>
    <w:p>
      <w:pPr>
        <w:snapToGrid w:val="0"/>
        <w:spacing w:line="360" w:lineRule="auto"/>
        <w:ind w:firstLine="480" w:firstLineChars="200"/>
        <w:rPr>
          <w:rFonts w:ascii="宋体" w:hAnsi="宋体" w:cs="宋体"/>
          <w:sz w:val="24"/>
        </w:rPr>
      </w:pPr>
      <w:r>
        <w:rPr>
          <w:rFonts w:hint="eastAsia" w:ascii="宋体" w:hAnsi="宋体" w:cs="宋体"/>
          <w:sz w:val="24"/>
        </w:rPr>
        <w:t>湖州市吴兴区财政局政府采购监管科       联系电话：0572-2289702</w:t>
      </w:r>
    </w:p>
    <w:p>
      <w:pPr>
        <w:pStyle w:val="2"/>
        <w:spacing w:line="360" w:lineRule="auto"/>
        <w:ind w:left="0" w:leftChars="0" w:firstLine="448" w:firstLineChars="0"/>
        <w:rPr>
          <w:rFonts w:ascii="宋体" w:hAnsi="宋体" w:cs="宋体"/>
          <w:sz w:val="24"/>
        </w:rPr>
      </w:pPr>
      <w:r>
        <w:rPr>
          <w:rFonts w:hint="eastAsia" w:ascii="宋体" w:hAnsi="宋体" w:cs="宋体"/>
          <w:sz w:val="24"/>
        </w:rPr>
        <w:t>地址：湖州市吴兴区吴兴大道1号</w:t>
      </w:r>
    </w:p>
    <w:p>
      <w:pPr>
        <w:pStyle w:val="21"/>
        <w:spacing w:line="360" w:lineRule="auto"/>
        <w:ind w:firstLine="280"/>
        <w:rPr>
          <w:rFonts w:ascii="宋体" w:hAnsi="宋体" w:cs="宋体"/>
        </w:rPr>
      </w:pPr>
    </w:p>
    <w:p>
      <w:pPr>
        <w:widowControl/>
        <w:spacing w:line="480" w:lineRule="auto"/>
        <w:ind w:right="240" w:firstLine="480" w:firstLineChars="200"/>
        <w:jc w:val="right"/>
        <w:rPr>
          <w:rFonts w:ascii="宋体" w:hAnsi="宋体" w:cs="宋体"/>
          <w:sz w:val="24"/>
        </w:rPr>
      </w:pPr>
      <w:r>
        <w:rPr>
          <w:rFonts w:hint="eastAsia" w:ascii="宋体" w:hAnsi="宋体" w:cs="宋体"/>
          <w:sz w:val="24"/>
          <w:lang w:eastAsia="zh-CN"/>
        </w:rPr>
        <w:t>湖州市吴兴区织里镇人民政府</w:t>
      </w:r>
      <w:r>
        <w:rPr>
          <w:rFonts w:hint="eastAsia" w:ascii="宋体" w:hAnsi="宋体" w:cs="宋体"/>
          <w:sz w:val="24"/>
        </w:rPr>
        <w:t xml:space="preserve"> </w:t>
      </w:r>
    </w:p>
    <w:p>
      <w:pPr>
        <w:wordWrap w:val="0"/>
        <w:spacing w:line="480" w:lineRule="auto"/>
        <w:ind w:right="240"/>
        <w:jc w:val="right"/>
        <w:rPr>
          <w:rFonts w:ascii="宋体" w:hAnsi="宋体" w:cs="宋体"/>
          <w:sz w:val="24"/>
        </w:rPr>
      </w:pPr>
      <w:r>
        <w:rPr>
          <w:rFonts w:hint="eastAsia" w:ascii="宋体" w:hAnsi="宋体" w:cs="宋体"/>
          <w:sz w:val="24"/>
        </w:rPr>
        <w:t xml:space="preserve">    湖州星兴工程咨询有限公司</w:t>
      </w:r>
    </w:p>
    <w:p>
      <w:pPr>
        <w:spacing w:line="480" w:lineRule="auto"/>
        <w:ind w:right="240"/>
        <w:jc w:val="right"/>
        <w:rPr>
          <w:rFonts w:ascii="宋体" w:hAnsi="宋体"/>
          <w:sz w:val="24"/>
          <w:highlight w:val="none"/>
        </w:rPr>
      </w:pPr>
      <w:r>
        <w:rPr>
          <w:rFonts w:hint="eastAsia" w:ascii="宋体" w:hAnsi="宋体" w:cs="宋体"/>
          <w:kern w:val="0"/>
          <w:sz w:val="24"/>
          <w:highlight w:val="none"/>
        </w:rPr>
        <w:t>2020年</w:t>
      </w:r>
      <w:r>
        <w:rPr>
          <w:rFonts w:hint="eastAsia" w:ascii="宋体" w:hAnsi="宋体" w:cs="宋体"/>
          <w:kern w:val="0"/>
          <w:sz w:val="24"/>
          <w:highlight w:val="none"/>
          <w:lang w:val="en-US" w:eastAsia="zh-CN"/>
        </w:rPr>
        <w:t xml:space="preserve"> 10月29</w:t>
      </w:r>
      <w:r>
        <w:rPr>
          <w:rFonts w:hint="eastAsia" w:ascii="宋体" w:hAnsi="宋体" w:cs="宋体"/>
          <w:kern w:val="0"/>
          <w:sz w:val="24"/>
          <w:highlight w:val="none"/>
        </w:rPr>
        <w:t xml:space="preserve">日 </w:t>
      </w:r>
    </w:p>
    <w:p>
      <w:pPr>
        <w:pStyle w:val="14"/>
        <w:ind w:firstLine="0"/>
        <w:rPr>
          <w:rFonts w:ascii="宋体" w:hAnsi="宋体" w:cs="仿宋"/>
          <w:b/>
          <w:sz w:val="44"/>
          <w:szCs w:val="44"/>
        </w:rPr>
      </w:pPr>
      <w:bookmarkStart w:id="16" w:name="_Toc27574"/>
    </w:p>
    <w:p>
      <w:pPr>
        <w:spacing w:line="360" w:lineRule="auto"/>
        <w:jc w:val="center"/>
        <w:outlineLvl w:val="0"/>
        <w:rPr>
          <w:rFonts w:ascii="宋体" w:hAnsi="宋体" w:cs="仿宋"/>
          <w:b/>
          <w:sz w:val="44"/>
          <w:szCs w:val="44"/>
        </w:rPr>
      </w:pPr>
    </w:p>
    <w:p>
      <w:pPr>
        <w:spacing w:line="360" w:lineRule="auto"/>
        <w:outlineLvl w:val="0"/>
        <w:rPr>
          <w:rFonts w:ascii="宋体" w:hAnsi="宋体" w:cs="仿宋"/>
          <w:b/>
          <w:sz w:val="44"/>
          <w:szCs w:val="44"/>
        </w:rPr>
      </w:pPr>
    </w:p>
    <w:p>
      <w:pPr>
        <w:pStyle w:val="21"/>
        <w:ind w:firstLine="442"/>
        <w:rPr>
          <w:rFonts w:ascii="宋体" w:hAnsi="宋体" w:cs="仿宋"/>
          <w:b/>
          <w:sz w:val="44"/>
          <w:szCs w:val="44"/>
        </w:rPr>
      </w:pPr>
    </w:p>
    <w:p>
      <w:pPr>
        <w:rPr>
          <w:rFonts w:ascii="宋体" w:hAnsi="宋体" w:cs="仿宋"/>
          <w:b/>
          <w:sz w:val="44"/>
          <w:szCs w:val="44"/>
        </w:rPr>
      </w:pPr>
    </w:p>
    <w:p>
      <w:pPr>
        <w:pStyle w:val="21"/>
        <w:ind w:firstLine="280"/>
      </w:pPr>
    </w:p>
    <w:p/>
    <w:p>
      <w:pPr>
        <w:pStyle w:val="3"/>
      </w:pPr>
    </w:p>
    <w:p>
      <w:pPr>
        <w:pStyle w:val="3"/>
      </w:pPr>
    </w:p>
    <w:p>
      <w:pPr>
        <w:pStyle w:val="3"/>
      </w:pPr>
    </w:p>
    <w:p>
      <w:pPr>
        <w:pStyle w:val="3"/>
        <w:ind w:left="0" w:leftChars="0" w:firstLine="0" w:firstLineChars="0"/>
      </w:pPr>
    </w:p>
    <w:bookmarkEnd w:id="16"/>
    <w:p>
      <w:pPr>
        <w:pStyle w:val="5"/>
        <w:numPr>
          <w:ilvl w:val="0"/>
          <w:numId w:val="4"/>
        </w:numPr>
        <w:spacing w:line="360" w:lineRule="auto"/>
        <w:jc w:val="center"/>
        <w:rPr>
          <w:rFonts w:hint="eastAsia" w:asciiTheme="minorEastAsia" w:hAnsiTheme="minorEastAsia" w:eastAsiaTheme="minorEastAsia" w:cstheme="minorEastAsia"/>
          <w:b/>
          <w:bCs w:val="0"/>
          <w:sz w:val="44"/>
          <w:szCs w:val="44"/>
        </w:rPr>
      </w:pPr>
      <w:bookmarkStart w:id="17" w:name="_Toc23238"/>
      <w:r>
        <w:rPr>
          <w:rFonts w:hint="eastAsia" w:asciiTheme="minorEastAsia" w:hAnsiTheme="minorEastAsia" w:eastAsiaTheme="minorEastAsia" w:cstheme="minorEastAsia"/>
          <w:b/>
          <w:bCs w:val="0"/>
          <w:sz w:val="44"/>
          <w:szCs w:val="44"/>
          <w:lang w:eastAsia="zh-CN"/>
        </w:rPr>
        <w:t>招标需求</w:t>
      </w:r>
    </w:p>
    <w:p>
      <w:pPr>
        <w:widowControl/>
        <w:spacing w:line="510" w:lineRule="exact"/>
        <w:ind w:right="60"/>
        <w:jc w:val="left"/>
        <w:rPr>
          <w:rFonts w:hint="eastAsia" w:ascii="宋体" w:hAnsi="宋体" w:cs="宋体"/>
          <w:b/>
          <w:color w:val="000000"/>
          <w:kern w:val="0"/>
          <w:sz w:val="24"/>
        </w:rPr>
      </w:pPr>
      <w:bookmarkStart w:id="18" w:name="_Toc16486"/>
      <w:bookmarkStart w:id="19" w:name="_Toc295815139"/>
      <w:bookmarkStart w:id="20" w:name="_Toc351460419"/>
      <w:r>
        <w:rPr>
          <w:rFonts w:hint="eastAsia" w:ascii="宋体" w:hAnsi="宋体" w:cs="宋体"/>
          <w:b/>
          <w:color w:val="000000"/>
          <w:kern w:val="0"/>
          <w:sz w:val="24"/>
        </w:rPr>
        <w:t>一、项目概述</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项目名称：织里镇智慧红绿灯建设监理项目  </w:t>
      </w:r>
    </w:p>
    <w:p>
      <w:pPr>
        <w:widowControl/>
        <w:spacing w:line="510" w:lineRule="exact"/>
        <w:ind w:right="60"/>
        <w:jc w:val="left"/>
        <w:rPr>
          <w:rFonts w:hint="eastAsia" w:ascii="宋体" w:hAnsi="宋体" w:cs="宋体"/>
          <w:b/>
          <w:color w:val="000000"/>
          <w:kern w:val="0"/>
          <w:sz w:val="24"/>
        </w:rPr>
      </w:pPr>
      <w:r>
        <w:rPr>
          <w:rFonts w:hint="eastAsia" w:ascii="宋体" w:hAnsi="宋体" w:cs="宋体"/>
          <w:b/>
          <w:color w:val="000000"/>
          <w:kern w:val="0"/>
          <w:sz w:val="24"/>
        </w:rPr>
        <w:t>二、工作内容</w:t>
      </w:r>
    </w:p>
    <w:bookmarkEnd w:id="18"/>
    <w:bookmarkEnd w:id="19"/>
    <w:bookmarkEnd w:id="20"/>
    <w:p>
      <w:pPr>
        <w:pStyle w:val="6"/>
        <w:spacing w:line="240" w:lineRule="auto"/>
        <w:jc w:val="left"/>
        <w:rPr>
          <w:rFonts w:hint="eastAsia" w:ascii="宋体" w:hAnsi="宋体" w:cs="宋体"/>
          <w:sz w:val="24"/>
          <w:szCs w:val="24"/>
        </w:rPr>
      </w:pPr>
      <w:r>
        <w:rPr>
          <w:rFonts w:hint="eastAsia" w:ascii="宋体" w:hAnsi="宋体" w:cs="宋体"/>
          <w:sz w:val="24"/>
          <w:szCs w:val="24"/>
        </w:rPr>
        <w:t>2.1监理范围</w:t>
      </w:r>
    </w:p>
    <w:p>
      <w:pPr>
        <w:ind w:firstLine="480" w:firstLineChars="200"/>
        <w:rPr>
          <w:rFonts w:hint="eastAsia" w:ascii="宋体" w:hAnsi="宋体" w:cs="宋体"/>
          <w:sz w:val="24"/>
        </w:rPr>
      </w:pPr>
      <w:r>
        <w:rPr>
          <w:rFonts w:hint="eastAsia" w:ascii="宋体" w:hAnsi="宋体" w:cs="宋体"/>
          <w:sz w:val="24"/>
        </w:rPr>
        <w:t>监理单位应根据项目的具体情况，制定各个阶段详细的监理工作目标、监理工作依据、监理工作制度，监理工作范围应包括：</w:t>
      </w:r>
    </w:p>
    <w:p>
      <w:pPr>
        <w:rPr>
          <w:rFonts w:hint="eastAsia" w:ascii="宋体" w:hAnsi="宋体" w:cs="宋体"/>
          <w:sz w:val="24"/>
        </w:rPr>
      </w:pPr>
      <w:r>
        <w:rPr>
          <w:rFonts w:hint="eastAsia" w:ascii="宋体" w:hAnsi="宋体" w:cs="宋体"/>
          <w:sz w:val="24"/>
        </w:rPr>
        <w:t>（1）项目咨询服务</w:t>
      </w:r>
    </w:p>
    <w:p>
      <w:pPr>
        <w:rPr>
          <w:rFonts w:hint="eastAsia" w:ascii="宋体" w:hAnsi="宋体" w:cs="宋体"/>
          <w:sz w:val="24"/>
        </w:rPr>
      </w:pPr>
      <w:r>
        <w:rPr>
          <w:rFonts w:hint="eastAsia" w:ascii="宋体" w:hAnsi="宋体" w:cs="宋体"/>
          <w:sz w:val="24"/>
        </w:rPr>
        <w:t>（2）协助项目实施</w:t>
      </w:r>
    </w:p>
    <w:p>
      <w:pPr>
        <w:rPr>
          <w:rFonts w:hint="eastAsia" w:ascii="宋体" w:hAnsi="宋体" w:cs="宋体"/>
          <w:sz w:val="24"/>
        </w:rPr>
      </w:pPr>
      <w:r>
        <w:rPr>
          <w:rFonts w:hint="eastAsia" w:ascii="宋体" w:hAnsi="宋体" w:cs="宋体"/>
          <w:sz w:val="24"/>
        </w:rPr>
        <w:t>（3）竣工验收与技术培训检查</w:t>
      </w:r>
    </w:p>
    <w:p>
      <w:pPr>
        <w:rPr>
          <w:rFonts w:hint="eastAsia" w:ascii="宋体" w:hAnsi="宋体" w:cs="宋体"/>
          <w:sz w:val="24"/>
        </w:rPr>
      </w:pPr>
      <w:r>
        <w:rPr>
          <w:rFonts w:hint="eastAsia" w:ascii="宋体" w:hAnsi="宋体" w:cs="宋体"/>
          <w:sz w:val="24"/>
        </w:rPr>
        <w:t>（4）质保期售后服务监督保障</w:t>
      </w:r>
    </w:p>
    <w:p>
      <w:pPr>
        <w:rPr>
          <w:rFonts w:hint="eastAsia" w:ascii="宋体" w:hAnsi="宋体" w:cs="宋体"/>
          <w:sz w:val="24"/>
        </w:rPr>
      </w:pPr>
      <w:r>
        <w:rPr>
          <w:rFonts w:hint="eastAsia" w:ascii="宋体" w:hAnsi="宋体" w:cs="宋体"/>
          <w:sz w:val="24"/>
        </w:rPr>
        <w:t>（5）协调</w:t>
      </w:r>
    </w:p>
    <w:p>
      <w:pPr>
        <w:rPr>
          <w:rFonts w:hint="eastAsia" w:ascii="宋体" w:hAnsi="宋体" w:cs="宋体"/>
          <w:sz w:val="24"/>
        </w:rPr>
      </w:pPr>
      <w:r>
        <w:rPr>
          <w:rFonts w:hint="eastAsia" w:ascii="宋体" w:hAnsi="宋体" w:cs="宋体"/>
          <w:sz w:val="24"/>
        </w:rPr>
        <w:t>（6）技术支撑工作</w:t>
      </w:r>
    </w:p>
    <w:p>
      <w:pPr>
        <w:rPr>
          <w:rFonts w:hint="eastAsia" w:ascii="宋体" w:hAnsi="宋体" w:cs="宋体"/>
          <w:sz w:val="24"/>
        </w:rPr>
      </w:pPr>
      <w:r>
        <w:rPr>
          <w:rFonts w:hint="eastAsia" w:ascii="宋体" w:hAnsi="宋体" w:cs="宋体"/>
          <w:sz w:val="24"/>
        </w:rPr>
        <w:t xml:space="preserve">（7）质量、进度、资金、变更控制 </w:t>
      </w:r>
    </w:p>
    <w:p>
      <w:pPr>
        <w:rPr>
          <w:rFonts w:hint="eastAsia" w:ascii="宋体" w:hAnsi="宋体" w:cs="宋体"/>
          <w:sz w:val="24"/>
        </w:rPr>
      </w:pPr>
      <w:r>
        <w:rPr>
          <w:rFonts w:hint="eastAsia" w:ascii="宋体" w:hAnsi="宋体" w:cs="宋体"/>
          <w:sz w:val="24"/>
        </w:rPr>
        <w:t>（8）人员管理</w:t>
      </w:r>
    </w:p>
    <w:p>
      <w:pPr>
        <w:rPr>
          <w:rFonts w:hint="eastAsia" w:ascii="宋体" w:hAnsi="宋体" w:cs="宋体"/>
          <w:sz w:val="24"/>
        </w:rPr>
      </w:pPr>
      <w:r>
        <w:rPr>
          <w:rFonts w:hint="eastAsia" w:ascii="宋体" w:hAnsi="宋体" w:cs="宋体"/>
          <w:sz w:val="24"/>
        </w:rPr>
        <w:t>（9）合同管理</w:t>
      </w:r>
    </w:p>
    <w:p>
      <w:pPr>
        <w:rPr>
          <w:rFonts w:hint="eastAsia" w:ascii="宋体" w:hAnsi="宋体" w:cs="宋体"/>
          <w:sz w:val="24"/>
        </w:rPr>
      </w:pPr>
      <w:r>
        <w:rPr>
          <w:rFonts w:hint="eastAsia" w:ascii="宋体" w:hAnsi="宋体" w:cs="宋体"/>
          <w:sz w:val="24"/>
        </w:rPr>
        <w:t>（10）文档管理</w:t>
      </w:r>
    </w:p>
    <w:p>
      <w:pPr>
        <w:rPr>
          <w:rFonts w:hint="eastAsia" w:ascii="宋体" w:hAnsi="宋体" w:cs="宋体"/>
          <w:sz w:val="24"/>
        </w:rPr>
      </w:pPr>
      <w:r>
        <w:rPr>
          <w:rFonts w:hint="eastAsia" w:ascii="宋体" w:hAnsi="宋体" w:cs="宋体"/>
          <w:sz w:val="24"/>
        </w:rPr>
        <w:t>（11）系统安全管理</w:t>
      </w:r>
    </w:p>
    <w:p>
      <w:pPr>
        <w:rPr>
          <w:rFonts w:hint="eastAsia" w:ascii="宋体" w:hAnsi="宋体" w:cs="宋体"/>
          <w:sz w:val="24"/>
        </w:rPr>
      </w:pPr>
      <w:r>
        <w:rPr>
          <w:rFonts w:hint="eastAsia" w:ascii="宋体" w:hAnsi="宋体" w:cs="宋体"/>
          <w:sz w:val="24"/>
        </w:rPr>
        <w:t>（12）知识产权管理</w:t>
      </w:r>
    </w:p>
    <w:p>
      <w:pPr>
        <w:rPr>
          <w:rFonts w:hint="eastAsia" w:ascii="宋体" w:hAnsi="宋体" w:cs="宋体"/>
          <w:sz w:val="24"/>
        </w:rPr>
      </w:pPr>
      <w:r>
        <w:rPr>
          <w:rFonts w:hint="eastAsia" w:ascii="宋体" w:hAnsi="宋体" w:cs="宋体"/>
          <w:sz w:val="24"/>
        </w:rPr>
        <w:t>（13）有针对性的培训工作</w:t>
      </w:r>
    </w:p>
    <w:p>
      <w:pPr>
        <w:pStyle w:val="6"/>
        <w:jc w:val="left"/>
        <w:rPr>
          <w:rFonts w:hint="eastAsia" w:ascii="宋体" w:hAnsi="宋体" w:cs="宋体"/>
          <w:sz w:val="24"/>
          <w:szCs w:val="24"/>
        </w:rPr>
      </w:pPr>
      <w:r>
        <w:rPr>
          <w:rFonts w:hint="eastAsia" w:ascii="宋体" w:hAnsi="宋体" w:cs="宋体"/>
          <w:sz w:val="24"/>
          <w:szCs w:val="24"/>
        </w:rPr>
        <w:t>2.2</w:t>
      </w:r>
      <w:r>
        <w:rPr>
          <w:rFonts w:hint="eastAsia" w:ascii="宋体" w:hAnsi="宋体" w:cs="宋体"/>
          <w:sz w:val="24"/>
          <w:szCs w:val="24"/>
        </w:rPr>
        <w:tab/>
      </w:r>
      <w:r>
        <w:rPr>
          <w:rFonts w:hint="eastAsia" w:ascii="宋体" w:hAnsi="宋体" w:cs="宋体"/>
          <w:sz w:val="24"/>
          <w:szCs w:val="24"/>
        </w:rPr>
        <w:t>监理各阶段主要目标</w:t>
      </w:r>
    </w:p>
    <w:p>
      <w:pPr>
        <w:ind w:firstLine="480" w:firstLineChars="200"/>
        <w:rPr>
          <w:rFonts w:hint="eastAsia" w:ascii="宋体" w:hAnsi="宋体" w:cs="宋体"/>
          <w:sz w:val="24"/>
        </w:rPr>
      </w:pPr>
      <w:r>
        <w:rPr>
          <w:rFonts w:hint="eastAsia" w:ascii="宋体" w:hAnsi="宋体" w:cs="宋体"/>
          <w:sz w:val="24"/>
        </w:rPr>
        <w:t>监理工作应分为项目咨询、实施、验收和质保期四个阶段，对项目全过程进行监理。监理单位应按照项目建设目标和要求，督促项目承建单位按时保质完成项目的建设工作。</w:t>
      </w:r>
    </w:p>
    <w:p>
      <w:pPr>
        <w:rPr>
          <w:rFonts w:hint="eastAsia" w:ascii="宋体" w:hAnsi="宋体" w:cs="宋体"/>
          <w:sz w:val="24"/>
        </w:rPr>
      </w:pPr>
      <w:r>
        <w:rPr>
          <w:rFonts w:hint="eastAsia" w:ascii="宋体" w:hAnsi="宋体" w:cs="宋体"/>
          <w:sz w:val="24"/>
        </w:rPr>
        <w:t>(1)项目咨询阶段的主要监理目标</w:t>
      </w:r>
    </w:p>
    <w:p>
      <w:pPr>
        <w:ind w:firstLine="424" w:firstLineChars="177"/>
        <w:rPr>
          <w:rFonts w:hint="eastAsia" w:ascii="宋体" w:hAnsi="宋体" w:cs="宋体"/>
          <w:sz w:val="24"/>
        </w:rPr>
      </w:pPr>
      <w:r>
        <w:rPr>
          <w:rFonts w:hint="eastAsia" w:ascii="宋体" w:hAnsi="宋体" w:cs="宋体"/>
          <w:sz w:val="24"/>
        </w:rPr>
        <w:t>负责设计项目建设方案；</w:t>
      </w:r>
    </w:p>
    <w:p>
      <w:pPr>
        <w:ind w:firstLine="424" w:firstLineChars="177"/>
        <w:rPr>
          <w:rFonts w:hint="eastAsia" w:ascii="宋体" w:hAnsi="宋体" w:cs="宋体"/>
          <w:sz w:val="24"/>
        </w:rPr>
      </w:pPr>
      <w:r>
        <w:rPr>
          <w:rFonts w:hint="eastAsia" w:ascii="宋体" w:hAnsi="宋体" w:cs="宋体"/>
          <w:sz w:val="24"/>
        </w:rPr>
        <w:t>负责组织专家评审项目建设方案并根据专家意见进行修改；</w:t>
      </w:r>
    </w:p>
    <w:p>
      <w:pPr>
        <w:ind w:firstLine="424" w:firstLineChars="177"/>
        <w:rPr>
          <w:rFonts w:hint="eastAsia" w:ascii="宋体" w:hAnsi="宋体" w:cs="宋体"/>
          <w:sz w:val="24"/>
        </w:rPr>
      </w:pPr>
      <w:r>
        <w:rPr>
          <w:rFonts w:hint="eastAsia" w:ascii="宋体" w:hAnsi="宋体" w:cs="宋体"/>
          <w:sz w:val="24"/>
        </w:rPr>
        <w:t>负责配合招标机构进行政府采购，提供符合政府采购要求的招标技术参数等。</w:t>
      </w:r>
    </w:p>
    <w:p>
      <w:pPr>
        <w:rPr>
          <w:rFonts w:hint="eastAsia" w:ascii="宋体" w:hAnsi="宋体" w:cs="宋体"/>
          <w:sz w:val="24"/>
        </w:rPr>
      </w:pPr>
      <w:r>
        <w:rPr>
          <w:rFonts w:hint="eastAsia" w:ascii="宋体" w:hAnsi="宋体" w:cs="宋体"/>
          <w:sz w:val="24"/>
        </w:rPr>
        <w:t>(2)项目实施阶段的主要监理目标</w:t>
      </w:r>
    </w:p>
    <w:p>
      <w:pPr>
        <w:ind w:firstLine="424" w:firstLineChars="177"/>
        <w:rPr>
          <w:rFonts w:hint="eastAsia" w:ascii="宋体" w:hAnsi="宋体" w:cs="宋体"/>
          <w:sz w:val="24"/>
        </w:rPr>
      </w:pPr>
      <w:r>
        <w:rPr>
          <w:rFonts w:hint="eastAsia" w:ascii="宋体" w:hAnsi="宋体" w:cs="宋体"/>
          <w:sz w:val="24"/>
        </w:rPr>
        <w:t>审核项目实施计划，合理控制项目进度；</w:t>
      </w:r>
    </w:p>
    <w:p>
      <w:pPr>
        <w:ind w:firstLine="424" w:firstLineChars="177"/>
        <w:rPr>
          <w:rFonts w:hint="eastAsia" w:ascii="宋体" w:hAnsi="宋体" w:cs="宋体"/>
          <w:sz w:val="24"/>
        </w:rPr>
      </w:pPr>
      <w:r>
        <w:rPr>
          <w:rFonts w:hint="eastAsia" w:ascii="宋体" w:hAnsi="宋体" w:cs="宋体"/>
          <w:sz w:val="24"/>
        </w:rPr>
        <w:t>审核项目实施方案符合项目质量要求，与优化设计相符合；</w:t>
      </w:r>
    </w:p>
    <w:p>
      <w:pPr>
        <w:ind w:firstLine="424" w:firstLineChars="177"/>
        <w:rPr>
          <w:rFonts w:hint="eastAsia" w:ascii="宋体" w:hAnsi="宋体" w:cs="宋体"/>
          <w:sz w:val="24"/>
        </w:rPr>
      </w:pPr>
      <w:r>
        <w:rPr>
          <w:rFonts w:hint="eastAsia" w:ascii="宋体" w:hAnsi="宋体" w:cs="宋体"/>
          <w:sz w:val="24"/>
        </w:rPr>
        <w:t>监督项目中承建方所使用的产品和服务符合承建合同及国家相关法律、法规和标准；</w:t>
      </w:r>
    </w:p>
    <w:p>
      <w:pPr>
        <w:ind w:firstLine="424" w:firstLineChars="177"/>
        <w:rPr>
          <w:rFonts w:hint="eastAsia" w:ascii="宋体" w:hAnsi="宋体" w:cs="宋体"/>
          <w:sz w:val="24"/>
        </w:rPr>
      </w:pPr>
      <w:r>
        <w:rPr>
          <w:rFonts w:hint="eastAsia" w:ascii="宋体" w:hAnsi="宋体" w:cs="宋体"/>
          <w:sz w:val="24"/>
        </w:rPr>
        <w:t>监督项目实施过程与项目需求、项目设计方案、项目计划相符，在各监控点施工时进行现场监督并记录有关情况，确保项目质量。</w:t>
      </w:r>
    </w:p>
    <w:p>
      <w:pPr>
        <w:rPr>
          <w:rFonts w:hint="eastAsia" w:ascii="宋体" w:hAnsi="宋体" w:cs="宋体"/>
          <w:sz w:val="24"/>
        </w:rPr>
      </w:pPr>
      <w:r>
        <w:rPr>
          <w:rFonts w:hint="eastAsia" w:ascii="宋体" w:hAnsi="宋体" w:cs="宋体"/>
          <w:sz w:val="24"/>
        </w:rPr>
        <w:t>(3)项目验收阶段的主要监理目标</w:t>
      </w:r>
    </w:p>
    <w:p>
      <w:pPr>
        <w:ind w:firstLine="424" w:firstLineChars="177"/>
        <w:rPr>
          <w:rFonts w:hint="eastAsia" w:ascii="宋体" w:hAnsi="宋体" w:cs="宋体"/>
          <w:sz w:val="24"/>
        </w:rPr>
      </w:pPr>
      <w:r>
        <w:rPr>
          <w:rFonts w:hint="eastAsia" w:ascii="宋体" w:hAnsi="宋体" w:cs="宋体"/>
          <w:sz w:val="24"/>
        </w:rPr>
        <w:t>协助业主依据国家、部颁相关标准及项目需求确定项目检测方案，出具检测报告；</w:t>
      </w:r>
    </w:p>
    <w:p>
      <w:pPr>
        <w:ind w:firstLine="424" w:firstLineChars="177"/>
        <w:rPr>
          <w:rFonts w:hint="eastAsia" w:ascii="宋体" w:hAnsi="宋体" w:cs="宋体"/>
          <w:sz w:val="24"/>
        </w:rPr>
      </w:pPr>
      <w:r>
        <w:rPr>
          <w:rFonts w:hint="eastAsia" w:ascii="宋体" w:hAnsi="宋体" w:cs="宋体"/>
          <w:sz w:val="24"/>
        </w:rPr>
        <w:t>对系统进行试运行情况记录、测试，对问题责成承建方解决，并进行二次监测，最终提交业主试运行情况报告；</w:t>
      </w:r>
    </w:p>
    <w:p>
      <w:pPr>
        <w:ind w:firstLine="424" w:firstLineChars="177"/>
        <w:rPr>
          <w:rFonts w:hint="eastAsia" w:ascii="宋体" w:hAnsi="宋体" w:cs="宋体"/>
          <w:sz w:val="24"/>
        </w:rPr>
      </w:pPr>
      <w:r>
        <w:rPr>
          <w:rFonts w:hint="eastAsia" w:ascii="宋体" w:hAnsi="宋体" w:cs="宋体"/>
          <w:sz w:val="24"/>
        </w:rPr>
        <w:t>促使项目的最终功能和性能符合承建合同、法律、法规和标准的要求，协助业主组织验收委员会进行验收；</w:t>
      </w:r>
    </w:p>
    <w:p>
      <w:pPr>
        <w:ind w:firstLine="424" w:firstLineChars="177"/>
        <w:rPr>
          <w:rFonts w:hint="eastAsia" w:ascii="宋体" w:hAnsi="宋体" w:cs="宋体"/>
          <w:sz w:val="24"/>
        </w:rPr>
      </w:pPr>
      <w:r>
        <w:rPr>
          <w:rFonts w:hint="eastAsia" w:ascii="宋体" w:hAnsi="宋体" w:cs="宋体"/>
          <w:sz w:val="24"/>
        </w:rPr>
        <w:t>审核承建单位所提供的项目各阶段形成的技术、管理文档的内容和种类符合相关标准。督促、审核项目承建单位向业主单位按时提交项目竣工验收技术资料和相关文档，主要包括以下内容：承建单位的系统详细设计方案和施工图纸、用户手册、系统维护手册、系统配件清单等完整的技术资料及竣工验收文档书面材料和电子版各两套；项目监理单位各阶段监理工作中形成的技术资料和相关文档。</w:t>
      </w:r>
    </w:p>
    <w:p>
      <w:pPr>
        <w:ind w:firstLine="424" w:firstLineChars="177"/>
        <w:rPr>
          <w:rFonts w:hint="eastAsia" w:ascii="宋体" w:hAnsi="宋体" w:cs="宋体"/>
          <w:sz w:val="24"/>
        </w:rPr>
      </w:pPr>
      <w:r>
        <w:rPr>
          <w:rFonts w:hint="eastAsia" w:ascii="宋体" w:hAnsi="宋体" w:cs="宋体"/>
          <w:sz w:val="24"/>
        </w:rPr>
        <w:t>组织项目整体移交，报送业主支付项目款项的依据。</w:t>
      </w:r>
    </w:p>
    <w:p>
      <w:pPr>
        <w:rPr>
          <w:rFonts w:hint="eastAsia" w:ascii="宋体" w:hAnsi="宋体" w:cs="宋体"/>
          <w:sz w:val="24"/>
        </w:rPr>
      </w:pPr>
      <w:r>
        <w:rPr>
          <w:rFonts w:hint="eastAsia" w:ascii="宋体" w:hAnsi="宋体" w:cs="宋体"/>
          <w:sz w:val="24"/>
        </w:rPr>
        <w:t>（4）质保期阶段的主要监理目标</w:t>
      </w:r>
    </w:p>
    <w:p>
      <w:pPr>
        <w:ind w:firstLine="424" w:firstLineChars="177"/>
        <w:rPr>
          <w:rFonts w:hint="eastAsia" w:ascii="宋体" w:hAnsi="宋体" w:cs="宋体"/>
          <w:sz w:val="24"/>
        </w:rPr>
      </w:pPr>
      <w:r>
        <w:rPr>
          <w:rFonts w:hint="eastAsia" w:ascii="宋体" w:hAnsi="宋体" w:cs="宋体"/>
          <w:sz w:val="24"/>
        </w:rPr>
        <w:t>技术培训的监理；</w:t>
      </w:r>
    </w:p>
    <w:p>
      <w:pPr>
        <w:ind w:firstLine="424" w:firstLineChars="177"/>
        <w:rPr>
          <w:rFonts w:hint="eastAsia" w:ascii="宋体" w:hAnsi="宋体" w:cs="宋体"/>
          <w:sz w:val="24"/>
        </w:rPr>
      </w:pPr>
      <w:r>
        <w:rPr>
          <w:rFonts w:hint="eastAsia" w:ascii="宋体" w:hAnsi="宋体" w:cs="宋体"/>
          <w:sz w:val="24"/>
        </w:rPr>
        <w:t>各设备、系统、软件、项目的保修和技术支持的质量监理。</w:t>
      </w:r>
    </w:p>
    <w:p>
      <w:pPr>
        <w:pStyle w:val="6"/>
        <w:jc w:val="left"/>
        <w:rPr>
          <w:rFonts w:hint="eastAsia" w:ascii="宋体" w:hAnsi="宋体" w:cs="宋体"/>
          <w:sz w:val="24"/>
          <w:szCs w:val="24"/>
        </w:rPr>
      </w:pPr>
      <w:r>
        <w:rPr>
          <w:rFonts w:hint="eastAsia" w:ascii="宋体" w:hAnsi="宋体" w:cs="宋体"/>
          <w:sz w:val="24"/>
          <w:szCs w:val="24"/>
        </w:rPr>
        <w:t>2.3监理工作内容</w:t>
      </w:r>
    </w:p>
    <w:p>
      <w:pPr>
        <w:ind w:firstLine="480" w:firstLineChars="200"/>
        <w:rPr>
          <w:rFonts w:hint="eastAsia" w:ascii="宋体" w:hAnsi="宋体" w:cs="宋体"/>
          <w:sz w:val="24"/>
        </w:rPr>
      </w:pPr>
      <w:r>
        <w:rPr>
          <w:rFonts w:hint="eastAsia" w:ascii="宋体" w:hAnsi="宋体" w:cs="宋体"/>
          <w:sz w:val="24"/>
        </w:rPr>
        <w:t>按照“四控制、三管理、一协调’’的原则，确保项目在规定的时间内完成，并实现项目建设的目标，本项目监理工作内容包括：</w:t>
      </w:r>
    </w:p>
    <w:p>
      <w:pPr>
        <w:pStyle w:val="7"/>
        <w:jc w:val="left"/>
        <w:rPr>
          <w:rFonts w:hint="eastAsia" w:ascii="宋体" w:hAnsi="宋体"/>
        </w:rPr>
      </w:pPr>
      <w:r>
        <w:rPr>
          <w:rFonts w:hint="eastAsia" w:ascii="宋体" w:hAnsi="宋体"/>
        </w:rPr>
        <w:t>A 项目组织及技术总体方案的把关；</w:t>
      </w:r>
    </w:p>
    <w:p>
      <w:pPr>
        <w:rPr>
          <w:rFonts w:hint="eastAsia" w:ascii="宋体" w:hAnsi="宋体" w:cs="宋体"/>
          <w:sz w:val="24"/>
        </w:rPr>
      </w:pPr>
      <w:r>
        <w:rPr>
          <w:rFonts w:hint="eastAsia" w:ascii="宋体" w:hAnsi="宋体" w:cs="宋体"/>
          <w:sz w:val="24"/>
        </w:rPr>
        <w:t>1)审核和确认承建单位的总体设计方案；</w:t>
      </w:r>
    </w:p>
    <w:p>
      <w:pPr>
        <w:rPr>
          <w:rFonts w:hint="eastAsia" w:ascii="宋体" w:hAnsi="宋体" w:cs="宋体"/>
          <w:sz w:val="24"/>
        </w:rPr>
      </w:pPr>
      <w:r>
        <w:rPr>
          <w:rFonts w:hint="eastAsia" w:ascii="宋体" w:hAnsi="宋体" w:cs="宋体"/>
          <w:sz w:val="24"/>
        </w:rPr>
        <w:t>2)审核和确认项目建设过程中的各种关键技术方案；</w:t>
      </w:r>
    </w:p>
    <w:p>
      <w:pPr>
        <w:rPr>
          <w:rFonts w:hint="eastAsia" w:ascii="宋体" w:hAnsi="宋体" w:cs="宋体"/>
          <w:sz w:val="24"/>
        </w:rPr>
      </w:pPr>
      <w:r>
        <w:rPr>
          <w:rFonts w:hint="eastAsia" w:ascii="宋体" w:hAnsi="宋体" w:cs="宋体"/>
          <w:sz w:val="24"/>
        </w:rPr>
        <w:t xml:space="preserve">3)审核和确认承建单位的组织和实施方案，和供应商提交的《项目计划》；            </w:t>
      </w:r>
    </w:p>
    <w:p>
      <w:pPr>
        <w:rPr>
          <w:rFonts w:hint="eastAsia" w:ascii="宋体" w:hAnsi="宋体" w:cs="宋体"/>
          <w:sz w:val="24"/>
        </w:rPr>
      </w:pPr>
      <w:r>
        <w:rPr>
          <w:rFonts w:hint="eastAsia" w:ascii="宋体" w:hAnsi="宋体" w:cs="宋体"/>
          <w:sz w:val="24"/>
        </w:rPr>
        <w:t>4)审核和确认承建单位的质量保证计划、质量控制体系(含质量控制的关键性节点)；</w:t>
      </w:r>
    </w:p>
    <w:p>
      <w:pPr>
        <w:rPr>
          <w:rFonts w:hint="eastAsia" w:ascii="宋体" w:hAnsi="宋体" w:cs="宋体"/>
          <w:sz w:val="24"/>
        </w:rPr>
      </w:pPr>
      <w:r>
        <w:rPr>
          <w:rFonts w:hint="eastAsia" w:ascii="宋体" w:hAnsi="宋体" w:cs="宋体"/>
          <w:sz w:val="24"/>
        </w:rPr>
        <w:t>5)审核和确认承建单位的原代码管理方案；</w:t>
      </w:r>
    </w:p>
    <w:p>
      <w:pPr>
        <w:rPr>
          <w:rFonts w:hint="eastAsia" w:ascii="宋体" w:hAnsi="宋体" w:cs="宋体"/>
          <w:sz w:val="24"/>
        </w:rPr>
      </w:pPr>
      <w:r>
        <w:rPr>
          <w:rFonts w:hint="eastAsia" w:ascii="宋体" w:hAnsi="宋体" w:cs="宋体"/>
          <w:sz w:val="24"/>
        </w:rPr>
        <w:t>6)审核和确认承建单位的测试方案；</w:t>
      </w:r>
    </w:p>
    <w:p>
      <w:pPr>
        <w:rPr>
          <w:rFonts w:hint="eastAsia" w:ascii="宋体" w:hAnsi="宋体" w:cs="宋体"/>
          <w:sz w:val="24"/>
        </w:rPr>
      </w:pPr>
      <w:r>
        <w:rPr>
          <w:rFonts w:hint="eastAsia" w:ascii="宋体" w:hAnsi="宋体" w:cs="宋体"/>
          <w:sz w:val="24"/>
        </w:rPr>
        <w:t>7)审核和确认承建单位的进度计划和进度控制节点。</w:t>
      </w:r>
    </w:p>
    <w:p>
      <w:pPr>
        <w:pStyle w:val="7"/>
        <w:jc w:val="left"/>
        <w:rPr>
          <w:rFonts w:hint="eastAsia" w:ascii="宋体" w:hAnsi="宋体"/>
        </w:rPr>
      </w:pPr>
      <w:r>
        <w:rPr>
          <w:rFonts w:hint="eastAsia" w:ascii="宋体" w:hAnsi="宋体"/>
        </w:rPr>
        <w:t>B 工程质量控制</w:t>
      </w:r>
    </w:p>
    <w:p>
      <w:pPr>
        <w:rPr>
          <w:rFonts w:hint="eastAsia" w:ascii="宋体" w:hAnsi="宋体" w:cs="宋体"/>
          <w:sz w:val="24"/>
        </w:rPr>
      </w:pPr>
      <w:r>
        <w:rPr>
          <w:rFonts w:hint="eastAsia" w:ascii="宋体" w:hAnsi="宋体" w:cs="宋体"/>
          <w:sz w:val="24"/>
        </w:rPr>
        <w:t>1、系统集成质量的控制</w:t>
      </w:r>
    </w:p>
    <w:p>
      <w:pPr>
        <w:rPr>
          <w:rFonts w:hint="eastAsia" w:ascii="宋体" w:hAnsi="宋体" w:cs="宋体"/>
          <w:sz w:val="24"/>
        </w:rPr>
      </w:pPr>
      <w:r>
        <w:rPr>
          <w:rFonts w:hint="eastAsia" w:ascii="宋体" w:hAnsi="宋体" w:cs="宋体"/>
          <w:sz w:val="24"/>
        </w:rPr>
        <w:t>1)系统集成方案的审核和确认；</w:t>
      </w:r>
    </w:p>
    <w:p>
      <w:pPr>
        <w:rPr>
          <w:rFonts w:hint="eastAsia" w:ascii="宋体" w:hAnsi="宋体" w:cs="宋体"/>
          <w:sz w:val="24"/>
        </w:rPr>
      </w:pPr>
      <w:r>
        <w:rPr>
          <w:rFonts w:hint="eastAsia" w:ascii="宋体" w:hAnsi="宋体" w:cs="宋体"/>
          <w:sz w:val="24"/>
        </w:rPr>
        <w:t>2)审核关键设备；</w:t>
      </w:r>
    </w:p>
    <w:p>
      <w:pPr>
        <w:rPr>
          <w:rFonts w:hint="eastAsia" w:ascii="宋体" w:hAnsi="宋体" w:cs="宋体"/>
          <w:sz w:val="24"/>
        </w:rPr>
      </w:pPr>
      <w:r>
        <w:rPr>
          <w:rFonts w:hint="eastAsia" w:ascii="宋体" w:hAnsi="宋体" w:cs="宋体"/>
          <w:sz w:val="24"/>
        </w:rPr>
        <w:t>3)对采购的硬件设备的质量进行检验、测试和验收；</w:t>
      </w:r>
    </w:p>
    <w:p>
      <w:pPr>
        <w:rPr>
          <w:rFonts w:hint="eastAsia" w:ascii="宋体" w:hAnsi="宋体" w:cs="宋体"/>
          <w:sz w:val="24"/>
        </w:rPr>
      </w:pPr>
      <w:r>
        <w:rPr>
          <w:rFonts w:hint="eastAsia" w:ascii="宋体" w:hAnsi="宋体" w:cs="宋体"/>
          <w:sz w:val="24"/>
        </w:rPr>
        <w:t>4)对设备安装、系统软件的安装调试进行验收；</w:t>
      </w:r>
    </w:p>
    <w:p>
      <w:pPr>
        <w:rPr>
          <w:rFonts w:hint="eastAsia" w:ascii="宋体" w:hAnsi="宋体" w:cs="宋体"/>
          <w:sz w:val="24"/>
        </w:rPr>
      </w:pPr>
      <w:r>
        <w:rPr>
          <w:rFonts w:hint="eastAsia" w:ascii="宋体" w:hAnsi="宋体" w:cs="宋体"/>
          <w:sz w:val="24"/>
        </w:rPr>
        <w:t>5)对系统集成进行总体验收。</w:t>
      </w:r>
    </w:p>
    <w:p>
      <w:pPr>
        <w:rPr>
          <w:rFonts w:hint="eastAsia" w:ascii="宋体" w:hAnsi="宋体" w:cs="宋体"/>
          <w:sz w:val="24"/>
        </w:rPr>
      </w:pPr>
      <w:r>
        <w:rPr>
          <w:rFonts w:hint="eastAsia" w:ascii="宋体" w:hAnsi="宋体" w:cs="宋体"/>
          <w:sz w:val="24"/>
        </w:rPr>
        <w:t>2、人员培训的质量控制</w:t>
      </w:r>
    </w:p>
    <w:p>
      <w:pPr>
        <w:rPr>
          <w:rFonts w:hint="eastAsia" w:ascii="宋体" w:hAnsi="宋体" w:cs="宋体"/>
          <w:sz w:val="24"/>
        </w:rPr>
      </w:pPr>
      <w:r>
        <w:rPr>
          <w:rFonts w:hint="eastAsia" w:ascii="宋体" w:hAnsi="宋体" w:cs="宋体"/>
          <w:sz w:val="24"/>
        </w:rPr>
        <w:t>1)审核确认承建单位的培训计划；</w:t>
      </w:r>
    </w:p>
    <w:p>
      <w:pPr>
        <w:rPr>
          <w:rFonts w:hint="eastAsia" w:ascii="宋体" w:hAnsi="宋体" w:cs="宋体"/>
          <w:sz w:val="24"/>
        </w:rPr>
      </w:pPr>
      <w:r>
        <w:rPr>
          <w:rFonts w:hint="eastAsia" w:ascii="宋体" w:hAnsi="宋体" w:cs="宋体"/>
          <w:sz w:val="24"/>
        </w:rPr>
        <w:t>2)监督承建单位实施其培训计划，并征求用户的反馈意见；</w:t>
      </w:r>
    </w:p>
    <w:p>
      <w:pPr>
        <w:rPr>
          <w:rFonts w:hint="eastAsia" w:ascii="宋体" w:hAnsi="宋体" w:cs="宋体"/>
          <w:sz w:val="24"/>
        </w:rPr>
      </w:pPr>
      <w:r>
        <w:rPr>
          <w:rFonts w:hint="eastAsia" w:ascii="宋体" w:hAnsi="宋体" w:cs="宋体"/>
          <w:sz w:val="24"/>
        </w:rPr>
        <w:t>3)监督审查考核工作，评估培训效果；</w:t>
      </w:r>
    </w:p>
    <w:p>
      <w:pPr>
        <w:rPr>
          <w:rFonts w:hint="eastAsia" w:ascii="宋体" w:hAnsi="宋体" w:cs="宋体"/>
          <w:sz w:val="24"/>
        </w:rPr>
      </w:pPr>
      <w:r>
        <w:rPr>
          <w:rFonts w:hint="eastAsia" w:ascii="宋体" w:hAnsi="宋体" w:cs="宋体"/>
          <w:sz w:val="24"/>
        </w:rPr>
        <w:t>4)审核确认承建单位的培训总结报告。</w:t>
      </w:r>
    </w:p>
    <w:p>
      <w:pPr>
        <w:pStyle w:val="7"/>
        <w:jc w:val="left"/>
        <w:rPr>
          <w:rFonts w:hint="eastAsia" w:ascii="宋体" w:hAnsi="宋体"/>
        </w:rPr>
      </w:pPr>
      <w:r>
        <w:rPr>
          <w:rFonts w:hint="eastAsia" w:ascii="宋体" w:hAnsi="宋体"/>
        </w:rPr>
        <w:t>C 工程进度控制</w:t>
      </w:r>
    </w:p>
    <w:p>
      <w:pPr>
        <w:rPr>
          <w:rFonts w:hint="eastAsia" w:ascii="宋体" w:hAnsi="宋体" w:cs="宋体"/>
          <w:sz w:val="24"/>
        </w:rPr>
      </w:pPr>
      <w:r>
        <w:rPr>
          <w:rFonts w:hint="eastAsia" w:ascii="宋体" w:hAnsi="宋体" w:cs="宋体"/>
          <w:sz w:val="24"/>
        </w:rPr>
        <w:t>1)审核承建单位的进度分解计划，确认分解计划可以保证总体计划目标；</w:t>
      </w:r>
    </w:p>
    <w:p>
      <w:pPr>
        <w:rPr>
          <w:rFonts w:hint="eastAsia" w:ascii="宋体" w:hAnsi="宋体" w:cs="宋体"/>
          <w:sz w:val="24"/>
        </w:rPr>
      </w:pPr>
      <w:r>
        <w:rPr>
          <w:rFonts w:hint="eastAsia" w:ascii="宋体" w:hAnsi="宋体" w:cs="宋体"/>
          <w:sz w:val="24"/>
        </w:rPr>
        <w:t>2)对项目实施进度进行实时跟踪，并要求承建单位对进度计划进行动态调整，以确保项目的阶段和总体进度目标的实现；</w:t>
      </w:r>
    </w:p>
    <w:p>
      <w:pPr>
        <w:rPr>
          <w:rFonts w:hint="eastAsia" w:ascii="宋体" w:hAnsi="宋体" w:cs="宋体"/>
          <w:sz w:val="24"/>
        </w:rPr>
      </w:pPr>
      <w:r>
        <w:rPr>
          <w:rFonts w:hint="eastAsia" w:ascii="宋体" w:hAnsi="宋体" w:cs="宋体"/>
          <w:sz w:val="24"/>
        </w:rPr>
        <w:t>3)当项目建设期目标偏离时，应及时指出，并提出对策建议，同时督促承建单位尽快采取措施。</w:t>
      </w:r>
    </w:p>
    <w:p>
      <w:pPr>
        <w:pStyle w:val="7"/>
        <w:jc w:val="left"/>
        <w:rPr>
          <w:rFonts w:hint="eastAsia" w:ascii="宋体" w:hAnsi="宋体"/>
        </w:rPr>
      </w:pPr>
      <w:r>
        <w:rPr>
          <w:rFonts w:hint="eastAsia" w:ascii="宋体" w:hAnsi="宋体"/>
        </w:rPr>
        <w:t>D 投资控制</w:t>
      </w:r>
    </w:p>
    <w:p>
      <w:pPr>
        <w:rPr>
          <w:rFonts w:hint="eastAsia" w:ascii="宋体" w:hAnsi="宋体" w:cs="宋体"/>
          <w:sz w:val="24"/>
        </w:rPr>
      </w:pPr>
      <w:r>
        <w:rPr>
          <w:rFonts w:hint="eastAsia" w:ascii="宋体" w:hAnsi="宋体" w:cs="宋体"/>
          <w:sz w:val="24"/>
        </w:rPr>
        <w:t>1)通过对工程实施中的方案及设计的优化，确保投资控制在合理、性价比高的范围内；</w:t>
      </w:r>
    </w:p>
    <w:p>
      <w:pPr>
        <w:rPr>
          <w:rFonts w:hint="eastAsia" w:ascii="宋体" w:hAnsi="宋体" w:cs="宋体"/>
          <w:sz w:val="24"/>
        </w:rPr>
      </w:pPr>
      <w:r>
        <w:rPr>
          <w:rFonts w:hint="eastAsia" w:ascii="宋体" w:hAnsi="宋体" w:cs="宋体"/>
          <w:sz w:val="24"/>
        </w:rPr>
        <w:t>2)协助建设单位做好项目支付预算的现金流量表，将付款进度与工程质量与形象进度结合起来。</w:t>
      </w:r>
    </w:p>
    <w:p>
      <w:pPr>
        <w:pStyle w:val="7"/>
        <w:jc w:val="left"/>
        <w:rPr>
          <w:rFonts w:hint="eastAsia" w:ascii="宋体" w:hAnsi="宋体"/>
        </w:rPr>
      </w:pPr>
      <w:r>
        <w:rPr>
          <w:rFonts w:hint="eastAsia" w:ascii="宋体" w:hAnsi="宋体"/>
        </w:rPr>
        <w:t>E 变更控制</w:t>
      </w:r>
    </w:p>
    <w:p>
      <w:pPr>
        <w:rPr>
          <w:rFonts w:hint="eastAsia" w:ascii="宋体" w:hAnsi="宋体" w:cs="宋体"/>
          <w:sz w:val="24"/>
        </w:rPr>
      </w:pPr>
      <w:r>
        <w:rPr>
          <w:rFonts w:hint="eastAsia" w:ascii="宋体" w:hAnsi="宋体" w:cs="宋体"/>
          <w:sz w:val="24"/>
        </w:rPr>
        <w:t>1)对可能产生的变更提前做出准备并进行沟通；</w:t>
      </w:r>
    </w:p>
    <w:p>
      <w:pPr>
        <w:rPr>
          <w:rFonts w:hint="eastAsia" w:ascii="宋体" w:hAnsi="宋体" w:cs="宋体"/>
          <w:sz w:val="24"/>
        </w:rPr>
      </w:pPr>
      <w:r>
        <w:rPr>
          <w:rFonts w:hint="eastAsia" w:ascii="宋体" w:hAnsi="宋体" w:cs="宋体"/>
          <w:sz w:val="24"/>
        </w:rPr>
        <w:t>2)接受变更申请单位正式提出的变更申请；</w:t>
      </w:r>
    </w:p>
    <w:p>
      <w:pPr>
        <w:rPr>
          <w:rFonts w:hint="eastAsia" w:ascii="宋体" w:hAnsi="宋体" w:cs="宋体"/>
          <w:sz w:val="24"/>
        </w:rPr>
      </w:pPr>
      <w:r>
        <w:rPr>
          <w:rFonts w:hint="eastAsia" w:ascii="宋体" w:hAnsi="宋体" w:cs="宋体"/>
          <w:sz w:val="24"/>
        </w:rPr>
        <w:t>3)监理机构对变更进行初审，判断变更的合理性和必要性，并给出监理意见；</w:t>
      </w:r>
    </w:p>
    <w:p>
      <w:pPr>
        <w:rPr>
          <w:rFonts w:hint="eastAsia" w:ascii="宋体" w:hAnsi="宋体" w:cs="宋体"/>
          <w:sz w:val="24"/>
        </w:rPr>
      </w:pPr>
      <w:r>
        <w:rPr>
          <w:rFonts w:hint="eastAsia" w:ascii="宋体" w:hAnsi="宋体" w:cs="宋体"/>
          <w:sz w:val="24"/>
        </w:rPr>
        <w:t>4)协调三方进行协商和讨论，确定变更方法，下达变更通知书。</w:t>
      </w:r>
    </w:p>
    <w:p>
      <w:pPr>
        <w:rPr>
          <w:rFonts w:hint="eastAsia" w:ascii="宋体" w:hAnsi="宋体" w:cs="宋体"/>
          <w:sz w:val="24"/>
        </w:rPr>
      </w:pPr>
      <w:r>
        <w:rPr>
          <w:rFonts w:hint="eastAsia" w:ascii="宋体" w:hAnsi="宋体" w:cs="宋体"/>
          <w:sz w:val="24"/>
        </w:rPr>
        <w:t>5)监控变更的实施，及时控制和处理；</w:t>
      </w:r>
    </w:p>
    <w:p>
      <w:pPr>
        <w:rPr>
          <w:rFonts w:hint="eastAsia" w:ascii="宋体" w:hAnsi="宋体" w:cs="宋体"/>
          <w:sz w:val="24"/>
        </w:rPr>
      </w:pPr>
      <w:r>
        <w:rPr>
          <w:rFonts w:hint="eastAsia" w:ascii="宋体" w:hAnsi="宋体" w:cs="宋体"/>
          <w:sz w:val="24"/>
        </w:rPr>
        <w:t>6)在变更实施结束后，要对变更效果进行分析和评估。</w:t>
      </w:r>
    </w:p>
    <w:p>
      <w:pPr>
        <w:pStyle w:val="7"/>
        <w:jc w:val="left"/>
        <w:rPr>
          <w:rFonts w:hint="eastAsia" w:ascii="宋体" w:hAnsi="宋体"/>
        </w:rPr>
      </w:pPr>
      <w:r>
        <w:rPr>
          <w:rFonts w:hint="eastAsia" w:ascii="宋体" w:hAnsi="宋体"/>
        </w:rPr>
        <w:t>F 合同管理</w:t>
      </w:r>
    </w:p>
    <w:p>
      <w:pPr>
        <w:rPr>
          <w:rFonts w:hint="eastAsia" w:ascii="宋体" w:hAnsi="宋体" w:cs="宋体"/>
          <w:sz w:val="24"/>
        </w:rPr>
      </w:pPr>
      <w:r>
        <w:rPr>
          <w:rFonts w:hint="eastAsia" w:ascii="宋体" w:hAnsi="宋体" w:cs="宋体"/>
          <w:sz w:val="24"/>
        </w:rPr>
        <w:t>1)跟踪检查合同的执行情况，确保承建单位按时履约；</w:t>
      </w:r>
    </w:p>
    <w:p>
      <w:pPr>
        <w:rPr>
          <w:rFonts w:hint="eastAsia" w:ascii="宋体" w:hAnsi="宋体" w:cs="宋体"/>
          <w:sz w:val="24"/>
        </w:rPr>
      </w:pPr>
      <w:r>
        <w:rPr>
          <w:rFonts w:hint="eastAsia" w:ascii="宋体" w:hAnsi="宋体" w:cs="宋体"/>
          <w:sz w:val="24"/>
        </w:rPr>
        <w:t>2)对合同工期的延误和延期进行审核确认；</w:t>
      </w:r>
    </w:p>
    <w:p>
      <w:pPr>
        <w:rPr>
          <w:rFonts w:hint="eastAsia" w:ascii="宋体" w:hAnsi="宋体" w:cs="宋体"/>
          <w:sz w:val="24"/>
        </w:rPr>
      </w:pPr>
      <w:r>
        <w:rPr>
          <w:rFonts w:hint="eastAsia" w:ascii="宋体" w:hAnsi="宋体" w:cs="宋体"/>
          <w:sz w:val="24"/>
        </w:rPr>
        <w:t>3)对合同变更、索赔等事宜进行审核确认；</w:t>
      </w:r>
    </w:p>
    <w:p>
      <w:pPr>
        <w:rPr>
          <w:rFonts w:hint="eastAsia" w:ascii="宋体" w:hAnsi="宋体" w:cs="宋体"/>
          <w:sz w:val="24"/>
        </w:rPr>
      </w:pPr>
      <w:r>
        <w:rPr>
          <w:rFonts w:hint="eastAsia" w:ascii="宋体" w:hAnsi="宋体" w:cs="宋体"/>
          <w:sz w:val="24"/>
        </w:rPr>
        <w:t>4)根据合同约定，审核承建单位提交的支付申请，签发付款凭证。</w:t>
      </w:r>
    </w:p>
    <w:p>
      <w:pPr>
        <w:pStyle w:val="7"/>
        <w:jc w:val="left"/>
        <w:rPr>
          <w:rFonts w:hint="eastAsia" w:ascii="宋体" w:hAnsi="宋体"/>
        </w:rPr>
      </w:pPr>
      <w:r>
        <w:rPr>
          <w:rFonts w:hint="eastAsia" w:ascii="宋体" w:hAnsi="宋体"/>
        </w:rPr>
        <w:t>G 信息管理／工程文档管理</w:t>
      </w:r>
    </w:p>
    <w:p>
      <w:pPr>
        <w:rPr>
          <w:rFonts w:hint="eastAsia" w:ascii="宋体" w:hAnsi="宋体" w:cs="宋体"/>
          <w:sz w:val="24"/>
        </w:rPr>
      </w:pPr>
      <w:r>
        <w:rPr>
          <w:rFonts w:hint="eastAsia" w:ascii="宋体" w:hAnsi="宋体" w:cs="宋体"/>
          <w:sz w:val="24"/>
        </w:rPr>
        <w:t>1)做好监理日记及工程大事记；</w:t>
      </w:r>
    </w:p>
    <w:p>
      <w:pPr>
        <w:rPr>
          <w:rFonts w:hint="eastAsia" w:ascii="宋体" w:hAnsi="宋体" w:cs="宋体"/>
          <w:sz w:val="24"/>
        </w:rPr>
      </w:pPr>
      <w:r>
        <w:rPr>
          <w:rFonts w:hint="eastAsia" w:ascii="宋体" w:hAnsi="宋体" w:cs="宋体"/>
          <w:sz w:val="24"/>
        </w:rPr>
        <w:t>2)做好合同批复等各类往来文件的批复和存档；</w:t>
      </w:r>
    </w:p>
    <w:p>
      <w:pPr>
        <w:rPr>
          <w:rFonts w:hint="eastAsia" w:ascii="宋体" w:hAnsi="宋体" w:cs="宋体"/>
          <w:sz w:val="24"/>
        </w:rPr>
      </w:pPr>
      <w:r>
        <w:rPr>
          <w:rFonts w:hint="eastAsia" w:ascii="宋体" w:hAnsi="宋体" w:cs="宋体"/>
          <w:sz w:val="24"/>
        </w:rPr>
        <w:t>3)做好项目协调会、技术专题会等各项会议纪要；</w:t>
      </w:r>
    </w:p>
    <w:p>
      <w:pPr>
        <w:rPr>
          <w:rFonts w:hint="eastAsia" w:ascii="宋体" w:hAnsi="宋体" w:cs="宋体"/>
          <w:sz w:val="24"/>
        </w:rPr>
      </w:pPr>
      <w:r>
        <w:rPr>
          <w:rFonts w:hint="eastAsia" w:ascii="宋体" w:hAnsi="宋体" w:cs="宋体"/>
          <w:sz w:val="24"/>
        </w:rPr>
        <w:t>4)管理好实施期间的各类、各方技术文档；</w:t>
      </w:r>
    </w:p>
    <w:p>
      <w:pPr>
        <w:rPr>
          <w:rFonts w:hint="eastAsia" w:ascii="宋体" w:hAnsi="宋体" w:cs="宋体"/>
          <w:sz w:val="24"/>
        </w:rPr>
      </w:pPr>
      <w:r>
        <w:rPr>
          <w:rFonts w:hint="eastAsia" w:ascii="宋体" w:hAnsi="宋体" w:cs="宋体"/>
          <w:sz w:val="24"/>
        </w:rPr>
        <w:t>5)做好项目周报；</w:t>
      </w:r>
    </w:p>
    <w:p>
      <w:pPr>
        <w:rPr>
          <w:rFonts w:hint="eastAsia" w:ascii="宋体" w:hAnsi="宋体" w:cs="宋体"/>
          <w:sz w:val="24"/>
        </w:rPr>
      </w:pPr>
      <w:r>
        <w:rPr>
          <w:rFonts w:hint="eastAsia" w:ascii="宋体" w:hAnsi="宋体" w:cs="宋体"/>
          <w:sz w:val="24"/>
        </w:rPr>
        <w:t>6)做好监理建议书和监理通知书存档；</w:t>
      </w:r>
    </w:p>
    <w:p>
      <w:pPr>
        <w:rPr>
          <w:rFonts w:hint="eastAsia" w:ascii="宋体" w:hAnsi="宋体" w:cs="宋体"/>
          <w:sz w:val="24"/>
        </w:rPr>
      </w:pPr>
      <w:r>
        <w:rPr>
          <w:rFonts w:hint="eastAsia" w:ascii="宋体" w:hAnsi="宋体" w:cs="宋体"/>
          <w:sz w:val="24"/>
        </w:rPr>
        <w:t>7)阶段性项目总结。</w:t>
      </w:r>
    </w:p>
    <w:p>
      <w:pPr>
        <w:pStyle w:val="7"/>
        <w:jc w:val="left"/>
        <w:rPr>
          <w:rFonts w:hint="eastAsia" w:ascii="宋体" w:hAnsi="宋体"/>
        </w:rPr>
      </w:pPr>
      <w:r>
        <w:rPr>
          <w:rFonts w:hint="eastAsia" w:ascii="宋体" w:hAnsi="宋体"/>
        </w:rPr>
        <w:t>H 安全管理</w:t>
      </w:r>
    </w:p>
    <w:p>
      <w:pPr>
        <w:rPr>
          <w:rFonts w:hint="eastAsia" w:ascii="宋体" w:hAnsi="宋体" w:cs="宋体"/>
          <w:sz w:val="24"/>
        </w:rPr>
      </w:pPr>
      <w:r>
        <w:rPr>
          <w:rFonts w:hint="eastAsia" w:ascii="宋体" w:hAnsi="宋体" w:cs="宋体"/>
          <w:sz w:val="24"/>
        </w:rPr>
        <w:t>1)审核承建单位安全生产管理体系、施工安全专项方案；</w:t>
      </w:r>
    </w:p>
    <w:p>
      <w:pPr>
        <w:rPr>
          <w:rFonts w:hint="eastAsia" w:ascii="宋体" w:hAnsi="宋体" w:cs="宋体"/>
          <w:sz w:val="24"/>
        </w:rPr>
      </w:pPr>
      <w:r>
        <w:rPr>
          <w:rFonts w:hint="eastAsia" w:ascii="宋体" w:hAnsi="宋体" w:cs="宋体"/>
          <w:sz w:val="24"/>
        </w:rPr>
        <w:t>2)严密监控承建单位安全生产作业，做好安全生产旁站记录；</w:t>
      </w:r>
    </w:p>
    <w:p>
      <w:pPr>
        <w:rPr>
          <w:rFonts w:hint="eastAsia" w:ascii="宋体" w:hAnsi="宋体" w:cs="宋体"/>
          <w:sz w:val="24"/>
        </w:rPr>
      </w:pPr>
      <w:r>
        <w:rPr>
          <w:rFonts w:hint="eastAsia" w:ascii="宋体" w:hAnsi="宋体" w:cs="宋体"/>
          <w:sz w:val="24"/>
        </w:rPr>
        <w:t>3)对建设单位和承建单位有关技术方案、软件文档、源代码及</w:t>
      </w:r>
    </w:p>
    <w:p>
      <w:pPr>
        <w:rPr>
          <w:rFonts w:hint="eastAsia" w:ascii="宋体" w:hAnsi="宋体" w:cs="宋体"/>
          <w:sz w:val="24"/>
        </w:rPr>
      </w:pPr>
      <w:r>
        <w:rPr>
          <w:rFonts w:hint="eastAsia" w:ascii="宋体" w:hAnsi="宋体" w:cs="宋体"/>
          <w:sz w:val="24"/>
        </w:rPr>
        <w:t>有关技术秘密等涉及知识产权的内容进行检查、监督和保护。</w:t>
      </w:r>
    </w:p>
    <w:p>
      <w:pPr>
        <w:pStyle w:val="7"/>
        <w:jc w:val="left"/>
        <w:rPr>
          <w:rFonts w:hint="eastAsia" w:ascii="宋体" w:hAnsi="宋体"/>
        </w:rPr>
      </w:pPr>
      <w:r>
        <w:rPr>
          <w:rFonts w:hint="eastAsia" w:ascii="宋体" w:hAnsi="宋体"/>
        </w:rPr>
        <w:t>I 协调管理</w:t>
      </w:r>
    </w:p>
    <w:p>
      <w:pPr>
        <w:rPr>
          <w:rFonts w:hint="eastAsia" w:ascii="宋体" w:hAnsi="宋体" w:cs="宋体"/>
          <w:sz w:val="24"/>
        </w:rPr>
      </w:pPr>
      <w:r>
        <w:rPr>
          <w:rFonts w:hint="eastAsia" w:ascii="宋体" w:hAnsi="宋体" w:cs="宋体"/>
          <w:sz w:val="24"/>
        </w:rPr>
        <w:t>经业主委托，负责协调本项目所涉及的各承建单位之间的工作关系，并协调解决项目建设过程中的各类纠纷。</w:t>
      </w:r>
    </w:p>
    <w:p>
      <w:pPr>
        <w:pStyle w:val="6"/>
        <w:spacing w:line="240" w:lineRule="auto"/>
        <w:jc w:val="left"/>
        <w:rPr>
          <w:rFonts w:hint="eastAsia" w:ascii="宋体" w:hAnsi="宋体" w:cs="宋体"/>
          <w:sz w:val="24"/>
          <w:szCs w:val="24"/>
        </w:rPr>
      </w:pPr>
      <w:r>
        <w:rPr>
          <w:rFonts w:hint="eastAsia" w:ascii="宋体" w:hAnsi="宋体" w:cs="宋体"/>
          <w:sz w:val="24"/>
          <w:szCs w:val="24"/>
        </w:rPr>
        <w:t>2.4项目进行各阶段的监理任务</w:t>
      </w:r>
    </w:p>
    <w:p>
      <w:pPr>
        <w:pStyle w:val="7"/>
        <w:jc w:val="left"/>
        <w:rPr>
          <w:rFonts w:hint="eastAsia" w:ascii="宋体" w:hAnsi="宋体"/>
        </w:rPr>
      </w:pPr>
      <w:r>
        <w:rPr>
          <w:rFonts w:hint="eastAsia" w:ascii="宋体" w:hAnsi="宋体"/>
        </w:rPr>
        <w:t>A、项目实施准备阶段的监理</w:t>
      </w:r>
    </w:p>
    <w:p>
      <w:pPr>
        <w:rPr>
          <w:rFonts w:hint="eastAsia" w:ascii="宋体" w:hAnsi="宋体" w:cs="宋体"/>
          <w:sz w:val="24"/>
        </w:rPr>
      </w:pPr>
      <w:r>
        <w:rPr>
          <w:rFonts w:hint="eastAsia" w:ascii="宋体" w:hAnsi="宋体" w:cs="宋体"/>
          <w:sz w:val="24"/>
        </w:rPr>
        <w:t xml:space="preserve">1)审批开工申请，确定开工日期； </w:t>
      </w:r>
    </w:p>
    <w:p>
      <w:pPr>
        <w:rPr>
          <w:rFonts w:hint="eastAsia" w:ascii="宋体" w:hAnsi="宋体" w:cs="宋体"/>
          <w:sz w:val="24"/>
        </w:rPr>
      </w:pPr>
      <w:r>
        <w:rPr>
          <w:rFonts w:hint="eastAsia" w:ascii="宋体" w:hAnsi="宋体" w:cs="宋体"/>
          <w:sz w:val="24"/>
        </w:rPr>
        <w:t>2)了解项目实施条件准备情况；</w:t>
      </w:r>
    </w:p>
    <w:p>
      <w:pPr>
        <w:rPr>
          <w:rFonts w:hint="eastAsia" w:ascii="宋体" w:hAnsi="宋体" w:cs="宋体"/>
          <w:sz w:val="24"/>
        </w:rPr>
      </w:pPr>
      <w:r>
        <w:rPr>
          <w:rFonts w:hint="eastAsia" w:ascii="宋体" w:hAnsi="宋体" w:cs="宋体"/>
          <w:sz w:val="24"/>
        </w:rPr>
        <w:t>3)了解承包商项目实施前期的人员组织、施工设备到位情况。</w:t>
      </w:r>
    </w:p>
    <w:p>
      <w:pPr>
        <w:pStyle w:val="7"/>
        <w:jc w:val="left"/>
        <w:rPr>
          <w:rFonts w:hint="eastAsia" w:ascii="宋体" w:hAnsi="宋体"/>
        </w:rPr>
      </w:pPr>
      <w:r>
        <w:rPr>
          <w:rFonts w:hint="eastAsia" w:ascii="宋体" w:hAnsi="宋体"/>
        </w:rPr>
        <w:t>B、项目实施阶段的监理</w:t>
      </w:r>
    </w:p>
    <w:p>
      <w:pPr>
        <w:rPr>
          <w:rFonts w:hint="eastAsia" w:ascii="宋体" w:hAnsi="宋体" w:cs="宋体"/>
          <w:sz w:val="24"/>
        </w:rPr>
      </w:pPr>
      <w:r>
        <w:rPr>
          <w:rFonts w:hint="eastAsia" w:ascii="宋体" w:hAnsi="宋体" w:cs="宋体"/>
          <w:sz w:val="24"/>
        </w:rPr>
        <w:t>1)工程材料、硬件设备、系统软件的质量、到货时间的审核；</w:t>
      </w:r>
    </w:p>
    <w:p>
      <w:pPr>
        <w:rPr>
          <w:rFonts w:hint="eastAsia" w:ascii="宋体" w:hAnsi="宋体" w:cs="宋体"/>
          <w:sz w:val="24"/>
        </w:rPr>
      </w:pPr>
      <w:r>
        <w:rPr>
          <w:rFonts w:hint="eastAsia" w:ascii="宋体" w:hAnsi="宋体" w:cs="宋体"/>
          <w:sz w:val="24"/>
        </w:rPr>
        <w:t>2)网络系统工程、软件工程等实施阶段的质量、进度监理评测和验收。</w:t>
      </w:r>
    </w:p>
    <w:p>
      <w:pPr>
        <w:pStyle w:val="7"/>
        <w:jc w:val="left"/>
        <w:rPr>
          <w:rFonts w:hint="eastAsia" w:ascii="宋体" w:hAnsi="宋体"/>
        </w:rPr>
      </w:pPr>
      <w:r>
        <w:rPr>
          <w:rFonts w:hint="eastAsia" w:ascii="宋体" w:hAnsi="宋体"/>
        </w:rPr>
        <w:t>C、试运行阶段的监理</w:t>
      </w:r>
    </w:p>
    <w:p>
      <w:pPr>
        <w:rPr>
          <w:rFonts w:hint="eastAsia" w:ascii="宋体" w:hAnsi="宋体" w:cs="宋体"/>
          <w:sz w:val="24"/>
        </w:rPr>
      </w:pPr>
      <w:r>
        <w:rPr>
          <w:rFonts w:hint="eastAsia" w:ascii="宋体" w:hAnsi="宋体" w:cs="宋体"/>
          <w:sz w:val="24"/>
        </w:rPr>
        <w:t>1)监查系统的调试和试运行情况，记录系统试运行数据；</w:t>
      </w:r>
    </w:p>
    <w:p>
      <w:pPr>
        <w:rPr>
          <w:rFonts w:hint="eastAsia" w:ascii="宋体" w:hAnsi="宋体" w:cs="宋体"/>
          <w:sz w:val="24"/>
        </w:rPr>
      </w:pPr>
      <w:r>
        <w:rPr>
          <w:rFonts w:hint="eastAsia" w:ascii="宋体" w:hAnsi="宋体" w:cs="宋体"/>
          <w:sz w:val="24"/>
        </w:rPr>
        <w:t>2)对试运行期系统进行检测和或测试，做出检测或测试报告；</w:t>
      </w:r>
    </w:p>
    <w:p>
      <w:pPr>
        <w:rPr>
          <w:rFonts w:hint="eastAsia" w:ascii="宋体" w:hAnsi="宋体" w:cs="宋体"/>
          <w:sz w:val="24"/>
        </w:rPr>
      </w:pPr>
      <w:r>
        <w:rPr>
          <w:rFonts w:hint="eastAsia" w:ascii="宋体" w:hAnsi="宋体" w:cs="宋体"/>
          <w:sz w:val="24"/>
        </w:rPr>
        <w:t>3)对试运行期间系统出现的质量问题进行记录，并责成有关单位解决。解决问题后，进行二次监测。</w:t>
      </w:r>
    </w:p>
    <w:p>
      <w:pPr>
        <w:pStyle w:val="7"/>
        <w:jc w:val="left"/>
        <w:rPr>
          <w:rFonts w:hint="eastAsia" w:ascii="宋体" w:hAnsi="宋体"/>
        </w:rPr>
      </w:pPr>
      <w:r>
        <w:rPr>
          <w:rFonts w:hint="eastAsia" w:ascii="宋体" w:hAnsi="宋体"/>
        </w:rPr>
        <w:t>D、验收阶段的监理</w:t>
      </w:r>
    </w:p>
    <w:p>
      <w:pPr>
        <w:rPr>
          <w:rFonts w:hint="eastAsia" w:ascii="宋体" w:hAnsi="宋体" w:cs="宋体"/>
          <w:sz w:val="24"/>
        </w:rPr>
      </w:pPr>
      <w:r>
        <w:rPr>
          <w:rFonts w:hint="eastAsia" w:ascii="宋体" w:hAnsi="宋体" w:cs="宋体"/>
          <w:sz w:val="24"/>
        </w:rPr>
        <w:t>1)在业主的主持下，进行系统验收；</w:t>
      </w:r>
    </w:p>
    <w:p>
      <w:pPr>
        <w:rPr>
          <w:rFonts w:hint="eastAsia" w:ascii="宋体" w:hAnsi="宋体" w:cs="宋体"/>
          <w:sz w:val="24"/>
        </w:rPr>
      </w:pPr>
      <w:r>
        <w:rPr>
          <w:rFonts w:hint="eastAsia" w:ascii="宋体" w:hAnsi="宋体" w:cs="宋体"/>
          <w:sz w:val="24"/>
        </w:rPr>
        <w:t>2)系统验收完毕进入保修阶段的审核与签发移交证书：</w:t>
      </w:r>
    </w:p>
    <w:p>
      <w:pPr>
        <w:rPr>
          <w:rFonts w:hint="eastAsia" w:ascii="宋体" w:hAnsi="宋体" w:cs="宋体"/>
          <w:sz w:val="24"/>
        </w:rPr>
      </w:pPr>
      <w:r>
        <w:rPr>
          <w:rFonts w:hint="eastAsia" w:ascii="宋体" w:hAnsi="宋体" w:cs="宋体"/>
          <w:sz w:val="24"/>
        </w:rPr>
        <w:t>3)核实已完成工程的数量、质量，报送业主做为支付工程价款的依据。</w:t>
      </w:r>
    </w:p>
    <w:p>
      <w:pPr>
        <w:pStyle w:val="7"/>
        <w:jc w:val="left"/>
        <w:rPr>
          <w:rFonts w:hint="eastAsia" w:ascii="宋体" w:hAnsi="宋体"/>
        </w:rPr>
      </w:pPr>
      <w:r>
        <w:rPr>
          <w:rFonts w:hint="eastAsia" w:ascii="宋体" w:hAnsi="宋体"/>
        </w:rPr>
        <w:t>E、工程结束后的移交</w:t>
      </w:r>
    </w:p>
    <w:p>
      <w:pPr>
        <w:rPr>
          <w:rFonts w:hint="eastAsia" w:ascii="宋体" w:hAnsi="宋体" w:cs="宋体"/>
          <w:sz w:val="24"/>
        </w:rPr>
      </w:pPr>
      <w:r>
        <w:rPr>
          <w:rFonts w:hint="eastAsia" w:ascii="宋体" w:hAnsi="宋体" w:cs="宋体"/>
          <w:sz w:val="24"/>
        </w:rPr>
        <w:t>1)系统的设计方案、设计图纸的全部移交：</w:t>
      </w:r>
    </w:p>
    <w:p>
      <w:pPr>
        <w:rPr>
          <w:rFonts w:hint="eastAsia" w:ascii="宋体" w:hAnsi="宋体" w:cs="宋体"/>
          <w:sz w:val="24"/>
        </w:rPr>
      </w:pPr>
      <w:r>
        <w:rPr>
          <w:rFonts w:hint="eastAsia" w:ascii="宋体" w:hAnsi="宋体" w:cs="宋体"/>
          <w:sz w:val="24"/>
        </w:rPr>
        <w:t>2)设备、软件、材料等的验收文档核实；</w:t>
      </w:r>
    </w:p>
    <w:p>
      <w:pPr>
        <w:rPr>
          <w:rFonts w:hint="eastAsia" w:ascii="宋体" w:hAnsi="宋体" w:cs="宋体"/>
          <w:sz w:val="24"/>
        </w:rPr>
      </w:pPr>
      <w:r>
        <w:rPr>
          <w:rFonts w:hint="eastAsia" w:ascii="宋体" w:hAnsi="宋体" w:cs="宋体"/>
          <w:sz w:val="24"/>
        </w:rPr>
        <w:t>3)项目实施文档的移交；</w:t>
      </w:r>
    </w:p>
    <w:p>
      <w:pPr>
        <w:rPr>
          <w:rFonts w:hint="eastAsia" w:ascii="宋体" w:hAnsi="宋体" w:cs="宋体"/>
          <w:sz w:val="24"/>
        </w:rPr>
      </w:pPr>
      <w:r>
        <w:rPr>
          <w:rFonts w:hint="eastAsia" w:ascii="宋体" w:hAnsi="宋体" w:cs="宋体"/>
          <w:sz w:val="24"/>
        </w:rPr>
        <w:t>4)项目竣工文档的移交；</w:t>
      </w:r>
    </w:p>
    <w:p>
      <w:pPr>
        <w:rPr>
          <w:rFonts w:hint="eastAsia" w:ascii="宋体" w:hAnsi="宋体" w:cs="宋体"/>
          <w:sz w:val="24"/>
        </w:rPr>
      </w:pPr>
      <w:r>
        <w:rPr>
          <w:rFonts w:hint="eastAsia" w:ascii="宋体" w:hAnsi="宋体" w:cs="宋体"/>
          <w:sz w:val="24"/>
        </w:rPr>
        <w:t>5)项目的整体移交。</w:t>
      </w:r>
    </w:p>
    <w:p>
      <w:pPr>
        <w:pStyle w:val="7"/>
        <w:jc w:val="left"/>
        <w:rPr>
          <w:rFonts w:hint="eastAsia" w:ascii="宋体" w:hAnsi="宋体"/>
        </w:rPr>
      </w:pPr>
      <w:r>
        <w:rPr>
          <w:rFonts w:hint="eastAsia" w:ascii="宋体" w:hAnsi="宋体"/>
        </w:rPr>
        <w:t>F、文档管理及组织协调</w:t>
      </w:r>
    </w:p>
    <w:p>
      <w:pPr>
        <w:ind w:firstLine="480" w:firstLineChars="200"/>
        <w:rPr>
          <w:rFonts w:hint="eastAsia" w:ascii="宋体" w:hAnsi="宋体" w:cs="宋体"/>
          <w:sz w:val="24"/>
        </w:rPr>
      </w:pPr>
      <w:r>
        <w:rPr>
          <w:rFonts w:hint="eastAsia" w:ascii="宋体" w:hAnsi="宋体" w:cs="宋体"/>
          <w:sz w:val="24"/>
        </w:rPr>
        <w:t>监理方负责整理记录归档业主单位与承建单位来往的文件、合同、协议及会议记录、电话记录等各种文档。</w:t>
      </w:r>
    </w:p>
    <w:p>
      <w:pPr>
        <w:pStyle w:val="6"/>
        <w:spacing w:line="240" w:lineRule="auto"/>
        <w:jc w:val="left"/>
        <w:rPr>
          <w:rFonts w:hint="eastAsia" w:ascii="宋体" w:hAnsi="宋体" w:cs="宋体"/>
          <w:sz w:val="24"/>
          <w:szCs w:val="24"/>
        </w:rPr>
      </w:pPr>
      <w:r>
        <w:rPr>
          <w:rFonts w:hint="eastAsia" w:ascii="宋体" w:hAnsi="宋体" w:cs="宋体"/>
          <w:sz w:val="24"/>
          <w:szCs w:val="24"/>
        </w:rPr>
        <w:t>2.5监理服务准则要求</w:t>
      </w:r>
    </w:p>
    <w:p>
      <w:pPr>
        <w:rPr>
          <w:rFonts w:hint="eastAsia" w:ascii="宋体" w:hAnsi="宋体" w:cs="宋体"/>
          <w:sz w:val="24"/>
        </w:rPr>
      </w:pPr>
      <w:r>
        <w:rPr>
          <w:rFonts w:hint="eastAsia" w:ascii="宋体" w:hAnsi="宋体" w:cs="宋体"/>
          <w:sz w:val="24"/>
        </w:rPr>
        <w:t>（1）维护国家的荣誉和利益，按照“守法、诚信、公正、科学”的准则执业。</w:t>
      </w:r>
    </w:p>
    <w:p>
      <w:pPr>
        <w:rPr>
          <w:rFonts w:hint="eastAsia" w:ascii="宋体" w:hAnsi="宋体" w:cs="宋体"/>
          <w:sz w:val="24"/>
        </w:rPr>
      </w:pPr>
      <w:r>
        <w:rPr>
          <w:rFonts w:hint="eastAsia" w:ascii="宋体" w:hAnsi="宋体" w:cs="宋体"/>
          <w:sz w:val="24"/>
        </w:rPr>
        <w:t>（2）执行有关项目建设的法律、法规、规范、标准和制度，履行监理合同规定的义务和职责。</w:t>
      </w:r>
    </w:p>
    <w:p>
      <w:pPr>
        <w:rPr>
          <w:rFonts w:hint="eastAsia" w:ascii="宋体" w:hAnsi="宋体" w:cs="宋体"/>
          <w:sz w:val="24"/>
        </w:rPr>
      </w:pPr>
      <w:r>
        <w:rPr>
          <w:rFonts w:hint="eastAsia" w:ascii="宋体" w:hAnsi="宋体" w:cs="宋体"/>
          <w:sz w:val="24"/>
        </w:rPr>
        <w:t xml:space="preserve"> （3）不收受被监理单位的任何礼金等。</w:t>
      </w:r>
    </w:p>
    <w:p>
      <w:pPr>
        <w:rPr>
          <w:rFonts w:hint="eastAsia" w:ascii="宋体" w:hAnsi="宋体" w:cs="宋体"/>
          <w:sz w:val="24"/>
        </w:rPr>
      </w:pPr>
      <w:r>
        <w:rPr>
          <w:rFonts w:hint="eastAsia" w:ascii="宋体" w:hAnsi="宋体" w:cs="宋体"/>
          <w:sz w:val="24"/>
        </w:rPr>
        <w:t xml:space="preserve"> （4）不泄漏所监理工程各方认为需要保密的事项。</w:t>
      </w:r>
    </w:p>
    <w:p>
      <w:pPr>
        <w:rPr>
          <w:rFonts w:hint="eastAsia" w:ascii="宋体" w:hAnsi="宋体" w:cs="宋体"/>
          <w:sz w:val="24"/>
        </w:rPr>
      </w:pPr>
      <w:r>
        <w:rPr>
          <w:rFonts w:hint="eastAsia" w:ascii="宋体" w:hAnsi="宋体" w:cs="宋体"/>
          <w:sz w:val="24"/>
        </w:rPr>
        <w:t xml:space="preserve"> （5）遵守国家的法律和政府的有关条例、规定和办法等。</w:t>
      </w:r>
    </w:p>
    <w:p>
      <w:pPr>
        <w:rPr>
          <w:rFonts w:hint="eastAsia" w:ascii="宋体" w:hAnsi="宋体" w:cs="宋体"/>
          <w:sz w:val="24"/>
        </w:rPr>
      </w:pPr>
      <w:r>
        <w:rPr>
          <w:rFonts w:hint="eastAsia" w:ascii="宋体" w:hAnsi="宋体" w:cs="宋体"/>
          <w:sz w:val="24"/>
        </w:rPr>
        <w:t xml:space="preserve"> （6）认真履行工程建设监理合同所承诺的义务和承担约定的责任。</w:t>
      </w:r>
    </w:p>
    <w:p>
      <w:pPr>
        <w:rPr>
          <w:rFonts w:hint="eastAsia" w:ascii="宋体" w:hAnsi="宋体" w:cs="宋体"/>
          <w:sz w:val="24"/>
        </w:rPr>
      </w:pPr>
      <w:r>
        <w:rPr>
          <w:rFonts w:hint="eastAsia" w:ascii="宋体" w:hAnsi="宋体" w:cs="宋体"/>
          <w:sz w:val="24"/>
        </w:rPr>
        <w:t xml:space="preserve"> （7）坚持公正的立场，公平地处理有关各方的争议。</w:t>
      </w:r>
    </w:p>
    <w:p>
      <w:pPr>
        <w:rPr>
          <w:rFonts w:hint="eastAsia" w:ascii="宋体" w:hAnsi="宋体" w:cs="宋体"/>
          <w:sz w:val="24"/>
        </w:rPr>
      </w:pPr>
      <w:r>
        <w:rPr>
          <w:rFonts w:hint="eastAsia" w:ascii="宋体" w:hAnsi="宋体" w:cs="宋体"/>
          <w:sz w:val="24"/>
        </w:rPr>
        <w:t xml:space="preserve"> （8）坚持科学的态度和实事求是的原则。</w:t>
      </w:r>
    </w:p>
    <w:p>
      <w:pPr>
        <w:rPr>
          <w:rFonts w:hint="eastAsia" w:ascii="宋体" w:hAnsi="宋体" w:cs="宋体"/>
          <w:sz w:val="24"/>
        </w:rPr>
      </w:pPr>
      <w:r>
        <w:rPr>
          <w:rFonts w:hint="eastAsia" w:ascii="宋体" w:hAnsi="宋体" w:cs="宋体"/>
          <w:sz w:val="24"/>
        </w:rPr>
        <w:t xml:space="preserve"> （9）在坚持按监理合同的规定向业主单位提供技术服务的同时，帮助被监理者完成其担负的建设任务。</w:t>
      </w:r>
    </w:p>
    <w:p>
      <w:pPr>
        <w:rPr>
          <w:rFonts w:hint="eastAsia" w:ascii="宋体" w:hAnsi="宋体" w:cs="宋体"/>
          <w:sz w:val="24"/>
        </w:rPr>
      </w:pPr>
      <w:r>
        <w:rPr>
          <w:rFonts w:hint="eastAsia" w:ascii="宋体" w:hAnsi="宋体" w:cs="宋体"/>
          <w:sz w:val="24"/>
        </w:rPr>
        <w:t>（10）不泄漏所监理的项目需保密的事项。</w:t>
      </w:r>
    </w:p>
    <w:p>
      <w:pPr>
        <w:widowControl/>
        <w:spacing w:line="510" w:lineRule="exact"/>
        <w:ind w:right="60"/>
        <w:jc w:val="left"/>
        <w:rPr>
          <w:rFonts w:hint="eastAsia" w:ascii="宋体" w:hAnsi="宋体" w:cs="宋体"/>
          <w:b/>
          <w:color w:val="000000"/>
          <w:kern w:val="0"/>
          <w:sz w:val="24"/>
        </w:rPr>
      </w:pPr>
      <w:r>
        <w:rPr>
          <w:rFonts w:hint="eastAsia" w:ascii="宋体" w:hAnsi="宋体" w:cs="宋体"/>
          <w:b/>
          <w:color w:val="000000"/>
          <w:kern w:val="0"/>
          <w:sz w:val="24"/>
        </w:rPr>
        <w:t>三、▲商务条款</w:t>
      </w:r>
    </w:p>
    <w:p>
      <w:pPr>
        <w:widowControl/>
        <w:spacing w:line="510" w:lineRule="exact"/>
        <w:ind w:right="60" w:firstLine="480" w:firstLineChars="200"/>
        <w:jc w:val="left"/>
        <w:rPr>
          <w:rFonts w:hint="eastAsia" w:ascii="宋体" w:hAnsi="宋体" w:cs="宋体"/>
          <w:kern w:val="0"/>
          <w:sz w:val="24"/>
        </w:rPr>
      </w:pPr>
      <w:r>
        <w:rPr>
          <w:rFonts w:hint="eastAsia" w:ascii="宋体" w:hAnsi="宋体" w:cs="宋体"/>
          <w:kern w:val="0"/>
          <w:sz w:val="24"/>
        </w:rPr>
        <w:t>1.付款方式：</w:t>
      </w:r>
    </w:p>
    <w:p>
      <w:pPr>
        <w:widowControl/>
        <w:spacing w:line="510" w:lineRule="exact"/>
        <w:ind w:right="60" w:firstLine="480" w:firstLineChars="200"/>
        <w:jc w:val="left"/>
        <w:rPr>
          <w:rFonts w:hint="eastAsia" w:ascii="宋体" w:hAnsi="宋体" w:cs="宋体"/>
          <w:kern w:val="0"/>
          <w:sz w:val="24"/>
        </w:rPr>
      </w:pPr>
      <w:r>
        <w:rPr>
          <w:rFonts w:hint="eastAsia" w:ascii="宋体" w:hAnsi="宋体" w:cs="宋体"/>
          <w:kern w:val="0"/>
          <w:sz w:val="24"/>
        </w:rPr>
        <w:t xml:space="preserve">  采购人自采购合同生效及具备实施条件后15日内支付预付款，也即为合同总价的30%；项目通过初验后15日内支付至合同总价的60% ；项目通过终验后15日内支付至合同总价的90%； 项目建设完成后15日内支付合同总价的10%。</w:t>
      </w:r>
    </w:p>
    <w:p>
      <w:pPr>
        <w:widowControl/>
        <w:spacing w:line="510" w:lineRule="exact"/>
        <w:ind w:right="60" w:firstLine="480" w:firstLineChars="200"/>
        <w:jc w:val="left"/>
        <w:rPr>
          <w:rFonts w:hint="eastAsia" w:ascii="宋体" w:hAnsi="宋体" w:cs="宋体"/>
          <w:kern w:val="0"/>
          <w:sz w:val="24"/>
        </w:rPr>
      </w:pPr>
      <w:r>
        <w:rPr>
          <w:rFonts w:hint="eastAsia" w:ascii="宋体" w:hAnsi="宋体" w:cs="宋体"/>
          <w:kern w:val="0"/>
          <w:sz w:val="24"/>
        </w:rPr>
        <w:t>2、服务期限：合同签订之日起至项目通过验收（须通过审计）。</w:t>
      </w:r>
    </w:p>
    <w:p>
      <w:pPr>
        <w:pStyle w:val="26"/>
        <w:spacing w:before="120" w:after="120" w:line="360" w:lineRule="auto"/>
        <w:ind w:firstLine="480" w:firstLineChars="200"/>
        <w:rPr>
          <w:rFonts w:hint="eastAsia" w:hAnsi="宋体" w:cs="宋体"/>
          <w:kern w:val="0"/>
          <w:sz w:val="24"/>
          <w:szCs w:val="24"/>
          <w:highlight w:val="none"/>
        </w:rPr>
      </w:pPr>
      <w:r>
        <w:rPr>
          <w:rFonts w:hint="eastAsia" w:hAnsi="宋体" w:cs="宋体"/>
          <w:kern w:val="0"/>
          <w:sz w:val="24"/>
          <w:szCs w:val="24"/>
          <w:highlight w:val="none"/>
        </w:rPr>
        <w:t>3、本次项目总监理工程师须具有信息系统监理师资质。(提供相关证书及近三个月中任何一个月社保证明复印件)</w:t>
      </w:r>
    </w:p>
    <w:p>
      <w:pPr>
        <w:pStyle w:val="26"/>
        <w:spacing w:before="120" w:after="120" w:line="360" w:lineRule="auto"/>
        <w:ind w:firstLine="480" w:firstLineChars="200"/>
        <w:rPr>
          <w:rFonts w:hint="eastAsia" w:hAnsi="宋体" w:cs="宋体"/>
          <w:kern w:val="0"/>
          <w:sz w:val="24"/>
          <w:szCs w:val="24"/>
        </w:rPr>
      </w:pPr>
      <w:r>
        <w:rPr>
          <w:rFonts w:hint="eastAsia" w:hAnsi="宋体" w:cs="宋体"/>
          <w:kern w:val="0"/>
          <w:sz w:val="24"/>
        </w:rPr>
        <w:t>4、基本人员配置：</w:t>
      </w:r>
      <w:r>
        <w:rPr>
          <w:rFonts w:hint="eastAsia" w:hAnsi="宋体" w:cs="宋体"/>
          <w:sz w:val="24"/>
        </w:rPr>
        <w:t xml:space="preserve"> </w:t>
      </w:r>
    </w:p>
    <w:p>
      <w:pPr>
        <w:spacing w:line="360" w:lineRule="auto"/>
        <w:ind w:firstLine="480"/>
        <w:rPr>
          <w:rFonts w:hint="eastAsia" w:ascii="宋体" w:hAnsi="宋体" w:cs="宋体"/>
          <w:kern w:val="0"/>
          <w:sz w:val="24"/>
        </w:rPr>
      </w:pPr>
      <w:r>
        <w:rPr>
          <w:rFonts w:hint="eastAsia" w:ascii="宋体" w:hAnsi="宋体" w:cs="宋体"/>
          <w:kern w:val="0"/>
          <w:sz w:val="24"/>
        </w:rPr>
        <w:t>投标人须为本项目成立项目工作小组，总监理工程师要求在项目建设期间全程参与项目监理工作，本项目监理团</w:t>
      </w:r>
      <w:r>
        <w:rPr>
          <w:rFonts w:hint="eastAsia" w:ascii="宋体" w:hAnsi="宋体" w:cs="宋体"/>
          <w:kern w:val="0"/>
          <w:sz w:val="24"/>
          <w:highlight w:val="none"/>
        </w:rPr>
        <w:t>队不少于</w:t>
      </w:r>
      <w:r>
        <w:rPr>
          <w:rFonts w:hint="eastAsia" w:ascii="宋体" w:hAnsi="宋体" w:cs="宋体"/>
          <w:kern w:val="0"/>
          <w:sz w:val="24"/>
          <w:highlight w:val="none"/>
          <w:lang w:val="en-US" w:eastAsia="zh-CN"/>
        </w:rPr>
        <w:t>3</w:t>
      </w:r>
      <w:r>
        <w:rPr>
          <w:rFonts w:hint="eastAsia" w:ascii="宋体" w:hAnsi="宋体" w:cs="宋体"/>
          <w:kern w:val="0"/>
          <w:sz w:val="24"/>
          <w:highlight w:val="none"/>
        </w:rPr>
        <w:t>人，项目建设期间常驻现场监理工程师不少于</w:t>
      </w:r>
      <w:r>
        <w:rPr>
          <w:rFonts w:hint="eastAsia" w:ascii="宋体" w:hAnsi="宋体" w:cs="宋体"/>
          <w:kern w:val="0"/>
          <w:sz w:val="24"/>
          <w:highlight w:val="none"/>
          <w:lang w:val="en-US" w:eastAsia="zh-CN"/>
        </w:rPr>
        <w:t>2</w:t>
      </w:r>
      <w:r>
        <w:rPr>
          <w:rFonts w:hint="eastAsia" w:ascii="宋体" w:hAnsi="宋体" w:cs="宋体"/>
          <w:kern w:val="0"/>
          <w:sz w:val="24"/>
          <w:highlight w:val="none"/>
        </w:rPr>
        <w:t>名，总</w:t>
      </w:r>
      <w:r>
        <w:rPr>
          <w:rFonts w:hint="eastAsia" w:ascii="宋体" w:hAnsi="宋体" w:cs="宋体"/>
          <w:kern w:val="0"/>
          <w:sz w:val="24"/>
        </w:rPr>
        <w:t>监和常驻现场监理工程师必须持证上岗，并在项目启动后，将相关证书提交至用户单位备案保管，直到项目通过验收。</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5、其他要求：</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5.1项目工作小组须在采购人指定工作地点，按照采购人工作时间及项目进度要求，提供监理服务。监理工作人员在采购人单位工作时，应遵守采购人相关规章和制度。采购人将为监理人员免费提供必要的办公工位，但必要的办公用品和生活设施、施工现场交通工具及通讯设备由监理单位自备。</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5.2如经采购人及第三方查实，监理单位及监理人员与被监理单位发生非正常经济往来及其他徇私舞弊情况，采购人有权要求更换监理人员或更换全体监理项目班子，情况严重的，采购人有权终止合同。</w:t>
      </w:r>
    </w:p>
    <w:p>
      <w:pPr>
        <w:numPr>
          <w:ilvl w:val="0"/>
          <w:numId w:val="0"/>
        </w:numPr>
        <w:spacing w:line="360" w:lineRule="auto"/>
        <w:ind w:leftChars="0"/>
        <w:jc w:val="center"/>
        <w:outlineLvl w:val="0"/>
        <w:rPr>
          <w:rFonts w:hint="eastAsia" w:ascii="宋体" w:hAnsi="宋体" w:cs="仿宋"/>
          <w:b/>
          <w:sz w:val="44"/>
          <w:szCs w:val="44"/>
        </w:rPr>
      </w:pPr>
    </w:p>
    <w:p>
      <w:pPr>
        <w:numPr>
          <w:ilvl w:val="0"/>
          <w:numId w:val="0"/>
        </w:numPr>
        <w:spacing w:line="360" w:lineRule="auto"/>
        <w:ind w:leftChars="0"/>
        <w:jc w:val="center"/>
        <w:outlineLvl w:val="0"/>
        <w:rPr>
          <w:rFonts w:hint="eastAsia" w:ascii="宋体" w:hAnsi="宋体" w:cs="仿宋"/>
          <w:b/>
          <w:sz w:val="44"/>
          <w:szCs w:val="44"/>
        </w:rPr>
      </w:pPr>
    </w:p>
    <w:p>
      <w:pPr>
        <w:numPr>
          <w:ilvl w:val="0"/>
          <w:numId w:val="0"/>
        </w:numPr>
        <w:spacing w:line="360" w:lineRule="auto"/>
        <w:ind w:leftChars="0"/>
        <w:jc w:val="center"/>
        <w:outlineLvl w:val="0"/>
        <w:rPr>
          <w:rFonts w:hint="eastAsia" w:ascii="宋体" w:hAnsi="宋体" w:cs="仿宋"/>
          <w:b/>
          <w:sz w:val="44"/>
          <w:szCs w:val="44"/>
        </w:rPr>
      </w:pPr>
    </w:p>
    <w:p>
      <w:pPr>
        <w:numPr>
          <w:ilvl w:val="0"/>
          <w:numId w:val="0"/>
        </w:numPr>
        <w:spacing w:line="360" w:lineRule="auto"/>
        <w:ind w:leftChars="0"/>
        <w:jc w:val="center"/>
        <w:outlineLvl w:val="0"/>
        <w:rPr>
          <w:rFonts w:hint="eastAsia" w:ascii="宋体" w:hAnsi="宋体" w:cs="仿宋"/>
          <w:b/>
          <w:sz w:val="44"/>
          <w:szCs w:val="44"/>
        </w:rPr>
      </w:pPr>
    </w:p>
    <w:p>
      <w:pPr>
        <w:numPr>
          <w:ilvl w:val="0"/>
          <w:numId w:val="0"/>
        </w:numPr>
        <w:spacing w:line="360" w:lineRule="auto"/>
        <w:ind w:leftChars="0"/>
        <w:jc w:val="both"/>
        <w:outlineLvl w:val="0"/>
        <w:rPr>
          <w:rFonts w:hint="eastAsia" w:ascii="宋体" w:hAnsi="宋体" w:cs="仿宋"/>
          <w:b/>
          <w:sz w:val="44"/>
          <w:szCs w:val="44"/>
        </w:rPr>
      </w:pPr>
    </w:p>
    <w:p>
      <w:pPr>
        <w:numPr>
          <w:ilvl w:val="0"/>
          <w:numId w:val="0"/>
        </w:numPr>
        <w:spacing w:line="360" w:lineRule="auto"/>
        <w:ind w:leftChars="0"/>
        <w:jc w:val="center"/>
        <w:outlineLvl w:val="0"/>
        <w:rPr>
          <w:rFonts w:ascii="宋体" w:hAnsi="宋体" w:cs="仿宋"/>
          <w:b/>
          <w:sz w:val="44"/>
          <w:szCs w:val="44"/>
        </w:rPr>
      </w:pPr>
      <w:r>
        <w:rPr>
          <w:rFonts w:hint="eastAsia" w:ascii="宋体" w:hAnsi="宋体" w:cs="仿宋"/>
          <w:b/>
          <w:sz w:val="44"/>
          <w:szCs w:val="44"/>
        </w:rPr>
        <w:t>第三章  投标供应商须知</w:t>
      </w:r>
      <w:bookmarkEnd w:id="17"/>
    </w:p>
    <w:p>
      <w:pPr>
        <w:jc w:val="center"/>
        <w:rPr>
          <w:rFonts w:ascii="宋体" w:hAnsi="宋体" w:cs="仿宋"/>
          <w:b/>
          <w:szCs w:val="28"/>
        </w:rPr>
      </w:pPr>
      <w:r>
        <w:rPr>
          <w:rFonts w:hint="eastAsia" w:ascii="宋体" w:hAnsi="宋体" w:cs="仿宋"/>
          <w:b/>
          <w:szCs w:val="28"/>
        </w:rPr>
        <w:t>前附表</w:t>
      </w:r>
    </w:p>
    <w:tbl>
      <w:tblPr>
        <w:tblStyle w:val="39"/>
        <w:tblW w:w="506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6"/>
        <w:gridCol w:w="9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仿宋"/>
                <w:sz w:val="24"/>
                <w:szCs w:val="20"/>
              </w:rPr>
            </w:pPr>
            <w:r>
              <w:rPr>
                <w:rFonts w:hint="eastAsia" w:ascii="宋体" w:hAnsi="宋体" w:cs="仿宋"/>
                <w:sz w:val="24"/>
              </w:rPr>
              <w:t>序号</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仿宋"/>
                <w:sz w:val="24"/>
                <w:szCs w:val="20"/>
              </w:rPr>
            </w:pPr>
            <w:r>
              <w:rPr>
                <w:rFonts w:hint="eastAsia" w:ascii="宋体" w:hAnsi="宋体" w:cs="仿宋"/>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仿宋"/>
                <w:sz w:val="24"/>
                <w:lang w:eastAsia="zh-CN"/>
              </w:rPr>
            </w:pPr>
            <w:r>
              <w:rPr>
                <w:rFonts w:hint="eastAsia" w:ascii="宋体" w:hAnsi="宋体" w:cs="仿宋"/>
                <w:sz w:val="24"/>
              </w:rPr>
              <w:t>项目名称：</w:t>
            </w:r>
            <w:r>
              <w:rPr>
                <w:rFonts w:hint="eastAsia" w:ascii="宋体" w:hAnsi="宋体" w:cs="仿宋"/>
                <w:sz w:val="24"/>
                <w:lang w:eastAsia="zh-CN"/>
              </w:rPr>
              <w:t xml:space="preserve">织里镇智慧红绿灯建设监理项目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2</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采购内容：具体详见第二章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3</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highlight w:val="none"/>
              </w:rPr>
            </w:pPr>
            <w:r>
              <w:rPr>
                <w:rFonts w:hint="eastAsia" w:ascii="宋体" w:hAnsi="宋体"/>
                <w:sz w:val="24"/>
                <w:highlight w:val="none"/>
              </w:rPr>
              <w:t>投标报价及费用：</w:t>
            </w:r>
            <w:r>
              <w:rPr>
                <w:rFonts w:ascii="宋体" w:hAnsi="宋体"/>
                <w:sz w:val="24"/>
                <w:highlight w:val="none"/>
              </w:rPr>
              <w:t>1</w:t>
            </w:r>
            <w:r>
              <w:rPr>
                <w:rFonts w:hint="eastAsia" w:ascii="宋体" w:hAnsi="宋体"/>
                <w:sz w:val="24"/>
                <w:highlight w:val="none"/>
              </w:rPr>
              <w:t>、本项目投标应以人民币报价；</w:t>
            </w:r>
            <w:r>
              <w:rPr>
                <w:rFonts w:ascii="宋体" w:hAnsi="宋体"/>
                <w:sz w:val="24"/>
                <w:highlight w:val="none"/>
              </w:rPr>
              <w:t>2</w:t>
            </w:r>
            <w:r>
              <w:rPr>
                <w:rFonts w:hint="eastAsia" w:ascii="宋体" w:hAnsi="宋体"/>
                <w:sz w:val="24"/>
                <w:highlight w:val="none"/>
              </w:rPr>
              <w:t>、不论投标结果如何，投标供应商均应自行承担所有与投标有关的全部费用；</w:t>
            </w:r>
            <w:r>
              <w:rPr>
                <w:rFonts w:ascii="宋体" w:hAnsi="宋体"/>
                <w:sz w:val="24"/>
                <w:highlight w:val="none"/>
              </w:rPr>
              <w:t>3</w:t>
            </w:r>
            <w:r>
              <w:rPr>
                <w:rFonts w:hint="eastAsia" w:ascii="宋体" w:hAnsi="宋体"/>
                <w:sz w:val="24"/>
                <w:highlight w:val="none"/>
              </w:rPr>
              <w:t>、本项目</w:t>
            </w:r>
            <w:r>
              <w:rPr>
                <w:rFonts w:hint="eastAsia" w:ascii="宋体" w:hAnsi="宋体"/>
                <w:color w:val="000000"/>
                <w:sz w:val="24"/>
                <w:highlight w:val="none"/>
              </w:rPr>
              <w:t>招标代理服务费：按人民币</w:t>
            </w:r>
            <w:r>
              <w:rPr>
                <w:rFonts w:hint="eastAsia" w:ascii="宋体" w:hAnsi="宋体"/>
                <w:color w:val="000000"/>
                <w:sz w:val="24"/>
                <w:highlight w:val="none"/>
                <w:lang w:eastAsia="zh-CN"/>
              </w:rPr>
              <w:t>肆仟壹佰元</w:t>
            </w:r>
            <w:r>
              <w:rPr>
                <w:rFonts w:hint="eastAsia" w:ascii="宋体" w:hAnsi="宋体"/>
                <w:color w:val="000000"/>
                <w:sz w:val="24"/>
                <w:highlight w:val="none"/>
              </w:rPr>
              <w:t>整收取，由中标供应商全额支付，投标供应商应自行考虑列入投标报价。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4</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答疑与澄清：</w:t>
            </w:r>
            <w:r>
              <w:rPr>
                <w:rFonts w:hint="eastAsia" w:ascii="宋体" w:hAnsi="宋体"/>
                <w:sz w:val="24"/>
                <w:szCs w:val="20"/>
              </w:rPr>
              <w:t>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ascii="宋体" w:hAnsi="宋体"/>
                <w:b/>
                <w:sz w:val="24"/>
                <w:szCs w:val="20"/>
              </w:rPr>
              <w:t>（逾期将不再受理）</w:t>
            </w:r>
            <w:r>
              <w:rPr>
                <w:rFonts w:hint="eastAsia" w:ascii="宋体" w:hAnsi="宋体"/>
                <w:sz w:val="24"/>
                <w:szCs w:val="20"/>
              </w:rPr>
              <w:t>，以书面形式向采购人和采购代理公司提出质疑。质疑供应商对采购人、采购代理公司的答复不满意或者采购人、采购代理公司未在规定的时间内作出答复的，可以在答复期满后十五个工作日内向同级政府采购监督管理部门投诉。采购人和采购代理机构将于提交投标截止时间15日前进行可能影响投标文件编制的澄清或修改；澄清或修改内容是采购文件的组成部份，并将以书面形式送达所有已报名的投标人。因其他紧急情况影响本项目正常招标活动的，采购人和采购代理机构将于投标截止日期一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5</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1、投标文件组成：《资格文件》、《商务技术资信及其他文件》、《报价文件》三部分组成。</w:t>
            </w:r>
          </w:p>
          <w:p>
            <w:pPr>
              <w:snapToGrid w:val="0"/>
              <w:spacing w:line="400" w:lineRule="exact"/>
              <w:rPr>
                <w:rFonts w:ascii="宋体" w:hAnsi="宋体" w:cs="仿宋"/>
                <w:sz w:val="24"/>
              </w:rPr>
            </w:pPr>
            <w:r>
              <w:rPr>
                <w:rFonts w:hint="eastAsia" w:ascii="宋体" w:hAnsi="宋体" w:cs="仿宋"/>
                <w:sz w:val="24"/>
              </w:rPr>
              <w:t>2、投标文件编制：投标供应商应先安装“政采云电子交易客户端”，并按照本采购文件和“政府采购云平台”的要求，通过“政采云电子交易客户端”编制并加密投标文件。</w:t>
            </w:r>
          </w:p>
          <w:p>
            <w:pPr>
              <w:snapToGrid w:val="0"/>
              <w:spacing w:line="400" w:lineRule="exact"/>
              <w:rPr>
                <w:rFonts w:ascii="宋体" w:hAnsi="宋体" w:cs="仿宋"/>
                <w:sz w:val="24"/>
              </w:rPr>
            </w:pPr>
            <w:r>
              <w:rPr>
                <w:rFonts w:hint="eastAsia" w:ascii="宋体" w:hAnsi="宋体" w:cs="仿宋"/>
                <w:sz w:val="24"/>
              </w:rPr>
              <w:t>3、投标文件的形式：电子投标文件（包括“电子加密投标文件”和“备份投标文件”，在投标文件编制完成后同时生成）；</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（1）“电子加密投标文件”是指通过“政采云电子交易客户端”完成投标文件编制后生成并加密的数据电文形式的投标文件。</w:t>
            </w:r>
          </w:p>
          <w:p>
            <w:pPr>
              <w:snapToGrid w:val="0"/>
              <w:spacing w:line="400" w:lineRule="exact"/>
              <w:ind w:firstLine="480" w:firstLineChars="200"/>
              <w:rPr>
                <w:rFonts w:ascii="宋体" w:hAnsi="宋体" w:cs="仿宋"/>
                <w:sz w:val="24"/>
              </w:rPr>
            </w:pPr>
            <w:r>
              <w:rPr>
                <w:rFonts w:hint="eastAsia" w:ascii="宋体" w:hAnsi="宋体" w:cs="仿宋"/>
                <w:sz w:val="24"/>
              </w:rPr>
              <w:t>（2）“备份投标文件”是指与“电子加密投标文件”同时生成的数据电文形式的电子文件（备份标书），其他方式编制的备份投标文件视为无效备份投标文件。</w:t>
            </w:r>
          </w:p>
          <w:p>
            <w:pPr>
              <w:snapToGrid w:val="0"/>
              <w:spacing w:line="400" w:lineRule="exact"/>
              <w:rPr>
                <w:rFonts w:ascii="宋体" w:hAnsi="宋体" w:cs="仿宋"/>
                <w:sz w:val="24"/>
              </w:rPr>
            </w:pPr>
            <w:r>
              <w:rPr>
                <w:rFonts w:hint="eastAsia" w:ascii="宋体" w:hAnsi="宋体" w:cs="仿宋"/>
                <w:sz w:val="24"/>
              </w:rPr>
              <w:t>4、投标文件份数：</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（1）“电子加密投标文件”：在线上传递交一份。</w:t>
            </w:r>
          </w:p>
          <w:p>
            <w:pPr>
              <w:snapToGrid w:val="0"/>
              <w:spacing w:line="400" w:lineRule="exact"/>
              <w:ind w:firstLine="480" w:firstLineChars="200"/>
              <w:rPr>
                <w:rFonts w:ascii="宋体" w:hAnsi="宋体" w:cs="仿宋"/>
                <w:sz w:val="24"/>
              </w:rPr>
            </w:pPr>
            <w:r>
              <w:rPr>
                <w:rFonts w:hint="eastAsia" w:ascii="宋体" w:hAnsi="宋体" w:cs="仿宋"/>
                <w:sz w:val="24"/>
              </w:rPr>
              <w:t>（2）“备份投标文件”：密封包装后应</w:t>
            </w:r>
            <w:r>
              <w:rPr>
                <w:rFonts w:hint="eastAsia" w:ascii="宋体" w:hAnsi="宋体" w:cs="仿宋"/>
                <w:sz w:val="24"/>
                <w:highlight w:val="none"/>
              </w:rPr>
              <w:t>在</w:t>
            </w:r>
            <w:r>
              <w:rPr>
                <w:rFonts w:hint="eastAsia" w:ascii="宋体" w:hAnsi="宋体" w:cs="仿宋"/>
                <w:sz w:val="24"/>
                <w:highlight w:val="none"/>
                <w:lang w:val="en-US"/>
              </w:rPr>
              <w:t>2020年</w:t>
            </w:r>
            <w:r>
              <w:rPr>
                <w:rFonts w:hint="eastAsia" w:ascii="宋体" w:hAnsi="宋体" w:cs="仿宋"/>
                <w:sz w:val="24"/>
                <w:highlight w:val="none"/>
                <w:lang w:val="en-US" w:eastAsia="zh-CN"/>
              </w:rPr>
              <w:t>11</w:t>
            </w:r>
            <w:r>
              <w:rPr>
                <w:rFonts w:hint="eastAsia" w:ascii="宋体" w:hAnsi="宋体" w:cs="仿宋"/>
                <w:sz w:val="24"/>
                <w:highlight w:val="none"/>
                <w:lang w:val="en-US"/>
              </w:rPr>
              <w:t>月</w:t>
            </w:r>
            <w:r>
              <w:rPr>
                <w:rFonts w:hint="eastAsia" w:ascii="宋体" w:hAnsi="宋体" w:cs="仿宋"/>
                <w:sz w:val="24"/>
                <w:highlight w:val="none"/>
                <w:lang w:val="en-US" w:eastAsia="zh-CN"/>
              </w:rPr>
              <w:t>18</w:t>
            </w:r>
            <w:r>
              <w:rPr>
                <w:rFonts w:hint="eastAsia" w:ascii="宋体" w:hAnsi="宋体" w:cs="仿宋"/>
                <w:sz w:val="24"/>
                <w:highlight w:val="none"/>
                <w:lang w:val="en-US"/>
              </w:rPr>
              <w:t>日</w:t>
            </w:r>
            <w:r>
              <w:rPr>
                <w:rFonts w:hint="eastAsia" w:ascii="宋体" w:hAnsi="宋体" w:cs="仿宋"/>
                <w:sz w:val="24"/>
                <w:lang w:val="en-US" w:eastAsia="zh-CN"/>
              </w:rPr>
              <w:t>上午12</w:t>
            </w:r>
            <w:r>
              <w:rPr>
                <w:rFonts w:hint="eastAsia" w:ascii="宋体" w:hAnsi="宋体" w:cs="仿宋"/>
                <w:sz w:val="24"/>
                <w:lang w:val="en-US"/>
              </w:rPr>
              <w:t>:00</w:t>
            </w:r>
            <w:r>
              <w:rPr>
                <w:rFonts w:hint="eastAsia" w:ascii="宋体" w:hAnsi="宋体" w:cs="仿宋"/>
                <w:sz w:val="24"/>
              </w:rPr>
              <w:t>前邮寄至浙江省湖州市赵湾仁皇</w:t>
            </w:r>
            <w:r>
              <w:rPr>
                <w:rFonts w:hint="eastAsia" w:ascii="宋体" w:hAnsi="宋体" w:cs="仿宋"/>
                <w:sz w:val="24"/>
                <w:lang w:val="en-US"/>
              </w:rPr>
              <w:t>108-2幢</w:t>
            </w:r>
            <w:r>
              <w:rPr>
                <w:rFonts w:hint="eastAsia" w:ascii="宋体" w:hAnsi="宋体" w:cs="仿宋"/>
                <w:sz w:val="24"/>
              </w:rPr>
              <w:t>（湖州星兴工程咨询有限公司）；收件人：</w:t>
            </w:r>
            <w:r>
              <w:rPr>
                <w:rFonts w:hint="eastAsia" w:ascii="宋体" w:hAnsi="宋体" w:cs="仿宋"/>
                <w:sz w:val="24"/>
                <w:lang w:eastAsia="zh-CN"/>
              </w:rPr>
              <w:t>汪美玲</w:t>
            </w:r>
            <w:r>
              <w:rPr>
                <w:rFonts w:hint="eastAsia" w:ascii="宋体" w:hAnsi="宋体" w:cs="仿宋"/>
                <w:sz w:val="24"/>
              </w:rPr>
              <w:t>；联系电话：0572-2</w:t>
            </w:r>
            <w:r>
              <w:rPr>
                <w:rFonts w:hint="eastAsia" w:ascii="宋体" w:hAnsi="宋体" w:cs="仿宋"/>
                <w:sz w:val="24"/>
                <w:lang w:val="en-US"/>
              </w:rPr>
              <w:t>630018</w:t>
            </w:r>
            <w:r>
              <w:rPr>
                <w:rFonts w:hint="eastAsia" w:ascii="宋体" w:hAnsi="宋体" w:cs="仿宋"/>
                <w:sz w:val="24"/>
              </w:rPr>
              <w:t>，数量为</w:t>
            </w:r>
            <w:r>
              <w:rPr>
                <w:rFonts w:hint="eastAsia" w:ascii="宋体" w:hAnsi="宋体" w:cs="仿宋"/>
                <w:sz w:val="24"/>
                <w:lang w:val="en-US"/>
              </w:rPr>
              <w:t>U盘</w:t>
            </w:r>
            <w:r>
              <w:rPr>
                <w:rFonts w:hint="eastAsia" w:ascii="宋体" w:hAnsi="宋体" w:cs="仿宋"/>
                <w:sz w:val="24"/>
              </w:rPr>
              <w:t>一份。</w:t>
            </w:r>
          </w:p>
          <w:p>
            <w:pPr>
              <w:snapToGrid w:val="0"/>
              <w:spacing w:line="400" w:lineRule="exact"/>
              <w:rPr>
                <w:rFonts w:ascii="宋体" w:hAnsi="宋体" w:cs="仿宋"/>
                <w:sz w:val="24"/>
              </w:rPr>
            </w:pPr>
            <w:r>
              <w:rPr>
                <w:rFonts w:hint="eastAsia" w:ascii="宋体" w:hAnsi="宋体" w:cs="仿宋"/>
                <w:sz w:val="24"/>
              </w:rPr>
              <w:t>5、投标文件的上传和递交：</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（1）“电子加密投标文件”的上传、递交：</w:t>
            </w:r>
          </w:p>
          <w:p>
            <w:pPr>
              <w:snapToGrid w:val="0"/>
              <w:spacing w:line="400" w:lineRule="exact"/>
              <w:ind w:firstLine="480" w:firstLineChars="200"/>
              <w:rPr>
                <w:rFonts w:ascii="宋体" w:hAnsi="宋体" w:cs="仿宋"/>
                <w:sz w:val="24"/>
              </w:rPr>
            </w:pPr>
            <w:r>
              <w:rPr>
                <w:rFonts w:hint="eastAsia" w:ascii="宋体" w:hAnsi="宋体" w:cs="仿宋"/>
                <w:sz w:val="24"/>
              </w:rPr>
              <w:t>a.投标供应商应在投标截止时间前将“电子加密投标文件”成功上传递交至“政府采购云平台”，否则投标无效。</w:t>
            </w:r>
          </w:p>
          <w:p>
            <w:pPr>
              <w:snapToGrid w:val="0"/>
              <w:spacing w:line="400" w:lineRule="exact"/>
              <w:ind w:firstLine="480" w:firstLineChars="200"/>
              <w:rPr>
                <w:rFonts w:ascii="宋体" w:hAnsi="宋体" w:cs="仿宋"/>
                <w:sz w:val="24"/>
              </w:rPr>
            </w:pPr>
            <w:r>
              <w:rPr>
                <w:rFonts w:hint="eastAsia" w:ascii="宋体" w:hAnsi="宋体" w:cs="仿宋"/>
                <w:sz w:val="24"/>
              </w:rPr>
              <w:t>b.“电子加密投标文件”成功上传递交后，投标供应商可自行打印投标文件接收回执。</w:t>
            </w:r>
          </w:p>
          <w:p>
            <w:pPr>
              <w:snapToGrid w:val="0"/>
              <w:spacing w:line="400" w:lineRule="exact"/>
              <w:ind w:firstLine="480" w:firstLineChars="200"/>
              <w:rPr>
                <w:rFonts w:ascii="宋体" w:hAnsi="宋体" w:cs="仿宋"/>
                <w:sz w:val="24"/>
              </w:rPr>
            </w:pPr>
            <w:r>
              <w:rPr>
                <w:rFonts w:hint="eastAsia" w:ascii="宋体" w:hAnsi="宋体" w:cs="仿宋"/>
                <w:sz w:val="24"/>
              </w:rPr>
              <w:t>（2）“备份投标文件”的上传、递交：</w:t>
            </w:r>
          </w:p>
          <w:p>
            <w:pPr>
              <w:snapToGrid w:val="0"/>
              <w:spacing w:line="400" w:lineRule="exact"/>
              <w:ind w:firstLine="480" w:firstLineChars="200"/>
              <w:rPr>
                <w:rFonts w:hint="eastAsia" w:ascii="宋体" w:hAnsi="宋体" w:cs="仿宋"/>
                <w:sz w:val="24"/>
              </w:rPr>
            </w:pPr>
            <w:r>
              <w:rPr>
                <w:rFonts w:hint="eastAsia" w:ascii="宋体" w:hAnsi="宋体" w:cs="仿宋"/>
                <w:sz w:val="24"/>
              </w:rPr>
              <w:t>a.供应商在“政采云平台”</w:t>
            </w:r>
            <w:r>
              <w:rPr>
                <w:rFonts w:hint="eastAsia" w:ascii="宋体" w:hAnsi="宋体" w:cs="仿宋"/>
                <w:sz w:val="24"/>
                <w:lang w:val="en-US"/>
              </w:rPr>
              <w:t>编制</w:t>
            </w:r>
            <w:r>
              <w:rPr>
                <w:rFonts w:hint="eastAsia" w:ascii="宋体" w:hAnsi="宋体" w:cs="仿宋"/>
                <w:sz w:val="24"/>
              </w:rPr>
              <w:t>“电子加密</w:t>
            </w:r>
            <w:r>
              <w:rPr>
                <w:rFonts w:hint="eastAsia" w:ascii="宋体" w:hAnsi="宋体" w:cs="仿宋"/>
                <w:sz w:val="24"/>
                <w:lang w:eastAsia="zh-CN"/>
              </w:rPr>
              <w:t>投标文件</w:t>
            </w:r>
            <w:r>
              <w:rPr>
                <w:rFonts w:hint="eastAsia" w:ascii="宋体" w:hAnsi="宋体" w:cs="仿宋"/>
                <w:sz w:val="24"/>
              </w:rPr>
              <w:t>”，还可以在</w:t>
            </w:r>
            <w:r>
              <w:rPr>
                <w:rFonts w:hint="eastAsia" w:ascii="宋体" w:hAnsi="宋体" w:cs="仿宋"/>
                <w:sz w:val="24"/>
                <w:lang w:val="en-US"/>
              </w:rPr>
              <w:t>在202</w:t>
            </w:r>
            <w:r>
              <w:rPr>
                <w:rFonts w:hint="eastAsia" w:ascii="宋体" w:hAnsi="宋体" w:cs="仿宋"/>
                <w:sz w:val="24"/>
                <w:highlight w:val="none"/>
                <w:lang w:val="en-US"/>
              </w:rPr>
              <w:t>0年</w:t>
            </w:r>
            <w:r>
              <w:rPr>
                <w:rFonts w:hint="eastAsia" w:ascii="宋体" w:hAnsi="宋体" w:cs="仿宋"/>
                <w:sz w:val="24"/>
                <w:highlight w:val="none"/>
                <w:lang w:val="en-US" w:eastAsia="zh-CN"/>
              </w:rPr>
              <w:t>11</w:t>
            </w:r>
            <w:r>
              <w:rPr>
                <w:rFonts w:hint="eastAsia" w:ascii="宋体" w:hAnsi="宋体" w:cs="仿宋"/>
                <w:sz w:val="24"/>
                <w:highlight w:val="none"/>
                <w:lang w:val="en-US"/>
              </w:rPr>
              <w:t>月</w:t>
            </w:r>
            <w:r>
              <w:rPr>
                <w:rFonts w:hint="eastAsia" w:ascii="宋体" w:hAnsi="宋体" w:cs="仿宋"/>
                <w:sz w:val="24"/>
                <w:highlight w:val="none"/>
                <w:lang w:val="en-US" w:eastAsia="zh-CN"/>
              </w:rPr>
              <w:t>18</w:t>
            </w:r>
            <w:r>
              <w:rPr>
                <w:rFonts w:hint="eastAsia" w:ascii="宋体" w:hAnsi="宋体" w:cs="仿宋"/>
                <w:sz w:val="24"/>
                <w:highlight w:val="none"/>
                <w:lang w:val="en-US"/>
              </w:rPr>
              <w:t>日</w:t>
            </w:r>
            <w:r>
              <w:rPr>
                <w:rFonts w:hint="eastAsia" w:ascii="宋体" w:hAnsi="宋体" w:cs="仿宋"/>
                <w:sz w:val="24"/>
                <w:highlight w:val="none"/>
                <w:lang w:val="en-US" w:eastAsia="zh-CN"/>
              </w:rPr>
              <w:t>上午12</w:t>
            </w:r>
            <w:r>
              <w:rPr>
                <w:rFonts w:hint="eastAsia" w:ascii="宋体" w:hAnsi="宋体" w:cs="仿宋"/>
                <w:sz w:val="24"/>
                <w:highlight w:val="none"/>
                <w:lang w:val="en-US"/>
              </w:rPr>
              <w:t>:00</w:t>
            </w:r>
            <w:r>
              <w:rPr>
                <w:rFonts w:hint="eastAsia" w:ascii="宋体" w:hAnsi="宋体" w:cs="仿宋"/>
                <w:sz w:val="24"/>
                <w:highlight w:val="none"/>
              </w:rPr>
              <w:t>前递</w:t>
            </w:r>
            <w:r>
              <w:rPr>
                <w:rFonts w:hint="eastAsia" w:ascii="宋体" w:hAnsi="宋体" w:cs="仿宋"/>
                <w:sz w:val="24"/>
              </w:rPr>
              <w:t>交以介质（U盘）存储的 “备份</w:t>
            </w:r>
            <w:r>
              <w:rPr>
                <w:rFonts w:hint="eastAsia" w:ascii="宋体" w:hAnsi="宋体" w:cs="仿宋"/>
                <w:sz w:val="24"/>
                <w:lang w:eastAsia="zh-CN"/>
              </w:rPr>
              <w:t>投标文件</w:t>
            </w:r>
            <w:r>
              <w:rPr>
                <w:rFonts w:hint="eastAsia" w:ascii="宋体" w:hAnsi="宋体" w:cs="仿宋"/>
                <w:sz w:val="24"/>
              </w:rPr>
              <w:t>”（一份）。“备份</w:t>
            </w:r>
            <w:r>
              <w:rPr>
                <w:rFonts w:hint="eastAsia" w:ascii="宋体" w:hAnsi="宋体" w:cs="仿宋"/>
                <w:sz w:val="24"/>
                <w:lang w:eastAsia="zh-CN"/>
              </w:rPr>
              <w:t>投标文件</w:t>
            </w:r>
            <w:r>
              <w:rPr>
                <w:rFonts w:hint="eastAsia" w:ascii="宋体" w:hAnsi="宋体" w:cs="仿宋"/>
                <w:sz w:val="24"/>
              </w:rPr>
              <w:t>”应当密封包装，并在包装上标注项目名称、单位名称并加盖公章。没有密封包装或者逾期送达的“备份</w:t>
            </w:r>
            <w:r>
              <w:rPr>
                <w:rFonts w:hint="eastAsia" w:ascii="宋体" w:hAnsi="宋体" w:cs="仿宋"/>
                <w:sz w:val="24"/>
                <w:lang w:eastAsia="zh-CN"/>
              </w:rPr>
              <w:t>投标文件</w:t>
            </w:r>
            <w:r>
              <w:rPr>
                <w:rFonts w:hint="eastAsia" w:ascii="宋体" w:hAnsi="宋体" w:cs="仿宋"/>
                <w:sz w:val="24"/>
              </w:rPr>
              <w:t>”无效；</w:t>
            </w:r>
          </w:p>
          <w:p>
            <w:pPr>
              <w:snapToGrid w:val="0"/>
              <w:spacing w:line="400" w:lineRule="exact"/>
              <w:ind w:firstLine="480" w:firstLineChars="200"/>
              <w:rPr>
                <w:rFonts w:hint="eastAsia" w:ascii="宋体" w:hAnsi="宋体" w:cs="仿宋"/>
                <w:sz w:val="24"/>
              </w:rPr>
            </w:pPr>
            <w:r>
              <w:rPr>
                <w:rFonts w:hint="eastAsia" w:ascii="宋体" w:hAnsi="宋体" w:cs="仿宋"/>
                <w:sz w:val="24"/>
                <w:lang w:val="en-US" w:eastAsia="zh-CN"/>
              </w:rPr>
              <w:t>b.</w:t>
            </w:r>
            <w:r>
              <w:rPr>
                <w:rFonts w:hint="eastAsia" w:ascii="宋体" w:hAnsi="宋体" w:cs="仿宋"/>
                <w:sz w:val="24"/>
              </w:rPr>
              <w:t>通过“政府采购云平台”成功上传“电子加密</w:t>
            </w:r>
            <w:r>
              <w:rPr>
                <w:rFonts w:hint="eastAsia" w:ascii="宋体" w:hAnsi="宋体" w:cs="仿宋"/>
                <w:sz w:val="24"/>
                <w:lang w:eastAsia="zh-CN"/>
              </w:rPr>
              <w:t>投标文件</w:t>
            </w:r>
            <w:r>
              <w:rPr>
                <w:rFonts w:hint="eastAsia" w:ascii="宋体" w:hAnsi="宋体" w:cs="仿宋"/>
                <w:sz w:val="24"/>
              </w:rPr>
              <w:t>”的供应商，</w:t>
            </w:r>
            <w:r>
              <w:rPr>
                <w:rFonts w:hint="eastAsia" w:ascii="宋体" w:hAnsi="宋体" w:cs="仿宋"/>
                <w:sz w:val="24"/>
                <w:lang w:val="en-US"/>
              </w:rPr>
              <w:t>因遗失CA或其他原因，导致无法解密</w:t>
            </w:r>
            <w:r>
              <w:rPr>
                <w:rFonts w:hint="eastAsia" w:ascii="宋体" w:hAnsi="宋体" w:cs="仿宋"/>
                <w:sz w:val="24"/>
              </w:rPr>
              <w:t>“电子加密</w:t>
            </w:r>
            <w:r>
              <w:rPr>
                <w:rFonts w:hint="eastAsia" w:ascii="宋体" w:hAnsi="宋体" w:cs="仿宋"/>
                <w:sz w:val="24"/>
                <w:lang w:eastAsia="zh-CN"/>
              </w:rPr>
              <w:t>投标文件</w:t>
            </w:r>
            <w:r>
              <w:rPr>
                <w:rFonts w:hint="eastAsia" w:ascii="宋体" w:hAnsi="宋体" w:cs="仿宋"/>
                <w:sz w:val="24"/>
              </w:rPr>
              <w:t>”时</w:t>
            </w:r>
            <w:r>
              <w:rPr>
                <w:rFonts w:hint="eastAsia" w:ascii="宋体" w:hAnsi="宋体" w:cs="仿宋"/>
                <w:sz w:val="24"/>
                <w:lang w:val="en-US"/>
              </w:rPr>
              <w:t>，供应商</w:t>
            </w:r>
            <w:r>
              <w:rPr>
                <w:rFonts w:hint="eastAsia" w:ascii="宋体" w:hAnsi="宋体" w:cs="仿宋"/>
                <w:sz w:val="24"/>
              </w:rPr>
              <w:t>如按规定递交了</w:t>
            </w:r>
            <w:r>
              <w:rPr>
                <w:rFonts w:hint="eastAsia" w:ascii="宋体" w:hAnsi="宋体" w:cs="仿宋"/>
                <w:sz w:val="24"/>
                <w:lang w:val="en-US"/>
              </w:rPr>
              <w:t>“备份</w:t>
            </w:r>
            <w:r>
              <w:rPr>
                <w:rFonts w:hint="eastAsia" w:ascii="宋体" w:hAnsi="宋体" w:cs="仿宋"/>
                <w:sz w:val="24"/>
                <w:lang w:val="en-US" w:eastAsia="zh-CN"/>
              </w:rPr>
              <w:t>投标文件</w:t>
            </w:r>
            <w:r>
              <w:rPr>
                <w:rFonts w:hint="eastAsia" w:ascii="宋体" w:hAnsi="宋体" w:cs="仿宋"/>
                <w:sz w:val="24"/>
                <w:lang w:val="en-US"/>
              </w:rPr>
              <w:t>”的，由代理机构通过政采云电子交易平台【异常处理】端口上传、解密</w:t>
            </w:r>
            <w:r>
              <w:rPr>
                <w:rFonts w:hint="eastAsia" w:ascii="宋体" w:hAnsi="宋体" w:cs="仿宋"/>
                <w:sz w:val="24"/>
              </w:rPr>
              <w:t>。</w:t>
            </w:r>
          </w:p>
          <w:p>
            <w:pPr>
              <w:snapToGrid w:val="0"/>
              <w:spacing w:line="400" w:lineRule="exact"/>
              <w:ind w:firstLine="480" w:firstLineChars="200"/>
              <w:rPr>
                <w:rFonts w:ascii="宋体" w:hAnsi="宋体" w:cs="仿宋"/>
                <w:sz w:val="24"/>
              </w:rPr>
            </w:pPr>
            <w:r>
              <w:rPr>
                <w:rFonts w:hint="eastAsia" w:ascii="宋体" w:hAnsi="宋体" w:cs="仿宋"/>
                <w:sz w:val="24"/>
                <w:lang w:val="en-US" w:eastAsia="zh-CN"/>
              </w:rPr>
              <w:t>c</w:t>
            </w:r>
            <w:r>
              <w:rPr>
                <w:rFonts w:hint="eastAsia" w:ascii="宋体" w:hAnsi="宋体" w:cs="仿宋"/>
                <w:sz w:val="24"/>
              </w:rPr>
              <w:t>.通过“政府采购云平台”成功上传递交的“电子加密</w:t>
            </w:r>
            <w:r>
              <w:rPr>
                <w:rFonts w:hint="eastAsia" w:ascii="宋体" w:hAnsi="宋体" w:cs="仿宋"/>
                <w:sz w:val="24"/>
                <w:lang w:eastAsia="zh-CN"/>
              </w:rPr>
              <w:t>投标文件</w:t>
            </w:r>
            <w:r>
              <w:rPr>
                <w:rFonts w:hint="eastAsia" w:ascii="宋体" w:hAnsi="宋体" w:cs="仿宋"/>
                <w:sz w:val="24"/>
              </w:rPr>
              <w:t>”已按时解密的，“备份</w:t>
            </w:r>
            <w:r>
              <w:rPr>
                <w:rFonts w:hint="eastAsia" w:ascii="宋体" w:hAnsi="宋体" w:cs="仿宋"/>
                <w:sz w:val="24"/>
                <w:lang w:eastAsia="zh-CN"/>
              </w:rPr>
              <w:t>投标文件</w:t>
            </w:r>
            <w:r>
              <w:rPr>
                <w:rFonts w:hint="eastAsia" w:ascii="宋体" w:hAnsi="宋体" w:cs="仿宋"/>
                <w:sz w:val="24"/>
              </w:rPr>
              <w:t>”自动失效。</w:t>
            </w:r>
            <w:r>
              <w:rPr>
                <w:rFonts w:hint="eastAsia" w:ascii="宋体" w:hAnsi="宋体" w:cs="仿宋"/>
                <w:sz w:val="24"/>
                <w:lang w:eastAsia="zh-CN"/>
              </w:rPr>
              <w:t>投标文件</w:t>
            </w:r>
            <w:r>
              <w:rPr>
                <w:rFonts w:hint="eastAsia" w:ascii="宋体" w:hAnsi="宋体" w:cs="仿宋"/>
                <w:sz w:val="24"/>
              </w:rPr>
              <w:t>启用顺序和效力。</w:t>
            </w:r>
            <w:r>
              <w:rPr>
                <w:rFonts w:hint="eastAsia" w:ascii="宋体" w:hAnsi="宋体" w:cs="仿宋"/>
                <w:sz w:val="24"/>
                <w:lang w:eastAsia="zh-CN"/>
              </w:rPr>
              <w:t>投标文件</w:t>
            </w:r>
            <w:r>
              <w:rPr>
                <w:rFonts w:hint="eastAsia" w:ascii="宋体" w:hAnsi="宋体" w:cs="仿宋"/>
                <w:sz w:val="24"/>
              </w:rPr>
              <w:t>的启用，按先后顺位分别为电子</w:t>
            </w:r>
            <w:r>
              <w:rPr>
                <w:rFonts w:hint="eastAsia" w:ascii="宋体" w:hAnsi="宋体" w:cs="仿宋"/>
                <w:sz w:val="24"/>
                <w:lang w:eastAsia="zh-CN"/>
              </w:rPr>
              <w:t>投标文件</w:t>
            </w:r>
            <w:r>
              <w:rPr>
                <w:rFonts w:hint="eastAsia" w:ascii="宋体" w:hAnsi="宋体" w:cs="仿宋"/>
                <w:sz w:val="24"/>
              </w:rPr>
              <w:t>、数据电文形式的备份</w:t>
            </w:r>
            <w:r>
              <w:rPr>
                <w:rFonts w:hint="eastAsia" w:ascii="宋体" w:hAnsi="宋体" w:cs="仿宋"/>
                <w:sz w:val="24"/>
                <w:lang w:eastAsia="zh-CN"/>
              </w:rPr>
              <w:t>投标文件</w:t>
            </w:r>
            <w:r>
              <w:rPr>
                <w:rFonts w:hint="eastAsia" w:ascii="宋体" w:hAnsi="宋体" w:cs="仿宋"/>
                <w:sz w:val="24"/>
              </w:rPr>
              <w:t>。</w:t>
            </w:r>
          </w:p>
          <w:p>
            <w:pPr>
              <w:snapToGrid w:val="0"/>
              <w:spacing w:line="400" w:lineRule="exact"/>
              <w:ind w:firstLine="482" w:firstLineChars="200"/>
              <w:rPr>
                <w:rFonts w:ascii="宋体" w:hAnsi="宋体" w:cs="仿宋"/>
                <w:b/>
                <w:bCs/>
                <w:sz w:val="24"/>
              </w:rPr>
            </w:pPr>
            <w:r>
              <w:rPr>
                <w:rFonts w:hint="eastAsia" w:ascii="宋体" w:hAnsi="宋体" w:cs="仿宋"/>
                <w:b/>
                <w:bCs/>
                <w:sz w:val="24"/>
              </w:rPr>
              <w:t>（3）所有投标文件逾期解密的视作无效标。</w:t>
            </w:r>
          </w:p>
          <w:p>
            <w:pPr>
              <w:snapToGrid w:val="0"/>
              <w:spacing w:line="400" w:lineRule="exact"/>
              <w:rPr>
                <w:rFonts w:ascii="宋体" w:hAnsi="宋体" w:cs="仿宋"/>
                <w:sz w:val="24"/>
              </w:rPr>
            </w:pPr>
            <w:r>
              <w:rPr>
                <w:rFonts w:hint="eastAsia" w:ascii="宋体" w:hAnsi="宋体" w:cs="仿宋"/>
                <w:sz w:val="24"/>
              </w:rPr>
              <w:t>6、电子加密投标文件的解密和异常情况处理：</w:t>
            </w:r>
          </w:p>
          <w:p>
            <w:pPr>
              <w:snapToGrid w:val="0"/>
              <w:spacing w:line="400" w:lineRule="exact"/>
              <w:ind w:firstLine="480" w:firstLineChars="200"/>
              <w:rPr>
                <w:rFonts w:hint="eastAsia" w:ascii="宋体" w:hAnsi="宋体" w:eastAsia="宋体" w:cs="仿宋"/>
                <w:sz w:val="24"/>
                <w:lang w:eastAsia="zh-CN"/>
              </w:rPr>
            </w:pPr>
            <w:r>
              <w:rPr>
                <w:rFonts w:hint="eastAsia" w:ascii="宋体" w:hAnsi="宋体" w:cs="仿宋"/>
                <w:sz w:val="24"/>
              </w:rPr>
              <w:t>（1）开标后，采购代理机构将向各投标供应商发出“电子加密投标文件”的解密通知，各投标供应商代表应当在接到解密通知后30分钟内自行完成“电子加密投标文件”的在线解密</w:t>
            </w:r>
            <w:r>
              <w:rPr>
                <w:rFonts w:hint="eastAsia" w:ascii="宋体" w:hAnsi="宋体" w:cs="仿宋"/>
                <w:sz w:val="24"/>
                <w:lang w:eastAsia="zh-CN"/>
              </w:rPr>
              <w:t>，未在规定的时间内无法完成投标文件解密的，视为自动放弃本项目的投标。</w:t>
            </w:r>
          </w:p>
          <w:p>
            <w:pPr>
              <w:snapToGrid w:val="0"/>
              <w:spacing w:line="400" w:lineRule="exact"/>
              <w:ind w:firstLine="480" w:firstLineChars="200"/>
              <w:rPr>
                <w:rFonts w:ascii="宋体" w:hAnsi="宋体" w:cs="仿宋"/>
                <w:sz w:val="24"/>
              </w:rPr>
            </w:pPr>
            <w:r>
              <w:rPr>
                <w:rFonts w:hint="eastAsia" w:ascii="宋体" w:hAnsi="宋体" w:cs="仿宋"/>
                <w:sz w:val="24"/>
              </w:rPr>
              <w:t>（2）通过“政府采购云平台”成功上传“电子加密投标文件”的投标供应商，因遗失CA或其他原因，导致无法解密“电子加密投标文件”的，供应商如按规定递交了“备份</w:t>
            </w:r>
            <w:r>
              <w:rPr>
                <w:rFonts w:hint="eastAsia" w:ascii="宋体" w:hAnsi="宋体" w:cs="仿宋"/>
                <w:sz w:val="24"/>
                <w:lang w:eastAsia="zh-CN"/>
              </w:rPr>
              <w:t>投标</w:t>
            </w:r>
            <w:r>
              <w:rPr>
                <w:rFonts w:hint="eastAsia" w:ascii="宋体" w:hAnsi="宋体" w:cs="仿宋"/>
                <w:sz w:val="24"/>
              </w:rPr>
              <w:t>文件”的，启用数据电子备份投标文件（U 盘）（由采购组织机构按“政府采购云平台”操作规范将“备份</w:t>
            </w:r>
            <w:r>
              <w:rPr>
                <w:rFonts w:hint="eastAsia" w:ascii="宋体" w:hAnsi="宋体" w:cs="仿宋"/>
                <w:sz w:val="24"/>
                <w:lang w:eastAsia="zh-CN"/>
              </w:rPr>
              <w:t>投标文件</w:t>
            </w:r>
            <w:r>
              <w:rPr>
                <w:rFonts w:hint="eastAsia" w:ascii="宋体" w:hAnsi="宋体" w:cs="仿宋"/>
                <w:sz w:val="24"/>
              </w:rPr>
              <w:t>”上传至“政府采购云平台”</w:t>
            </w:r>
            <w:r>
              <w:rPr>
                <w:rFonts w:hint="eastAsia" w:ascii="宋体" w:hAnsi="宋体" w:cs="仿宋"/>
                <w:sz w:val="24"/>
                <w:lang w:val="en-US" w:eastAsia="zh-CN"/>
              </w:rPr>
              <w:t>,</w:t>
            </w:r>
            <w:r>
              <w:rPr>
                <w:rFonts w:hint="eastAsia" w:ascii="宋体" w:hAnsi="宋体" w:cs="仿宋"/>
                <w:sz w:val="24"/>
              </w:rPr>
              <w:t>上传成功后，“电子加密</w:t>
            </w:r>
            <w:r>
              <w:rPr>
                <w:rFonts w:hint="eastAsia" w:ascii="宋体" w:hAnsi="宋体" w:cs="仿宋"/>
                <w:sz w:val="24"/>
                <w:lang w:eastAsia="zh-CN"/>
              </w:rPr>
              <w:t>投标文件</w:t>
            </w:r>
            <w:r>
              <w:rPr>
                <w:rFonts w:hint="eastAsia" w:ascii="宋体" w:hAnsi="宋体" w:cs="仿宋"/>
                <w:sz w:val="24"/>
              </w:rPr>
              <w:t>”自动失效</w:t>
            </w:r>
            <w:r>
              <w:rPr>
                <w:rFonts w:hint="eastAsia" w:ascii="宋体" w:hAnsi="宋体" w:cs="仿宋"/>
                <w:sz w:val="24"/>
                <w:lang w:val="en-US" w:eastAsia="zh-CN"/>
              </w:rPr>
              <w:t>)。</w:t>
            </w:r>
            <w:r>
              <w:rPr>
                <w:rFonts w:hint="eastAsia" w:ascii="宋体" w:hAnsi="宋体" w:cs="仿宋"/>
                <w:sz w:val="24"/>
              </w:rPr>
              <w:t>因供应商电子备份投标文件（U 盘）或自身原因造成数据电子备份投标文件（U盘）无法打开的，作无效标处理。</w:t>
            </w:r>
          </w:p>
          <w:p>
            <w:pPr>
              <w:pStyle w:val="3"/>
              <w:spacing w:line="400" w:lineRule="exact"/>
              <w:rPr>
                <w:rFonts w:hAnsi="宋体" w:cs="宋体"/>
                <w:szCs w:val="21"/>
              </w:rPr>
            </w:pPr>
            <w:r>
              <w:rPr>
                <w:rFonts w:hint="eastAsia" w:hAnsi="宋体" w:cs="Arial"/>
                <w:sz w:val="24"/>
                <w:szCs w:val="22"/>
              </w:rPr>
              <w:t>（3）</w:t>
            </w:r>
            <w:r>
              <w:rPr>
                <w:rFonts w:hint="eastAsia" w:hAnsi="宋体" w:cs="Arial"/>
                <w:sz w:val="24"/>
                <w:szCs w:val="22"/>
                <w:lang w:eastAsia="zh-CN"/>
              </w:rPr>
              <w:t>投标截止</w:t>
            </w:r>
            <w:r>
              <w:rPr>
                <w:rFonts w:hint="eastAsia" w:hAnsi="宋体" w:cs="Arial"/>
                <w:sz w:val="24"/>
                <w:szCs w:val="22"/>
              </w:rPr>
              <w:t>时间前，供应商仅递交了“备份</w:t>
            </w:r>
            <w:r>
              <w:rPr>
                <w:rFonts w:hint="eastAsia" w:hAnsi="宋体" w:cs="Arial"/>
                <w:sz w:val="24"/>
                <w:szCs w:val="22"/>
                <w:lang w:eastAsia="zh-CN"/>
              </w:rPr>
              <w:t>投标</w:t>
            </w:r>
            <w:r>
              <w:rPr>
                <w:rFonts w:hint="eastAsia" w:hAnsi="宋体" w:cs="Arial"/>
                <w:sz w:val="24"/>
                <w:szCs w:val="22"/>
              </w:rPr>
              <w:t>文件”而未将电子加密</w:t>
            </w:r>
            <w:r>
              <w:rPr>
                <w:rFonts w:hint="eastAsia" w:hAnsi="宋体" w:cs="Arial"/>
                <w:sz w:val="24"/>
                <w:szCs w:val="22"/>
                <w:lang w:eastAsia="zh-CN"/>
              </w:rPr>
              <w:t>投标</w:t>
            </w:r>
            <w:r>
              <w:rPr>
                <w:rFonts w:hint="eastAsia" w:hAnsi="宋体" w:cs="Arial"/>
                <w:sz w:val="24"/>
                <w:szCs w:val="22"/>
              </w:rPr>
              <w:t>文件上传至“政府采购云平台”的，</w:t>
            </w:r>
            <w:r>
              <w:rPr>
                <w:rFonts w:hint="eastAsia" w:hAnsi="宋体" w:cs="Arial"/>
                <w:sz w:val="24"/>
                <w:szCs w:val="22"/>
                <w:lang w:eastAsia="zh-CN"/>
              </w:rPr>
              <w:t>投标</w:t>
            </w:r>
            <w:r>
              <w:rPr>
                <w:rFonts w:hint="eastAsia" w:hAnsi="宋体" w:cs="Arial"/>
                <w:sz w:val="24"/>
                <w:szCs w:val="22"/>
              </w:rPr>
              <w:t xml:space="preserve">无效。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6</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投标截止时间：</w:t>
            </w:r>
            <w:r>
              <w:rPr>
                <w:rFonts w:hint="eastAsia" w:ascii="宋体" w:hAnsi="宋体" w:cs="仿宋"/>
                <w:b/>
                <w:bCs/>
                <w:sz w:val="24"/>
                <w:highlight w:val="none"/>
                <w:u w:val="single"/>
                <w:lang w:val="en-US" w:eastAsia="zh-CN"/>
              </w:rPr>
              <w:t>2020年11月18日下午13：30</w:t>
            </w:r>
            <w:r>
              <w:rPr>
                <w:rFonts w:hint="eastAsia" w:ascii="宋体" w:hAnsi="宋体" w:cs="仿宋"/>
                <w:sz w:val="24"/>
                <w:highlight w:val="none"/>
              </w:rPr>
              <w:t>；</w:t>
            </w:r>
          </w:p>
          <w:p>
            <w:pPr>
              <w:snapToGrid w:val="0"/>
              <w:spacing w:line="400" w:lineRule="exact"/>
              <w:rPr>
                <w:rFonts w:ascii="宋体" w:hAnsi="宋体" w:cs="仿宋"/>
                <w:sz w:val="24"/>
              </w:rPr>
            </w:pPr>
            <w:r>
              <w:rPr>
                <w:rFonts w:hint="eastAsia" w:ascii="宋体" w:hAnsi="宋体" w:cs="仿宋"/>
                <w:sz w:val="24"/>
              </w:rPr>
              <w:t>投标文件递交地点：</w:t>
            </w:r>
            <w:r>
              <w:rPr>
                <w:rFonts w:hint="eastAsia" w:ascii="宋体" w:hAnsi="宋体" w:cs="仿宋"/>
                <w:b/>
                <w:bCs/>
                <w:sz w:val="24"/>
                <w:u w:val="single"/>
              </w:rPr>
              <w:t>本项目通过“政府采购云平台（www.zcygov.cn）”实行在线投标响应（电子投标）。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7</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highlight w:val="none"/>
              </w:rPr>
            </w:pPr>
            <w:r>
              <w:rPr>
                <w:rFonts w:hint="eastAsia" w:ascii="宋体" w:hAnsi="宋体" w:cs="仿宋"/>
                <w:sz w:val="24"/>
              </w:rPr>
              <w:t>开标时间：</w:t>
            </w:r>
            <w:r>
              <w:rPr>
                <w:rFonts w:hint="eastAsia" w:ascii="宋体" w:hAnsi="宋体" w:cs="仿宋"/>
                <w:b/>
                <w:bCs/>
                <w:sz w:val="24"/>
                <w:highlight w:val="none"/>
                <w:u w:val="single"/>
                <w:lang w:val="en-US" w:eastAsia="zh-CN"/>
              </w:rPr>
              <w:t>2020年11月18日下午13：30</w:t>
            </w:r>
            <w:r>
              <w:rPr>
                <w:rFonts w:hint="eastAsia" w:ascii="宋体" w:hAnsi="宋体" w:cs="仿宋"/>
                <w:sz w:val="24"/>
                <w:highlight w:val="none"/>
              </w:rPr>
              <w:t>；</w:t>
            </w:r>
          </w:p>
          <w:p>
            <w:pPr>
              <w:snapToGrid w:val="0"/>
              <w:spacing w:line="400" w:lineRule="exact"/>
              <w:rPr>
                <w:rFonts w:ascii="宋体" w:hAnsi="宋体" w:cs="仿宋"/>
                <w:sz w:val="24"/>
              </w:rPr>
            </w:pPr>
            <w:r>
              <w:rPr>
                <w:rFonts w:hint="eastAsia" w:ascii="宋体" w:hAnsi="宋体" w:cs="仿宋"/>
                <w:sz w:val="24"/>
                <w:highlight w:val="none"/>
              </w:rPr>
              <w:t>地点：</w:t>
            </w:r>
            <w:r>
              <w:rPr>
                <w:rFonts w:hint="eastAsia" w:ascii="宋体" w:hAnsi="宋体" w:cs="仿宋"/>
                <w:b/>
                <w:bCs/>
                <w:sz w:val="24"/>
                <w:highlight w:val="none"/>
                <w:u w:val="single"/>
              </w:rPr>
              <w:t>湖州市吴兴区公共资源交易中心开标室（</w:t>
            </w:r>
            <w:r>
              <w:rPr>
                <w:rFonts w:hint="eastAsia" w:ascii="宋体" w:hAnsi="宋体" w:cs="仿宋"/>
                <w:b/>
                <w:bCs/>
                <w:sz w:val="24"/>
                <w:highlight w:val="none"/>
                <w:u w:val="single"/>
                <w:lang w:val="en-US" w:eastAsia="zh-CN"/>
              </w:rPr>
              <w:t>403</w:t>
            </w:r>
            <w:r>
              <w:rPr>
                <w:rFonts w:hint="eastAsia" w:ascii="宋体" w:hAnsi="宋体" w:cs="仿宋"/>
                <w:b/>
                <w:bCs/>
                <w:sz w:val="24"/>
                <w:highlight w:val="none"/>
                <w:u w:val="single"/>
              </w:rPr>
              <w:t>号）【湖州市吴兴区区府路1188 号总部自由港E 幢4楼】</w:t>
            </w:r>
            <w:r>
              <w:rPr>
                <w:rFonts w:hint="eastAsia" w:ascii="宋体" w:hAnsi="宋体" w:cs="仿宋"/>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8</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9</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开始评标前采购代理机构将依法对投标供应商的信用记录查询：依据财库[2016]125号文件执行</w:t>
            </w:r>
          </w:p>
          <w:p>
            <w:pPr>
              <w:snapToGrid w:val="0"/>
              <w:spacing w:line="400" w:lineRule="exact"/>
              <w:rPr>
                <w:rFonts w:ascii="宋体" w:hAnsi="宋体" w:cs="仿宋"/>
                <w:sz w:val="24"/>
              </w:rPr>
            </w:pPr>
            <w:r>
              <w:rPr>
                <w:rFonts w:hint="eastAsia" w:ascii="宋体" w:hAnsi="宋体" w:cs="仿宋"/>
                <w:sz w:val="24"/>
              </w:rPr>
              <w:t>查询渠道：信用中国（www.creditchina.gov.cn）、中国政府采购网（www.ccgp.gov.cn）；</w:t>
            </w:r>
          </w:p>
          <w:p>
            <w:pPr>
              <w:snapToGrid w:val="0"/>
              <w:spacing w:line="400" w:lineRule="exact"/>
              <w:rPr>
                <w:rFonts w:ascii="宋体" w:hAnsi="宋体" w:cs="仿宋"/>
                <w:sz w:val="24"/>
              </w:rPr>
            </w:pPr>
            <w:r>
              <w:rPr>
                <w:rFonts w:hint="eastAsia" w:ascii="宋体" w:hAnsi="宋体" w:cs="仿宋"/>
                <w:sz w:val="24"/>
              </w:rPr>
              <w:t>截止时点：截止提交投标文件截止时间前3年内；</w:t>
            </w:r>
          </w:p>
          <w:p>
            <w:pPr>
              <w:snapToGrid w:val="0"/>
              <w:spacing w:line="400" w:lineRule="exact"/>
              <w:rPr>
                <w:rFonts w:ascii="宋体" w:hAnsi="宋体" w:cs="仿宋"/>
                <w:sz w:val="24"/>
              </w:rPr>
            </w:pPr>
            <w:r>
              <w:rPr>
                <w:rFonts w:hint="eastAsia" w:ascii="宋体" w:hAnsi="宋体" w:cs="仿宋"/>
                <w:sz w:val="24"/>
              </w:rPr>
              <w:t>查询记录和证据的留存：网站查询，打印留存。</w:t>
            </w:r>
          </w:p>
          <w:p>
            <w:pPr>
              <w:snapToGrid w:val="0"/>
              <w:spacing w:line="400" w:lineRule="exact"/>
              <w:rPr>
                <w:rFonts w:ascii="宋体" w:hAnsi="宋体" w:cs="仿宋"/>
                <w:sz w:val="24"/>
              </w:rPr>
            </w:pPr>
            <w:r>
              <w:rPr>
                <w:rFonts w:hint="eastAsia" w:ascii="宋体" w:hAnsi="宋体" w:cs="仿宋"/>
                <w:sz w:val="24"/>
              </w:rPr>
              <w:t>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10</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评标结果公示：评标结束后2个工作日内，评标结果公示于：</w:t>
            </w:r>
          </w:p>
          <w:p>
            <w:pPr>
              <w:snapToGrid w:val="0"/>
              <w:spacing w:line="400" w:lineRule="exact"/>
              <w:rPr>
                <w:rFonts w:ascii="宋体" w:hAnsi="宋体" w:cs="仿宋"/>
                <w:sz w:val="24"/>
              </w:rPr>
            </w:pPr>
            <w:r>
              <w:rPr>
                <w:rFonts w:hint="eastAsia" w:ascii="宋体" w:hAnsi="宋体" w:cs="仿宋"/>
                <w:sz w:val="24"/>
              </w:rPr>
              <w:t>浙江政府采购网(</w:t>
            </w:r>
            <w:r>
              <w:rPr>
                <w:rFonts w:ascii="宋体" w:hAnsi="宋体" w:eastAsia="宋体" w:cs="宋体"/>
                <w:sz w:val="24"/>
                <w:szCs w:val="24"/>
              </w:rPr>
              <w:t>http://zfcg.czt.zj.gov.cn/</w:t>
            </w:r>
            <w:r>
              <w:rPr>
                <w:rFonts w:hint="eastAsia" w:ascii="宋体" w:hAnsi="宋体" w:cs="仿宋"/>
                <w:sz w:val="24"/>
              </w:rPr>
              <w:t>)</w:t>
            </w:r>
          </w:p>
          <w:p>
            <w:pPr>
              <w:snapToGrid w:val="0"/>
              <w:spacing w:line="400" w:lineRule="exact"/>
              <w:jc w:val="left"/>
              <w:rPr>
                <w:rFonts w:ascii="宋体" w:hAnsi="宋体" w:cs="仿宋"/>
                <w:sz w:val="24"/>
              </w:rPr>
            </w:pPr>
            <w:r>
              <w:rPr>
                <w:rFonts w:hint="eastAsia" w:ascii="宋体" w:hAnsi="宋体" w:cs="宋体"/>
                <w:sz w:val="24"/>
              </w:rPr>
              <w:t>湖州市吴兴区公共资源交易中心</w:t>
            </w:r>
            <w:r>
              <w:rPr>
                <w:rFonts w:hint="eastAsia" w:ascii="宋体" w:hAnsi="宋体" w:cs="仿宋"/>
                <w:sz w:val="24"/>
              </w:rPr>
              <w:t xml:space="preserve"> http://www.wuxing.gov.cn/hzgov/front/s127/sy/index.html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11</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仿宋"/>
                <w:sz w:val="24"/>
              </w:rPr>
            </w:pPr>
            <w:r>
              <w:rPr>
                <w:rFonts w:hint="eastAsia" w:ascii="宋体" w:hAnsi="宋体"/>
                <w:sz w:val="24"/>
              </w:rPr>
              <w:t xml:space="preserve">在确定中标供应商后，领取中标通知书前，中标供应商须提供一份完整的纸质投标文件给采购人，纸质投标文件须与电子投标文件格式及内容一致。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12</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签订合同时间：中标通知书发出后30日内。</w:t>
            </w:r>
          </w:p>
          <w:p>
            <w:pPr>
              <w:snapToGrid w:val="0"/>
              <w:spacing w:line="400" w:lineRule="exact"/>
              <w:rPr>
                <w:rFonts w:ascii="宋体" w:hAnsi="宋体" w:cs="仿宋"/>
                <w:sz w:val="24"/>
              </w:rPr>
            </w:pPr>
            <w:r>
              <w:rPr>
                <w:rFonts w:hint="eastAsia" w:ascii="宋体" w:hAnsi="宋体" w:cs="仿宋"/>
                <w:sz w:val="24"/>
              </w:rPr>
              <w:t>合同签订后由中标投标供应商向招标代理机构提供已签订的合同书面文件2份，电子扫描件一份用于合同备案。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13</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履约保证金的收取及退还:本项目不缴纳。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14</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采购资金来源：自筹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15</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付款方式：详见合同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16</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投标有效期：自投标文件递交截止之日起</w:t>
            </w:r>
            <w:r>
              <w:rPr>
                <w:rFonts w:hint="eastAsia" w:ascii="宋体" w:hAnsi="宋体" w:cs="仿宋"/>
                <w:sz w:val="24"/>
                <w:u w:val="single"/>
              </w:rPr>
              <w:t xml:space="preserve">  60 </w:t>
            </w:r>
            <w:r>
              <w:rPr>
                <w:rFonts w:hint="eastAsia" w:ascii="宋体" w:hAnsi="宋体" w:cs="仿宋"/>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17</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解释：本招标文件的解释权属于招标采购单位。</w:t>
            </w:r>
          </w:p>
        </w:tc>
      </w:tr>
    </w:tbl>
    <w:p>
      <w:pPr>
        <w:rPr>
          <w:rFonts w:hint="eastAsia" w:ascii="宋体" w:hAnsi="宋体" w:cs="仿宋"/>
          <w:b/>
          <w:sz w:val="32"/>
          <w:szCs w:val="32"/>
        </w:rPr>
      </w:pPr>
      <w:bookmarkStart w:id="21" w:name="_Toc9577"/>
      <w:r>
        <w:rPr>
          <w:rFonts w:hint="eastAsia" w:ascii="宋体" w:hAnsi="宋体" w:cs="仿宋"/>
          <w:b/>
          <w:sz w:val="32"/>
          <w:szCs w:val="32"/>
        </w:rPr>
        <w:br w:type="page"/>
      </w:r>
    </w:p>
    <w:p>
      <w:pPr>
        <w:spacing w:line="500" w:lineRule="exact"/>
        <w:jc w:val="center"/>
        <w:outlineLvl w:val="1"/>
        <w:rPr>
          <w:rFonts w:ascii="宋体" w:hAnsi="宋体" w:cs="仿宋"/>
          <w:b/>
          <w:sz w:val="32"/>
          <w:szCs w:val="32"/>
        </w:rPr>
      </w:pPr>
      <w:r>
        <w:rPr>
          <w:rFonts w:hint="eastAsia" w:ascii="宋体" w:hAnsi="宋体" w:cs="仿宋"/>
          <w:b/>
          <w:sz w:val="32"/>
          <w:szCs w:val="32"/>
        </w:rPr>
        <w:t>一、总  则</w:t>
      </w:r>
      <w:bookmarkEnd w:id="21"/>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 适用范围</w:t>
      </w:r>
    </w:p>
    <w:p>
      <w:pPr>
        <w:snapToGrid w:val="0"/>
        <w:spacing w:line="360" w:lineRule="auto"/>
        <w:ind w:firstLine="480" w:firstLineChars="200"/>
        <w:rPr>
          <w:rFonts w:ascii="宋体" w:hAnsi="宋体" w:cs="仿宋"/>
          <w:bCs/>
          <w:snapToGrid w:val="0"/>
          <w:sz w:val="24"/>
          <w:u w:val="single"/>
        </w:rPr>
      </w:pPr>
      <w:r>
        <w:rPr>
          <w:rFonts w:hint="eastAsia" w:ascii="宋体" w:hAnsi="宋体" w:cs="仿宋"/>
          <w:sz w:val="24"/>
        </w:rPr>
        <w:t>本招标文件（采购文件）适用于</w:t>
      </w:r>
      <w:r>
        <w:rPr>
          <w:rFonts w:hint="eastAsia" w:ascii="宋体" w:hAnsi="宋体" w:cs="仿宋"/>
          <w:sz w:val="24"/>
          <w:lang w:eastAsia="zh-CN"/>
        </w:rPr>
        <w:t>织里镇智慧红绿灯建设监理项目</w:t>
      </w:r>
      <w:r>
        <w:rPr>
          <w:rFonts w:hint="eastAsia" w:ascii="宋体" w:hAnsi="宋体" w:cs="仿宋"/>
          <w:sz w:val="24"/>
        </w:rPr>
        <w:t>的招标、投标、评标、定标、验收、合同履约、付款等行为（法律、法规另有规定的，从其规定）。</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（二）定义</w:t>
      </w:r>
    </w:p>
    <w:p>
      <w:pPr>
        <w:pStyle w:val="26"/>
        <w:spacing w:line="360" w:lineRule="auto"/>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“采购人”系指</w:t>
      </w:r>
      <w:r>
        <w:rPr>
          <w:rFonts w:hint="eastAsia" w:hAnsi="宋体"/>
          <w:sz w:val="24"/>
          <w:szCs w:val="24"/>
          <w:lang w:eastAsia="zh-CN"/>
        </w:rPr>
        <w:t>湖州市吴兴区织里镇人民政府</w:t>
      </w:r>
      <w:r>
        <w:rPr>
          <w:rFonts w:hint="eastAsia" w:hAnsi="宋体"/>
          <w:sz w:val="24"/>
          <w:szCs w:val="24"/>
        </w:rPr>
        <w:t xml:space="preserve"> </w:t>
      </w:r>
      <w:r>
        <w:rPr>
          <w:rFonts w:hAnsi="宋体"/>
          <w:sz w:val="24"/>
          <w:szCs w:val="24"/>
        </w:rPr>
        <w:t>。</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供应商”系指提交投标文件的单位或个人。</w:t>
      </w:r>
    </w:p>
    <w:p>
      <w:pPr>
        <w:snapToGrid w:val="0"/>
        <w:spacing w:line="360" w:lineRule="auto"/>
        <w:ind w:firstLine="480" w:firstLineChars="200"/>
        <w:jc w:val="left"/>
        <w:rPr>
          <w:rFonts w:ascii="宋体" w:hAnsi="宋体"/>
          <w:sz w:val="24"/>
        </w:rPr>
      </w:pPr>
      <w:r>
        <w:rPr>
          <w:rFonts w:hint="eastAsia" w:ascii="宋体" w:hAnsi="宋体"/>
          <w:sz w:val="24"/>
        </w:rPr>
        <w:t>3、“采购代理机构”系指湖州星兴工程咨询有限公司。</w:t>
      </w:r>
    </w:p>
    <w:p>
      <w:pPr>
        <w:snapToGrid w:val="0"/>
        <w:spacing w:line="360" w:lineRule="auto"/>
        <w:ind w:firstLine="480" w:firstLineChars="200"/>
        <w:jc w:val="left"/>
        <w:rPr>
          <w:rFonts w:ascii="宋体" w:hAnsi="宋体" w:cs="仿宋"/>
          <w:sz w:val="24"/>
        </w:rPr>
      </w:pPr>
      <w:r>
        <w:rPr>
          <w:rFonts w:hint="eastAsia" w:ascii="宋体" w:hAnsi="宋体" w:cs="仿宋"/>
          <w:sz w:val="24"/>
        </w:rPr>
        <w:t>4、“产品”系指供方按招标文件规定，须向采购单位提供的一切设备、保险、税金、备品备件、工具、手册及其它有关技术资料和材料。</w:t>
      </w:r>
    </w:p>
    <w:p>
      <w:pPr>
        <w:snapToGrid w:val="0"/>
        <w:spacing w:line="360" w:lineRule="auto"/>
        <w:ind w:firstLine="480" w:firstLineChars="200"/>
        <w:jc w:val="left"/>
        <w:rPr>
          <w:rFonts w:ascii="宋体" w:hAnsi="宋体" w:cs="仿宋"/>
          <w:sz w:val="24"/>
        </w:rPr>
      </w:pPr>
      <w:r>
        <w:rPr>
          <w:rFonts w:hint="eastAsia" w:ascii="宋体" w:hAnsi="宋体" w:cs="仿宋"/>
          <w:sz w:val="24"/>
        </w:rPr>
        <w:t>5、“服务”系指招标文件规定投标供应商中标后须承担的与本项目有关的义务。</w:t>
      </w:r>
    </w:p>
    <w:p>
      <w:pPr>
        <w:snapToGrid w:val="0"/>
        <w:spacing w:line="360" w:lineRule="auto"/>
        <w:ind w:firstLine="480" w:firstLineChars="200"/>
        <w:jc w:val="left"/>
        <w:rPr>
          <w:rFonts w:ascii="宋体" w:hAnsi="宋体" w:cs="仿宋"/>
          <w:sz w:val="24"/>
        </w:rPr>
      </w:pPr>
      <w:r>
        <w:rPr>
          <w:rFonts w:hint="eastAsia" w:ascii="宋体" w:hAnsi="宋体" w:cs="仿宋"/>
          <w:sz w:val="24"/>
        </w:rPr>
        <w:t>6、“项目”系指投标供应商按招标文件规定向采购单位提供的产品和服务。</w:t>
      </w:r>
    </w:p>
    <w:p>
      <w:pPr>
        <w:snapToGrid w:val="0"/>
        <w:spacing w:line="360" w:lineRule="auto"/>
        <w:ind w:firstLine="480" w:firstLineChars="200"/>
        <w:jc w:val="left"/>
        <w:rPr>
          <w:rFonts w:ascii="宋体" w:hAnsi="宋体" w:cs="仿宋"/>
          <w:sz w:val="24"/>
        </w:rPr>
      </w:pPr>
      <w:r>
        <w:rPr>
          <w:rFonts w:hint="eastAsia" w:ascii="宋体" w:hAnsi="宋体" w:cs="仿宋"/>
          <w:sz w:val="24"/>
        </w:rPr>
        <w:t>7、“书面形式”包括</w:t>
      </w:r>
      <w:r>
        <w:rPr>
          <w:rFonts w:ascii="宋体" w:hAnsi="宋体" w:cs="Arial"/>
          <w:kern w:val="0"/>
          <w:sz w:val="24"/>
        </w:rPr>
        <w:t>信函、传真、电子扫描件</w:t>
      </w:r>
      <w:r>
        <w:rPr>
          <w:rFonts w:hint="eastAsia" w:ascii="宋体" w:hAnsi="宋体" w:cs="仿宋"/>
          <w:sz w:val="24"/>
        </w:rPr>
        <w:t>等。</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（三）招标方式</w:t>
      </w:r>
    </w:p>
    <w:p>
      <w:pPr>
        <w:snapToGrid w:val="0"/>
        <w:spacing w:line="500" w:lineRule="exact"/>
        <w:ind w:firstLine="480" w:firstLineChars="200"/>
        <w:rPr>
          <w:rFonts w:ascii="宋体" w:hAnsi="宋体" w:cs="仿宋"/>
          <w:sz w:val="24"/>
          <w:szCs w:val="20"/>
        </w:rPr>
      </w:pPr>
      <w:r>
        <w:rPr>
          <w:rFonts w:hint="eastAsia" w:ascii="宋体" w:hAnsi="宋体" w:cs="仿宋"/>
          <w:sz w:val="24"/>
        </w:rPr>
        <w:t>本次招标采用公开招标方式进行。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（四）投标委托</w:t>
      </w:r>
    </w:p>
    <w:p>
      <w:pPr>
        <w:snapToGrid w:val="0"/>
        <w:spacing w:line="500" w:lineRule="exact"/>
        <w:ind w:firstLine="480" w:firstLineChars="200"/>
        <w:rPr>
          <w:rFonts w:ascii="宋体" w:hAnsi="宋体" w:cs="仿宋"/>
          <w:sz w:val="24"/>
        </w:rPr>
      </w:pPr>
      <w:r>
        <w:rPr>
          <w:rFonts w:hint="eastAsia" w:ascii="宋体" w:hAnsi="宋体" w:cs="仿宋"/>
          <w:sz w:val="24"/>
        </w:rPr>
        <w:t>各投标供应商应指派专人（法定代表人或其他本单位正式员工）负责本项目的投标、开标、评标等具体事务和签署相关文件。</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（五）投标费用</w:t>
      </w:r>
    </w:p>
    <w:p>
      <w:pPr>
        <w:spacing w:line="360" w:lineRule="auto"/>
        <w:ind w:firstLine="480" w:firstLineChars="200"/>
        <w:rPr>
          <w:rFonts w:ascii="宋体" w:hAnsi="宋体" w:cs="仿宋"/>
          <w:sz w:val="24"/>
        </w:rPr>
      </w:pPr>
      <w:r>
        <w:rPr>
          <w:rFonts w:hint="eastAsia" w:ascii="宋体" w:hAnsi="宋体" w:cs="仿宋"/>
          <w:sz w:val="24"/>
        </w:rPr>
        <w:t>不论投标结果如何，投标供应商均应自行承担所有与投标有关的全部费用（招标文件有相关规定除外）。</w:t>
      </w:r>
    </w:p>
    <w:p>
      <w:pPr>
        <w:snapToGrid w:val="0"/>
        <w:spacing w:line="360" w:lineRule="auto"/>
        <w:ind w:firstLine="480" w:firstLineChars="200"/>
        <w:jc w:val="left"/>
        <w:rPr>
          <w:rFonts w:ascii="宋体" w:hAnsi="宋体"/>
          <w:color w:val="000000"/>
          <w:sz w:val="24"/>
        </w:rPr>
      </w:pPr>
      <w:r>
        <w:rPr>
          <w:rFonts w:hint="eastAsia" w:ascii="宋体" w:hAnsi="宋体"/>
          <w:sz w:val="24"/>
        </w:rPr>
        <w:t>本项目</w:t>
      </w:r>
      <w:r>
        <w:rPr>
          <w:rFonts w:hint="eastAsia" w:ascii="宋体" w:hAnsi="宋体"/>
          <w:color w:val="000000"/>
          <w:sz w:val="24"/>
        </w:rPr>
        <w:t>招标代理服务费：</w:t>
      </w:r>
      <w:r>
        <w:rPr>
          <w:rFonts w:hint="eastAsia" w:ascii="宋体" w:hAnsi="宋体"/>
          <w:sz w:val="24"/>
        </w:rPr>
        <w:t>按人</w:t>
      </w:r>
      <w:r>
        <w:rPr>
          <w:rFonts w:hint="eastAsia" w:ascii="宋体" w:hAnsi="宋体"/>
          <w:sz w:val="24"/>
          <w:highlight w:val="none"/>
        </w:rPr>
        <w:t>民币</w:t>
      </w:r>
      <w:r>
        <w:rPr>
          <w:rFonts w:hint="eastAsia" w:ascii="宋体" w:hAnsi="宋体"/>
          <w:sz w:val="24"/>
          <w:highlight w:val="none"/>
          <w:lang w:eastAsia="zh-CN"/>
        </w:rPr>
        <w:t>肆仟壹佰元整</w:t>
      </w:r>
      <w:r>
        <w:rPr>
          <w:rFonts w:hint="eastAsia" w:ascii="宋体" w:hAnsi="宋体"/>
          <w:sz w:val="24"/>
          <w:highlight w:val="none"/>
        </w:rPr>
        <w:t>收取。</w:t>
      </w:r>
      <w:r>
        <w:rPr>
          <w:rFonts w:hint="eastAsia" w:ascii="宋体" w:hAnsi="宋体"/>
          <w:color w:val="000000"/>
          <w:sz w:val="24"/>
          <w:highlight w:val="none"/>
        </w:rPr>
        <w:t>由</w:t>
      </w:r>
      <w:r>
        <w:rPr>
          <w:rFonts w:hint="eastAsia" w:ascii="宋体" w:hAnsi="宋体"/>
          <w:color w:val="000000"/>
          <w:sz w:val="24"/>
        </w:rPr>
        <w:t>中标供应商全额支付，投标供应商应自行考虑列入投标报价。</w:t>
      </w:r>
    </w:p>
    <w:p>
      <w:pPr>
        <w:snapToGrid w:val="0"/>
        <w:spacing w:line="360" w:lineRule="auto"/>
        <w:ind w:firstLine="472" w:firstLineChars="196"/>
        <w:jc w:val="left"/>
        <w:rPr>
          <w:rFonts w:ascii="宋体" w:hAnsi="宋体"/>
          <w:b/>
          <w:sz w:val="24"/>
        </w:rPr>
      </w:pPr>
      <w:r>
        <w:rPr>
          <w:rFonts w:hint="eastAsia" w:ascii="宋体" w:hAnsi="宋体"/>
          <w:b/>
          <w:sz w:val="24"/>
        </w:rPr>
        <w:t>（六）联合体投标</w:t>
      </w:r>
    </w:p>
    <w:p>
      <w:pPr>
        <w:snapToGrid w:val="0"/>
        <w:spacing w:line="360" w:lineRule="auto"/>
        <w:ind w:firstLine="480" w:firstLineChars="200"/>
        <w:jc w:val="left"/>
        <w:rPr>
          <w:rFonts w:ascii="宋体" w:hAnsi="宋体" w:cs="Arial"/>
          <w:sz w:val="24"/>
        </w:rPr>
      </w:pPr>
      <w:r>
        <w:rPr>
          <w:rFonts w:hint="eastAsia" w:ascii="宋体" w:hAnsi="宋体" w:cs="Arial"/>
          <w:sz w:val="24"/>
        </w:rPr>
        <w:t>本项目不接受联合体投标。</w:t>
      </w:r>
    </w:p>
    <w:p>
      <w:pPr>
        <w:snapToGrid w:val="0"/>
        <w:spacing w:line="360" w:lineRule="auto"/>
        <w:ind w:firstLine="472" w:firstLineChars="196"/>
        <w:rPr>
          <w:rFonts w:ascii="宋体" w:hAnsi="宋体" w:cs="宋体"/>
          <w:b/>
          <w:kern w:val="0"/>
          <w:sz w:val="24"/>
        </w:rPr>
      </w:pPr>
      <w:r>
        <w:rPr>
          <w:rFonts w:hint="eastAsia" w:ascii="宋体" w:hAnsi="宋体"/>
          <w:b/>
          <w:sz w:val="24"/>
        </w:rPr>
        <w:t>（七）</w:t>
      </w:r>
      <w:r>
        <w:rPr>
          <w:rFonts w:hint="eastAsia" w:ascii="宋体" w:hAnsi="宋体" w:cs="宋体"/>
          <w:b/>
          <w:kern w:val="0"/>
          <w:sz w:val="24"/>
        </w:rPr>
        <w:t>转包与分包</w:t>
      </w:r>
    </w:p>
    <w:p>
      <w:pPr>
        <w:snapToGrid w:val="0"/>
        <w:spacing w:line="360" w:lineRule="auto"/>
        <w:ind w:firstLine="480" w:firstLineChars="200"/>
        <w:rPr>
          <w:rFonts w:ascii="宋体" w:hAnsi="宋体"/>
          <w:sz w:val="24"/>
        </w:rPr>
      </w:pPr>
      <w:r>
        <w:rPr>
          <w:rFonts w:ascii="宋体" w:hAnsi="宋体" w:cs="宋体"/>
          <w:kern w:val="0"/>
          <w:sz w:val="24"/>
        </w:rPr>
        <w:t>本项目不允许</w:t>
      </w:r>
      <w:r>
        <w:rPr>
          <w:rFonts w:hint="eastAsia" w:ascii="宋体" w:hAnsi="宋体" w:cs="宋体"/>
          <w:kern w:val="0"/>
          <w:sz w:val="24"/>
        </w:rPr>
        <w:t>任何形式的</w:t>
      </w:r>
      <w:r>
        <w:rPr>
          <w:rFonts w:ascii="宋体" w:hAnsi="宋体" w:cs="宋体"/>
          <w:kern w:val="0"/>
          <w:sz w:val="24"/>
        </w:rPr>
        <w:t>转包</w:t>
      </w:r>
      <w:r>
        <w:rPr>
          <w:rFonts w:hint="eastAsia" w:ascii="宋体" w:hAnsi="宋体" w:cs="宋体"/>
          <w:kern w:val="0"/>
          <w:sz w:val="24"/>
        </w:rPr>
        <w:t>和</w:t>
      </w:r>
      <w:r>
        <w:rPr>
          <w:rFonts w:ascii="宋体" w:hAnsi="宋体" w:cs="宋体"/>
          <w:kern w:val="0"/>
          <w:sz w:val="24"/>
        </w:rPr>
        <w:t>分包</w:t>
      </w:r>
      <w:r>
        <w:rPr>
          <w:rFonts w:hint="eastAsia" w:ascii="宋体" w:hAnsi="宋体" w:cs="宋体"/>
          <w:kern w:val="0"/>
          <w:sz w:val="24"/>
        </w:rPr>
        <w:t>。</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（八）特别说明：</w:t>
      </w:r>
    </w:p>
    <w:p>
      <w:pPr>
        <w:spacing w:line="500" w:lineRule="exact"/>
        <w:ind w:firstLine="480" w:firstLineChars="200"/>
        <w:rPr>
          <w:rFonts w:ascii="宋体" w:hAnsi="宋体" w:cs="仿宋"/>
          <w:sz w:val="24"/>
        </w:rPr>
      </w:pPr>
      <w:r>
        <w:rPr>
          <w:rFonts w:hint="eastAsia" w:ascii="宋体" w:hAnsi="宋体" w:cs="仿宋"/>
          <w:sz w:val="24"/>
        </w:rPr>
        <w:t>▲1、单位负责人为同一人或者存在直接控股、管理关系的不同投标供应商，不得参加同一合同项下的政府采购活动。</w:t>
      </w:r>
    </w:p>
    <w:p>
      <w:pPr>
        <w:spacing w:line="500" w:lineRule="exact"/>
        <w:ind w:firstLine="480" w:firstLineChars="200"/>
        <w:rPr>
          <w:rFonts w:ascii="宋体" w:hAnsi="宋体" w:cs="仿宋"/>
          <w:sz w:val="24"/>
        </w:rPr>
      </w:pPr>
      <w:r>
        <w:rPr>
          <w:rFonts w:hint="eastAsia" w:ascii="宋体" w:hAnsi="宋体" w:cs="仿宋"/>
          <w:sz w:val="24"/>
        </w:rPr>
        <w:t>▲2、投标供应商投标所使用的资格、信誉、业绩与企业认证必须为本法人所拥有。投标供应商投标所使用的采购项目实施人员必须为本法人员工（或必须为本法人或控股公司正式员工）。</w:t>
      </w:r>
    </w:p>
    <w:p>
      <w:pPr>
        <w:spacing w:line="500" w:lineRule="exact"/>
        <w:ind w:firstLine="480" w:firstLineChars="200"/>
        <w:rPr>
          <w:rFonts w:ascii="宋体" w:hAnsi="宋体" w:cs="仿宋"/>
          <w:sz w:val="24"/>
        </w:rPr>
      </w:pPr>
      <w:r>
        <w:rPr>
          <w:rFonts w:hint="eastAsia" w:ascii="宋体" w:hAnsi="宋体" w:cs="仿宋"/>
          <w:sz w:val="24"/>
        </w:rPr>
        <w:t>▲3、投标供应商应仔细阅读招标文件的所有内容，按照招标文件的要求提交投标文件，并对所提供的全部资料的真实性承担法律责任。</w:t>
      </w:r>
    </w:p>
    <w:p>
      <w:pPr>
        <w:spacing w:line="500" w:lineRule="exact"/>
        <w:ind w:firstLine="480" w:firstLineChars="200"/>
        <w:rPr>
          <w:rFonts w:ascii="宋体" w:hAnsi="宋体" w:cs="仿宋"/>
          <w:sz w:val="24"/>
        </w:rPr>
      </w:pPr>
      <w:r>
        <w:rPr>
          <w:rFonts w:hint="eastAsia" w:ascii="宋体" w:hAnsi="宋体" w:cs="仿宋"/>
          <w:sz w:val="24"/>
        </w:rPr>
        <w:t>▲4、投标供应商在投标活动中提供任何虚假材料,其投标无效，并报监管部门查处中标后发现的,中标人须依照《中华人民共和国消费者权益保护法》第49条之规定双倍赔偿采购单位，且民事赔偿并不免除违法投标供应商的行政与刑事责任。</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（九）质疑和投诉</w:t>
      </w:r>
    </w:p>
    <w:p>
      <w:pPr>
        <w:spacing w:line="500" w:lineRule="exact"/>
        <w:ind w:firstLine="480" w:firstLineChars="200"/>
        <w:rPr>
          <w:rFonts w:ascii="宋体" w:hAnsi="宋体" w:cs="仿宋"/>
          <w:sz w:val="24"/>
        </w:rPr>
      </w:pPr>
      <w:r>
        <w:rPr>
          <w:rFonts w:hint="eastAsia" w:ascii="宋体" w:hAnsi="宋体" w:cs="仿宋"/>
          <w:sz w:val="24"/>
        </w:rPr>
        <w:t>1、投标供应商认为招标文件、招标过程或中标结果使自己的合法权益受到损害的，应当在知道或者应知其权益受到损害之日起七个工作日内，以书面形式向采购单位、招标方提出质疑。投标供应商对招标采购单位的质疑答复不满意或者招标采购单位未在规定时间内作出答复的，可以在答复期满后十五个工作日内向同级采购监管部门投诉。</w:t>
      </w:r>
    </w:p>
    <w:p>
      <w:pPr>
        <w:spacing w:line="500" w:lineRule="exact"/>
        <w:ind w:firstLine="480" w:firstLineChars="200"/>
        <w:rPr>
          <w:rFonts w:ascii="宋体" w:hAnsi="宋体" w:cs="仿宋"/>
          <w:sz w:val="24"/>
        </w:rPr>
      </w:pPr>
      <w:r>
        <w:rPr>
          <w:rFonts w:hint="eastAsia" w:ascii="宋体" w:hAnsi="宋体" w:cs="仿宋"/>
          <w:sz w:val="24"/>
        </w:rPr>
        <w:t>2、提出质疑的投标供应商（以下简称质疑投标供应商）应当是参与所质疑项目采购活动的投标供应商。</w:t>
      </w:r>
    </w:p>
    <w:p>
      <w:pPr>
        <w:spacing w:line="500" w:lineRule="exact"/>
        <w:ind w:firstLine="480" w:firstLineChars="200"/>
        <w:rPr>
          <w:rFonts w:ascii="宋体" w:hAnsi="宋体" w:cs="仿宋"/>
          <w:sz w:val="24"/>
        </w:rPr>
      </w:pPr>
      <w:r>
        <w:rPr>
          <w:rFonts w:hint="eastAsia" w:ascii="宋体" w:hAnsi="宋体" w:cs="仿宋"/>
          <w:sz w:val="24"/>
        </w:rPr>
        <w:t>潜在投标供应商已依法获取其可质疑的招标文件的，可以对该文件提出质疑。对招标文件提出质疑的，应当在获取招标文件或者招标文件公告期限届满之日起7个工作日内提出。</w:t>
      </w:r>
    </w:p>
    <w:p>
      <w:pPr>
        <w:spacing w:line="500" w:lineRule="exact"/>
        <w:ind w:firstLine="480" w:firstLineChars="200"/>
        <w:rPr>
          <w:rFonts w:ascii="宋体" w:hAnsi="宋体" w:cs="仿宋"/>
          <w:sz w:val="24"/>
        </w:rPr>
      </w:pPr>
      <w:r>
        <w:rPr>
          <w:rFonts w:hint="eastAsia" w:ascii="宋体" w:hAnsi="宋体" w:cs="仿宋"/>
          <w:sz w:val="24"/>
        </w:rPr>
        <w:t>3、投标供应商提出质疑应当提交质疑函和必要的证明材料。质疑函应当包括下列内容：</w:t>
      </w:r>
    </w:p>
    <w:p>
      <w:pPr>
        <w:spacing w:line="500" w:lineRule="exact"/>
        <w:ind w:firstLine="480" w:firstLineChars="200"/>
        <w:rPr>
          <w:rFonts w:ascii="宋体" w:hAnsi="宋体" w:cs="仿宋"/>
          <w:sz w:val="24"/>
        </w:rPr>
      </w:pPr>
      <w:r>
        <w:rPr>
          <w:rFonts w:hint="eastAsia" w:ascii="宋体" w:hAnsi="宋体" w:cs="仿宋"/>
          <w:sz w:val="24"/>
        </w:rPr>
        <w:t>（1）投标供应商的姓名或者名称、地址、邮编、联系人及联系电话；</w:t>
      </w:r>
    </w:p>
    <w:p>
      <w:pPr>
        <w:spacing w:line="500" w:lineRule="exact"/>
        <w:ind w:firstLine="480" w:firstLineChars="200"/>
        <w:rPr>
          <w:rFonts w:ascii="宋体" w:hAnsi="宋体" w:cs="仿宋"/>
          <w:sz w:val="24"/>
        </w:rPr>
      </w:pPr>
      <w:r>
        <w:rPr>
          <w:rFonts w:hint="eastAsia" w:ascii="宋体" w:hAnsi="宋体" w:cs="仿宋"/>
          <w:sz w:val="24"/>
        </w:rPr>
        <w:t>（2）质疑项目的名称、编号；</w:t>
      </w:r>
    </w:p>
    <w:p>
      <w:pPr>
        <w:spacing w:line="500" w:lineRule="exact"/>
        <w:ind w:firstLine="480" w:firstLineChars="200"/>
        <w:rPr>
          <w:rFonts w:ascii="宋体" w:hAnsi="宋体" w:cs="仿宋"/>
          <w:sz w:val="24"/>
        </w:rPr>
      </w:pPr>
      <w:r>
        <w:rPr>
          <w:rFonts w:hint="eastAsia" w:ascii="宋体" w:hAnsi="宋体" w:cs="仿宋"/>
          <w:sz w:val="24"/>
        </w:rPr>
        <w:t>（3）具体、明确的质疑事项和与质疑事项相关的请求；</w:t>
      </w:r>
    </w:p>
    <w:p>
      <w:pPr>
        <w:spacing w:line="500" w:lineRule="exact"/>
        <w:ind w:firstLine="480" w:firstLineChars="200"/>
        <w:rPr>
          <w:rFonts w:ascii="宋体" w:hAnsi="宋体" w:cs="仿宋"/>
          <w:sz w:val="24"/>
        </w:rPr>
      </w:pPr>
      <w:r>
        <w:rPr>
          <w:rFonts w:hint="eastAsia" w:ascii="宋体" w:hAnsi="宋体" w:cs="仿宋"/>
          <w:sz w:val="24"/>
        </w:rPr>
        <w:t>（4）事实依据；</w:t>
      </w:r>
    </w:p>
    <w:p>
      <w:pPr>
        <w:spacing w:line="500" w:lineRule="exact"/>
        <w:ind w:firstLine="480" w:firstLineChars="200"/>
        <w:rPr>
          <w:rFonts w:ascii="宋体" w:hAnsi="宋体" w:cs="仿宋"/>
          <w:sz w:val="24"/>
        </w:rPr>
      </w:pPr>
      <w:r>
        <w:rPr>
          <w:rFonts w:hint="eastAsia" w:ascii="宋体" w:hAnsi="宋体" w:cs="仿宋"/>
          <w:sz w:val="24"/>
        </w:rPr>
        <w:t>（5）必要的法律依据；</w:t>
      </w:r>
    </w:p>
    <w:p>
      <w:pPr>
        <w:spacing w:line="500" w:lineRule="exact"/>
        <w:ind w:firstLine="480" w:firstLineChars="200"/>
        <w:rPr>
          <w:rFonts w:ascii="宋体" w:hAnsi="宋体" w:cs="仿宋"/>
          <w:sz w:val="24"/>
        </w:rPr>
      </w:pPr>
      <w:r>
        <w:rPr>
          <w:rFonts w:hint="eastAsia" w:ascii="宋体" w:hAnsi="宋体" w:cs="仿宋"/>
          <w:sz w:val="24"/>
        </w:rPr>
        <w:t>（6）提出质疑的日期。</w:t>
      </w:r>
    </w:p>
    <w:p>
      <w:pPr>
        <w:spacing w:line="500" w:lineRule="exact"/>
        <w:ind w:firstLine="480" w:firstLineChars="200"/>
        <w:rPr>
          <w:rFonts w:ascii="宋体" w:hAnsi="宋体" w:cs="仿宋"/>
          <w:sz w:val="24"/>
        </w:rPr>
      </w:pPr>
      <w:r>
        <w:rPr>
          <w:rFonts w:hint="eastAsia" w:ascii="宋体" w:hAnsi="宋体" w:cs="仿宋"/>
          <w:sz w:val="24"/>
        </w:rPr>
        <w:t>投标供应商为自然人的，应当由本人签字；投标供应商为法人或者其他组织的，应当由法定代表人、主要负责人，或者其授权代表签字或者盖章，并加盖公章。</w:t>
      </w:r>
    </w:p>
    <w:p>
      <w:pPr>
        <w:spacing w:line="500" w:lineRule="exact"/>
        <w:ind w:firstLine="480" w:firstLineChars="200"/>
        <w:rPr>
          <w:rFonts w:ascii="宋体" w:hAnsi="宋体" w:cs="仿宋"/>
          <w:sz w:val="24"/>
        </w:rPr>
      </w:pPr>
      <w:r>
        <w:rPr>
          <w:rFonts w:hint="eastAsia" w:ascii="宋体" w:hAnsi="宋体" w:cs="仿宋"/>
          <w:sz w:val="24"/>
        </w:rPr>
        <w:t>4、采购人、采购代理机构不得拒收质疑投标供应商在法定质疑期内发出的质疑函，应当在收到质疑函后7个工作日内作出答复，并以书面形式通知质疑投标供应商和其他有关投标供应商。</w:t>
      </w:r>
    </w:p>
    <w:p>
      <w:pPr>
        <w:spacing w:line="500" w:lineRule="exact"/>
        <w:ind w:firstLine="480" w:firstLineChars="200"/>
        <w:rPr>
          <w:rFonts w:ascii="宋体" w:hAnsi="宋体" w:cs="仿宋"/>
          <w:sz w:val="24"/>
        </w:rPr>
      </w:pPr>
      <w:r>
        <w:rPr>
          <w:rFonts w:hint="eastAsia" w:ascii="宋体" w:hAnsi="宋体" w:cs="仿宋"/>
          <w:sz w:val="24"/>
        </w:rPr>
        <w:t>5、投标供应商对评审过程、中标或者成交结果提出质疑的，采购人、采购代理机构可以组织原评标委员会、竞争性谈判小组、询价小组或者竞争性评标委员会协助答复质疑。</w:t>
      </w:r>
    </w:p>
    <w:p>
      <w:pPr>
        <w:spacing w:line="500" w:lineRule="exact"/>
        <w:ind w:firstLine="480" w:firstLineChars="200"/>
        <w:rPr>
          <w:rFonts w:ascii="宋体" w:hAnsi="宋体" w:cs="仿宋"/>
          <w:sz w:val="24"/>
        </w:rPr>
      </w:pPr>
      <w:r>
        <w:rPr>
          <w:rFonts w:hint="eastAsia" w:ascii="宋体" w:hAnsi="宋体" w:cs="仿宋"/>
          <w:sz w:val="24"/>
        </w:rPr>
        <w:t>6、质疑答复应当包括下列内容：</w:t>
      </w:r>
    </w:p>
    <w:p>
      <w:pPr>
        <w:spacing w:line="500" w:lineRule="exact"/>
        <w:ind w:firstLine="480" w:firstLineChars="200"/>
        <w:rPr>
          <w:rFonts w:ascii="宋体" w:hAnsi="宋体" w:cs="仿宋"/>
          <w:sz w:val="24"/>
        </w:rPr>
      </w:pPr>
      <w:r>
        <w:rPr>
          <w:rFonts w:hint="eastAsia" w:ascii="宋体" w:hAnsi="宋体" w:cs="仿宋"/>
          <w:sz w:val="24"/>
        </w:rPr>
        <w:t>（1）质疑投标供应商的姓名或者名称；</w:t>
      </w:r>
    </w:p>
    <w:p>
      <w:pPr>
        <w:spacing w:line="500" w:lineRule="exact"/>
        <w:ind w:firstLine="480" w:firstLineChars="200"/>
        <w:rPr>
          <w:rFonts w:ascii="宋体" w:hAnsi="宋体" w:cs="仿宋"/>
          <w:sz w:val="24"/>
        </w:rPr>
      </w:pPr>
      <w:r>
        <w:rPr>
          <w:rFonts w:hint="eastAsia" w:ascii="宋体" w:hAnsi="宋体" w:cs="仿宋"/>
          <w:sz w:val="24"/>
        </w:rPr>
        <w:t>（2）收到质疑函的日期、质疑项目名称及编号；</w:t>
      </w:r>
    </w:p>
    <w:p>
      <w:pPr>
        <w:spacing w:line="500" w:lineRule="exact"/>
        <w:ind w:firstLine="480" w:firstLineChars="200"/>
        <w:rPr>
          <w:rFonts w:ascii="宋体" w:hAnsi="宋体" w:cs="仿宋"/>
          <w:sz w:val="24"/>
        </w:rPr>
      </w:pPr>
      <w:r>
        <w:rPr>
          <w:rFonts w:hint="eastAsia" w:ascii="宋体" w:hAnsi="宋体" w:cs="仿宋"/>
          <w:sz w:val="24"/>
        </w:rPr>
        <w:t>（3）质疑事项、质疑答复的具体内容、事实依据和法律依据；</w:t>
      </w:r>
    </w:p>
    <w:p>
      <w:pPr>
        <w:spacing w:line="500" w:lineRule="exact"/>
        <w:ind w:firstLine="480" w:firstLineChars="200"/>
        <w:rPr>
          <w:rFonts w:ascii="宋体" w:hAnsi="宋体" w:cs="仿宋"/>
          <w:sz w:val="24"/>
        </w:rPr>
      </w:pPr>
      <w:r>
        <w:rPr>
          <w:rFonts w:hint="eastAsia" w:ascii="宋体" w:hAnsi="宋体" w:cs="仿宋"/>
          <w:sz w:val="24"/>
        </w:rPr>
        <w:t>（4）告知质疑投标供应商依法投诉的权利；</w:t>
      </w:r>
    </w:p>
    <w:p>
      <w:pPr>
        <w:spacing w:line="500" w:lineRule="exact"/>
        <w:ind w:firstLine="480" w:firstLineChars="200"/>
        <w:rPr>
          <w:rFonts w:ascii="宋体" w:hAnsi="宋体" w:cs="仿宋"/>
          <w:sz w:val="24"/>
        </w:rPr>
      </w:pPr>
      <w:r>
        <w:rPr>
          <w:rFonts w:hint="eastAsia" w:ascii="宋体" w:hAnsi="宋体" w:cs="仿宋"/>
          <w:sz w:val="24"/>
        </w:rPr>
        <w:t>（5）质疑答复人名称；</w:t>
      </w:r>
    </w:p>
    <w:p>
      <w:pPr>
        <w:spacing w:line="500" w:lineRule="exact"/>
        <w:ind w:firstLine="480" w:firstLineChars="200"/>
        <w:rPr>
          <w:rFonts w:ascii="宋体" w:hAnsi="宋体" w:cs="仿宋"/>
          <w:sz w:val="24"/>
        </w:rPr>
      </w:pPr>
      <w:r>
        <w:rPr>
          <w:rFonts w:hint="eastAsia" w:ascii="宋体" w:hAnsi="宋体" w:cs="仿宋"/>
          <w:sz w:val="24"/>
        </w:rPr>
        <w:t>（6）答复质疑的日期。</w:t>
      </w:r>
    </w:p>
    <w:p>
      <w:pPr>
        <w:spacing w:line="500" w:lineRule="exact"/>
        <w:ind w:firstLine="480" w:firstLineChars="200"/>
        <w:rPr>
          <w:rFonts w:ascii="宋体" w:hAnsi="宋体" w:cs="仿宋"/>
          <w:sz w:val="24"/>
        </w:rPr>
      </w:pPr>
      <w:r>
        <w:rPr>
          <w:rFonts w:hint="eastAsia" w:ascii="宋体" w:hAnsi="宋体" w:cs="仿宋"/>
          <w:sz w:val="24"/>
        </w:rPr>
        <w:t>质疑答复的内容不得涉及商业秘密。</w:t>
      </w:r>
    </w:p>
    <w:p>
      <w:pPr>
        <w:spacing w:line="500" w:lineRule="exact"/>
        <w:ind w:firstLine="480" w:firstLineChars="200"/>
        <w:rPr>
          <w:rFonts w:ascii="宋体" w:hAnsi="宋体" w:cs="仿宋"/>
          <w:sz w:val="24"/>
        </w:rPr>
      </w:pPr>
      <w:r>
        <w:rPr>
          <w:rFonts w:hint="eastAsia" w:ascii="宋体" w:hAnsi="宋体" w:cs="仿宋"/>
          <w:sz w:val="24"/>
        </w:rPr>
        <w:t>7、采购人、采购代理机构认为投标供应商质疑不成立，或者成立但未对中标、成交结果构成影响的，继续开展采购活动；认为投标供应商质疑成立且影响或者可能影响中标、成交结果的，按照下列情况处理：</w:t>
      </w:r>
    </w:p>
    <w:p>
      <w:pPr>
        <w:spacing w:line="500" w:lineRule="exact"/>
        <w:ind w:firstLine="480" w:firstLineChars="200"/>
        <w:rPr>
          <w:rFonts w:ascii="宋体" w:hAnsi="宋体" w:cs="仿宋"/>
          <w:sz w:val="24"/>
        </w:rPr>
      </w:pPr>
      <w:r>
        <w:rPr>
          <w:rFonts w:hint="eastAsia" w:ascii="宋体" w:hAnsi="宋体" w:cs="仿宋"/>
          <w:sz w:val="24"/>
        </w:rPr>
        <w:t>（1）对招标文件提出的质疑，依法通过澄清或者修改可以继续开展采购活动的，澄清或者修改招标文件后继续开展采购活动；否则应当修改招标文件后重新开展采购活动。</w:t>
      </w:r>
    </w:p>
    <w:p>
      <w:pPr>
        <w:spacing w:line="500" w:lineRule="exact"/>
        <w:ind w:firstLine="480" w:firstLineChars="200"/>
        <w:rPr>
          <w:rFonts w:ascii="宋体" w:hAnsi="宋体" w:cs="仿宋"/>
          <w:sz w:val="24"/>
        </w:rPr>
      </w:pPr>
      <w:r>
        <w:rPr>
          <w:rFonts w:hint="eastAsia" w:ascii="宋体" w:hAnsi="宋体" w:cs="仿宋"/>
          <w:sz w:val="24"/>
        </w:rPr>
        <w:t>（2）对采购过程、中标或者成交结果提出的质疑，合格投标供应商符合法定数量时，可以从合格的中标或者成交候选人中另行确定中标、成交投标供应商的，应当依法另行确定中标、成交投标供应商；否则应当重新开展采购活动。</w:t>
      </w:r>
    </w:p>
    <w:p>
      <w:pPr>
        <w:spacing w:line="500" w:lineRule="exact"/>
        <w:ind w:firstLine="480" w:firstLineChars="200"/>
        <w:rPr>
          <w:rFonts w:ascii="宋体" w:hAnsi="宋体" w:cs="仿宋"/>
          <w:sz w:val="24"/>
        </w:rPr>
      </w:pPr>
      <w:r>
        <w:rPr>
          <w:rFonts w:hint="eastAsia" w:ascii="宋体" w:hAnsi="宋体" w:cs="仿宋"/>
          <w:sz w:val="24"/>
        </w:rPr>
        <w:t>质疑答复导致中标、成交结果改变的，采购人或者采购代理机构应当将有关情况书面报告本级财政部门。</w:t>
      </w:r>
    </w:p>
    <w:p>
      <w:pPr>
        <w:spacing w:line="500" w:lineRule="exact"/>
        <w:jc w:val="center"/>
        <w:outlineLvl w:val="1"/>
        <w:rPr>
          <w:rFonts w:ascii="宋体" w:hAnsi="宋体" w:cs="仿宋"/>
          <w:b/>
          <w:sz w:val="32"/>
          <w:szCs w:val="32"/>
        </w:rPr>
      </w:pPr>
      <w:bookmarkStart w:id="22" w:name="_Toc13309"/>
      <w:r>
        <w:rPr>
          <w:rFonts w:hint="eastAsia" w:ascii="宋体" w:hAnsi="宋体" w:cs="仿宋"/>
          <w:b/>
          <w:sz w:val="32"/>
          <w:szCs w:val="32"/>
        </w:rPr>
        <w:t>二、招标文件</w:t>
      </w:r>
      <w:bookmarkEnd w:id="22"/>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（一）招标文件的构成。本招标文件由以下部份组成：</w:t>
      </w:r>
    </w:p>
    <w:p>
      <w:pPr>
        <w:snapToGrid w:val="0"/>
        <w:spacing w:line="500" w:lineRule="exact"/>
        <w:ind w:firstLine="480" w:firstLineChars="200"/>
        <w:rPr>
          <w:rFonts w:ascii="宋体" w:hAnsi="宋体" w:cs="仿宋"/>
          <w:sz w:val="24"/>
        </w:rPr>
      </w:pPr>
      <w:r>
        <w:rPr>
          <w:rFonts w:hint="eastAsia" w:ascii="宋体" w:hAnsi="宋体" w:cs="仿宋"/>
          <w:sz w:val="24"/>
        </w:rPr>
        <w:t>1、招标公告</w:t>
      </w:r>
    </w:p>
    <w:p>
      <w:pPr>
        <w:snapToGrid w:val="0"/>
        <w:spacing w:line="500" w:lineRule="exact"/>
        <w:ind w:firstLine="480" w:firstLineChars="200"/>
        <w:rPr>
          <w:rFonts w:ascii="宋体" w:hAnsi="宋体" w:cs="仿宋"/>
          <w:sz w:val="24"/>
        </w:rPr>
      </w:pPr>
      <w:r>
        <w:rPr>
          <w:rFonts w:hint="eastAsia" w:ascii="宋体" w:hAnsi="宋体" w:cs="仿宋"/>
          <w:sz w:val="24"/>
        </w:rPr>
        <w:t>2、招标需求</w:t>
      </w:r>
    </w:p>
    <w:p>
      <w:pPr>
        <w:snapToGrid w:val="0"/>
        <w:spacing w:line="500" w:lineRule="exact"/>
        <w:ind w:firstLine="480" w:firstLineChars="200"/>
        <w:rPr>
          <w:rFonts w:ascii="宋体" w:hAnsi="宋体" w:cs="仿宋"/>
          <w:sz w:val="24"/>
        </w:rPr>
      </w:pPr>
      <w:r>
        <w:rPr>
          <w:rFonts w:hint="eastAsia" w:ascii="宋体" w:hAnsi="宋体" w:cs="仿宋"/>
          <w:sz w:val="24"/>
        </w:rPr>
        <w:t>3、投标供应商须知</w:t>
      </w:r>
    </w:p>
    <w:p>
      <w:pPr>
        <w:snapToGrid w:val="0"/>
        <w:spacing w:line="500" w:lineRule="exact"/>
        <w:ind w:firstLine="480" w:firstLineChars="200"/>
        <w:rPr>
          <w:rFonts w:ascii="宋体" w:hAnsi="宋体" w:cs="仿宋"/>
          <w:sz w:val="24"/>
        </w:rPr>
      </w:pPr>
      <w:r>
        <w:rPr>
          <w:rFonts w:hint="eastAsia" w:ascii="宋体" w:hAnsi="宋体" w:cs="仿宋"/>
          <w:sz w:val="24"/>
        </w:rPr>
        <w:t>4、评标办法及标准</w:t>
      </w:r>
    </w:p>
    <w:p>
      <w:pPr>
        <w:snapToGrid w:val="0"/>
        <w:spacing w:line="500" w:lineRule="exact"/>
        <w:ind w:firstLine="480" w:firstLineChars="200"/>
        <w:rPr>
          <w:rFonts w:ascii="宋体" w:hAnsi="宋体" w:cs="仿宋"/>
          <w:sz w:val="24"/>
        </w:rPr>
      </w:pPr>
      <w:r>
        <w:rPr>
          <w:rFonts w:hint="eastAsia" w:ascii="宋体" w:hAnsi="宋体" w:cs="仿宋"/>
          <w:sz w:val="24"/>
        </w:rPr>
        <w:t>5、合同主要条款</w:t>
      </w:r>
    </w:p>
    <w:p>
      <w:pPr>
        <w:snapToGrid w:val="0"/>
        <w:spacing w:line="500" w:lineRule="exact"/>
        <w:ind w:firstLine="480" w:firstLineChars="200"/>
        <w:rPr>
          <w:rFonts w:ascii="宋体" w:hAnsi="宋体" w:cs="仿宋"/>
          <w:sz w:val="24"/>
        </w:rPr>
      </w:pPr>
      <w:r>
        <w:rPr>
          <w:rFonts w:hint="eastAsia" w:ascii="宋体" w:hAnsi="宋体" w:cs="仿宋"/>
          <w:sz w:val="24"/>
        </w:rPr>
        <w:t>6、投标文件格式</w:t>
      </w:r>
    </w:p>
    <w:p>
      <w:pPr>
        <w:snapToGrid w:val="0"/>
        <w:spacing w:line="500" w:lineRule="exact"/>
        <w:ind w:firstLine="480" w:firstLineChars="200"/>
        <w:rPr>
          <w:rFonts w:ascii="宋体" w:hAnsi="宋体" w:cs="仿宋"/>
          <w:sz w:val="24"/>
        </w:rPr>
      </w:pPr>
      <w:r>
        <w:rPr>
          <w:rFonts w:hint="eastAsia" w:ascii="宋体" w:hAnsi="宋体" w:cs="仿宋"/>
          <w:sz w:val="24"/>
        </w:rPr>
        <w:t>7、本项目招标文件的澄清、答复、修改、补充的内容</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（二）投标供应商的风险</w:t>
      </w:r>
    </w:p>
    <w:p>
      <w:pPr>
        <w:snapToGrid w:val="0"/>
        <w:spacing w:line="500" w:lineRule="exact"/>
        <w:ind w:firstLine="480" w:firstLineChars="200"/>
        <w:rPr>
          <w:rFonts w:ascii="宋体" w:hAnsi="宋体" w:cs="仿宋"/>
          <w:sz w:val="24"/>
        </w:rPr>
      </w:pPr>
      <w:r>
        <w:rPr>
          <w:rFonts w:hint="eastAsia" w:ascii="宋体" w:hAnsi="宋体" w:cs="仿宋"/>
          <w:sz w:val="24"/>
        </w:rPr>
        <w:t>投标供应商没有按照招标文件要求提供全部资料，或者投标供应商没有对招标文件在各方面作出实质性响应是投标供应商的风险，并可能导致其投标被拒绝。</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（三）招标文件的澄清与修改</w:t>
      </w:r>
    </w:p>
    <w:p>
      <w:pPr>
        <w:snapToGrid w:val="0"/>
        <w:spacing w:line="500" w:lineRule="exact"/>
        <w:ind w:firstLine="480" w:firstLineChars="200"/>
        <w:rPr>
          <w:rFonts w:ascii="宋体" w:hAnsi="宋体" w:cs="仿宋"/>
          <w:sz w:val="24"/>
        </w:rPr>
      </w:pPr>
      <w:r>
        <w:rPr>
          <w:rFonts w:hint="eastAsia" w:ascii="宋体" w:hAnsi="宋体" w:cs="仿宋"/>
          <w:sz w:val="24"/>
        </w:rPr>
        <w:t>1、投标供应商应认真阅读本招标文件，发现本文件表述不清晰、存在歧视性、排他性或者其他违法内容的，应当于</w:t>
      </w:r>
      <w:r>
        <w:rPr>
          <w:rFonts w:hint="eastAsia" w:ascii="宋体" w:hAnsi="宋体" w:cs="仿宋"/>
          <w:b/>
          <w:bCs/>
          <w:sz w:val="24"/>
          <w:u w:val="single"/>
        </w:rPr>
        <w:t>采购文件发布后7个工作日内</w:t>
      </w:r>
      <w:r>
        <w:rPr>
          <w:rFonts w:hint="eastAsia" w:ascii="宋体" w:hAnsi="宋体" w:cs="仿宋"/>
          <w:sz w:val="24"/>
        </w:rPr>
        <w:t>，一次性以书面形式要求招标采购单位作出书面解释、澄清或者向招标采购单位提出书面质疑。招标采购单位对已发出的招标文件进行必要澄清、答复、修改或补充的，应当在招标文件要求提交投标文件截止时间三日前，</w:t>
      </w:r>
      <w:r>
        <w:rPr>
          <w:rFonts w:hint="eastAsia" w:ascii="宋体" w:hAnsi="宋体" w:cs="Arial"/>
          <w:b/>
          <w:kern w:val="0"/>
          <w:sz w:val="24"/>
          <w:szCs w:val="22"/>
        </w:rPr>
        <w:t>在财政部门指定的政府采购信息发布媒体上发布澄清或</w:t>
      </w:r>
      <w:r>
        <w:rPr>
          <w:rFonts w:ascii="宋体" w:hAnsi="宋体" w:cs="Arial"/>
          <w:b/>
          <w:kern w:val="0"/>
          <w:sz w:val="24"/>
          <w:szCs w:val="22"/>
        </w:rPr>
        <w:t>更正公告，并以</w:t>
      </w:r>
      <w:r>
        <w:rPr>
          <w:rFonts w:hint="eastAsia" w:ascii="宋体" w:hAnsi="宋体" w:cs="Arial"/>
          <w:b/>
          <w:kern w:val="0"/>
          <w:sz w:val="24"/>
          <w:szCs w:val="22"/>
        </w:rPr>
        <w:t>传真或邮件（原文扫描件）或网上公告等形式告知所有已登记获取采购文件的投标供应商</w:t>
      </w:r>
      <w:r>
        <w:rPr>
          <w:rFonts w:hint="eastAsia" w:ascii="宋体" w:hAnsi="宋体" w:cs="仿宋"/>
          <w:sz w:val="24"/>
        </w:rPr>
        <w:t>。</w:t>
      </w:r>
    </w:p>
    <w:p>
      <w:pPr>
        <w:snapToGrid w:val="0"/>
        <w:spacing w:line="500" w:lineRule="exact"/>
        <w:ind w:firstLine="480" w:firstLineChars="200"/>
        <w:rPr>
          <w:rFonts w:ascii="宋体" w:hAnsi="宋体" w:cs="仿宋"/>
          <w:sz w:val="24"/>
        </w:rPr>
      </w:pPr>
      <w:r>
        <w:rPr>
          <w:rFonts w:hint="eastAsia" w:ascii="宋体" w:hAnsi="宋体" w:cs="仿宋"/>
          <w:sz w:val="24"/>
        </w:rPr>
        <w:t>2、招标采购单位必须以传真或邮件（原文扫描件）或网上公告等答复投标供应商要求澄清的问题，并将不包含问题来源的答复以此形式通知所有获取招标文件的投标供应商；除传真或邮件（原文扫描件）或网上公告形式答复以外的其他澄清方式及澄清内容均无效。</w:t>
      </w:r>
    </w:p>
    <w:p>
      <w:pPr>
        <w:snapToGrid w:val="0"/>
        <w:spacing w:line="500" w:lineRule="exact"/>
        <w:ind w:firstLine="480" w:firstLineChars="200"/>
        <w:rPr>
          <w:rFonts w:ascii="宋体" w:hAnsi="宋体" w:cs="仿宋"/>
          <w:sz w:val="24"/>
        </w:rPr>
      </w:pPr>
      <w:r>
        <w:rPr>
          <w:rFonts w:hint="eastAsia" w:ascii="宋体" w:hAnsi="宋体" w:cs="仿宋"/>
          <w:sz w:val="24"/>
        </w:rPr>
        <w:t>3、招标文件澄清、答复、修改、补充的内容为招标文件的组成部分。当招标文件与招标文件的答复、澄清、修改、补充通知就同一内容的表述不一致时，以最后发出的文件为准。</w:t>
      </w:r>
    </w:p>
    <w:p>
      <w:pPr>
        <w:snapToGrid w:val="0"/>
        <w:spacing w:line="500" w:lineRule="exact"/>
        <w:ind w:firstLine="480" w:firstLineChars="200"/>
        <w:rPr>
          <w:rFonts w:ascii="宋体" w:hAnsi="宋体" w:cs="仿宋"/>
          <w:sz w:val="24"/>
        </w:rPr>
      </w:pPr>
      <w:r>
        <w:rPr>
          <w:rFonts w:hint="eastAsia" w:ascii="宋体" w:hAnsi="宋体" w:cs="仿宋"/>
          <w:sz w:val="24"/>
        </w:rPr>
        <w:t>4、招标文件的澄清、答复、修改或补充都应该通过本招标机构以法定形式发布，采购单位非通过本机构，不得擅自澄清、答复、修改或补充招标文件。</w:t>
      </w:r>
    </w:p>
    <w:p>
      <w:pPr>
        <w:spacing w:line="500" w:lineRule="exact"/>
        <w:jc w:val="center"/>
        <w:outlineLvl w:val="1"/>
        <w:rPr>
          <w:rFonts w:ascii="宋体" w:hAnsi="宋体" w:cs="仿宋"/>
          <w:sz w:val="24"/>
        </w:rPr>
      </w:pPr>
      <w:bookmarkStart w:id="23" w:name="_Toc3451"/>
      <w:r>
        <w:rPr>
          <w:rFonts w:hint="eastAsia" w:ascii="宋体" w:hAnsi="宋体" w:cs="仿宋"/>
          <w:b/>
          <w:sz w:val="32"/>
          <w:szCs w:val="32"/>
        </w:rPr>
        <w:t>三、投标文件的编制</w:t>
      </w:r>
      <w:bookmarkEnd w:id="23"/>
    </w:p>
    <w:p>
      <w:pPr>
        <w:numPr>
          <w:ilvl w:val="0"/>
          <w:numId w:val="5"/>
        </w:numPr>
        <w:snapToGrid w:val="0"/>
        <w:spacing w:line="360" w:lineRule="auto"/>
        <w:ind w:firstLine="482" w:firstLineChars="200"/>
        <w:outlineLvl w:val="2"/>
        <w:rPr>
          <w:rFonts w:ascii="宋体" w:hAnsi="宋体" w:cs="仿宋"/>
          <w:b/>
          <w:sz w:val="24"/>
        </w:rPr>
      </w:pPr>
      <w:r>
        <w:rPr>
          <w:rFonts w:hint="eastAsia" w:ascii="宋体" w:hAnsi="宋体" w:cs="仿宋"/>
          <w:b/>
          <w:sz w:val="24"/>
        </w:rPr>
        <w:t>投标文件的组成</w:t>
      </w:r>
    </w:p>
    <w:p>
      <w:pPr>
        <w:snapToGrid w:val="0"/>
        <w:spacing w:line="500" w:lineRule="exact"/>
        <w:ind w:firstLine="560" w:firstLineChars="200"/>
      </w:pPr>
      <w:r>
        <w:rPr>
          <w:rFonts w:hint="eastAsia"/>
        </w:rPr>
        <w:t xml:space="preserve">  </w:t>
      </w:r>
      <w:r>
        <w:rPr>
          <w:rFonts w:hint="eastAsia" w:ascii="宋体" w:hAnsi="宋体" w:cs="宋体"/>
          <w:sz w:val="24"/>
        </w:rPr>
        <w:t>投标文件（包括电子投标文件及数据电子备份投标文件）由《资格文件》、《商务技术文件》和《报价文件》组成，</w:t>
      </w:r>
      <w:r>
        <w:rPr>
          <w:rFonts w:hint="eastAsia" w:ascii="宋体" w:hAnsi="宋体" w:cs="宋体"/>
          <w:b/>
          <w:bCs/>
          <w:sz w:val="24"/>
        </w:rPr>
        <w:t>其中电子投标文件中所须加盖公章部分均采用 CA 签章。</w:t>
      </w:r>
    </w:p>
    <w:p>
      <w:pPr>
        <w:numPr>
          <w:ilvl w:val="0"/>
          <w:numId w:val="6"/>
        </w:numPr>
        <w:snapToGrid w:val="0"/>
        <w:spacing w:line="360" w:lineRule="auto"/>
        <w:ind w:firstLine="482" w:firstLineChars="200"/>
        <w:outlineLvl w:val="3"/>
        <w:rPr>
          <w:rFonts w:ascii="宋体" w:hAnsi="Courier New" w:cs="Courier New"/>
          <w:b/>
          <w:bCs/>
          <w:sz w:val="24"/>
          <w:szCs w:val="21"/>
        </w:rPr>
      </w:pPr>
      <w:r>
        <w:rPr>
          <w:rFonts w:hint="eastAsia" w:ascii="宋体" w:hAnsi="Courier New" w:cs="Courier New"/>
          <w:b/>
          <w:bCs/>
          <w:sz w:val="24"/>
          <w:szCs w:val="21"/>
        </w:rPr>
        <w:t>资格文件：</w:t>
      </w:r>
    </w:p>
    <w:p>
      <w:pPr>
        <w:pStyle w:val="57"/>
        <w:spacing w:line="360" w:lineRule="auto"/>
        <w:rPr>
          <w:rFonts w:ascii="宋体" w:hAnsi="Courier New" w:cs="Courier New"/>
          <w:kern w:val="2"/>
          <w:sz w:val="24"/>
          <w:szCs w:val="21"/>
        </w:rPr>
      </w:pPr>
      <w:r>
        <w:rPr>
          <w:rFonts w:hint="eastAsia" w:ascii="宋体" w:hAnsi="Courier New" w:cs="Courier New"/>
          <w:kern w:val="2"/>
          <w:sz w:val="24"/>
          <w:szCs w:val="21"/>
        </w:rPr>
        <w:t xml:space="preserve">   </w:t>
      </w:r>
      <w:r>
        <w:rPr>
          <w:rFonts w:hint="eastAsia" w:ascii="宋体" w:hAnsi="宋体" w:eastAsia="宋体" w:cs="宋体"/>
          <w:kern w:val="2"/>
          <w:sz w:val="24"/>
          <w:szCs w:val="21"/>
        </w:rPr>
        <w:t xml:space="preserve"> （1）投标单位情况表；</w:t>
      </w:r>
    </w:p>
    <w:p>
      <w:pPr>
        <w:pStyle w:val="26"/>
        <w:spacing w:line="360" w:lineRule="auto"/>
        <w:ind w:firstLine="480" w:firstLineChars="200"/>
        <w:rPr>
          <w:rFonts w:hint="eastAsia" w:eastAsia="宋体"/>
          <w:sz w:val="24"/>
          <w:lang w:eastAsia="zh-CN"/>
        </w:rPr>
      </w:pPr>
      <w:r>
        <w:rPr>
          <w:rFonts w:hint="eastAsia"/>
          <w:sz w:val="24"/>
        </w:rPr>
        <w:t>（2）有效的营业执照、税务登记证、组织机构代码证或“三证合一”的营业执照或“五证合一”的营业执照；</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（3）法定代表人或其授权代理人的授权证书及身份证明</w:t>
      </w:r>
      <w:r>
        <w:rPr>
          <w:rFonts w:hint="eastAsia" w:ascii="宋体" w:hAnsi="宋体" w:cs="宋体"/>
          <w:sz w:val="24"/>
          <w:lang w:eastAsia="zh-CN"/>
        </w:rPr>
        <w:t>；</w:t>
      </w:r>
    </w:p>
    <w:p>
      <w:pPr>
        <w:snapToGrid w:val="0"/>
        <w:spacing w:line="360" w:lineRule="auto"/>
        <w:ind w:firstLine="480" w:firstLineChars="200"/>
        <w:rPr>
          <w:rFonts w:ascii="宋体" w:hAnsi="宋体" w:cs="宋体"/>
          <w:kern w:val="0"/>
          <w:sz w:val="24"/>
        </w:rPr>
      </w:pPr>
      <w:r>
        <w:rPr>
          <w:rFonts w:hint="eastAsia" w:ascii="宋体" w:hAnsi="宋体" w:cs="宋体"/>
          <w:sz w:val="24"/>
        </w:rPr>
        <w:t>（4</w:t>
      </w:r>
      <w:r>
        <w:rPr>
          <w:rFonts w:hint="eastAsia" w:hAnsi="宋体" w:cs="Arial"/>
          <w:sz w:val="24"/>
        </w:rPr>
        <w:t>）</w:t>
      </w:r>
      <w:r>
        <w:rPr>
          <w:rFonts w:hint="eastAsia" w:ascii="宋体" w:hAnsi="宋体" w:cs="宋体"/>
          <w:sz w:val="24"/>
        </w:rPr>
        <w:t>授权代理人提供近三个月中任意一个月的社保证明；</w:t>
      </w:r>
    </w:p>
    <w:p>
      <w:pPr>
        <w:pStyle w:val="26"/>
        <w:spacing w:line="360" w:lineRule="auto"/>
        <w:ind w:firstLine="480" w:firstLineChars="200"/>
        <w:rPr>
          <w:rFonts w:hAnsi="宋体"/>
          <w:sz w:val="24"/>
        </w:rPr>
      </w:pPr>
      <w:r>
        <w:rPr>
          <w:rFonts w:hint="eastAsia" w:hAnsi="宋体"/>
          <w:sz w:val="24"/>
        </w:rPr>
        <w:t>（5</w:t>
      </w:r>
      <w:r>
        <w:rPr>
          <w:rFonts w:hAnsi="宋体"/>
          <w:sz w:val="24"/>
        </w:rPr>
        <w:t>）</w:t>
      </w:r>
      <w:r>
        <w:rPr>
          <w:rFonts w:hint="eastAsia" w:hAnsi="宋体"/>
          <w:sz w:val="24"/>
        </w:rPr>
        <w:t>最近一个季度供应商依法缴纳税收和社保费的证明[税费凭证复印件，或者依法缴纳税费或依法免缴税费的证明]</w:t>
      </w:r>
    </w:p>
    <w:p>
      <w:pPr>
        <w:pStyle w:val="26"/>
        <w:spacing w:line="360" w:lineRule="auto"/>
        <w:ind w:firstLine="480" w:firstLineChars="200"/>
        <w:rPr>
          <w:rFonts w:hint="eastAsia" w:ascii="宋体" w:hAnsi="宋体" w:eastAsia="宋体"/>
          <w:sz w:val="24"/>
        </w:rPr>
      </w:pPr>
      <w:r>
        <w:rPr>
          <w:rFonts w:hint="eastAsia" w:hAnsi="宋体"/>
          <w:sz w:val="24"/>
        </w:rPr>
        <w:t>（6）</w:t>
      </w:r>
      <w:r>
        <w:rPr>
          <w:rFonts w:hint="eastAsia"/>
          <w:sz w:val="24"/>
        </w:rPr>
        <w:t>提供自招标公告发布之日起至投标截止日前任意时间的“信用中国”网站（www.creditchina.gov.cn）、中国政府采购网（www.ccgp.gov.cn）供应商信用查询网页</w:t>
      </w:r>
      <w:r>
        <w:rPr>
          <w:rFonts w:hint="eastAsia" w:ascii="宋体" w:hAnsi="宋体" w:eastAsia="宋体"/>
          <w:sz w:val="24"/>
        </w:rPr>
        <w:t>截图；</w:t>
      </w:r>
    </w:p>
    <w:p>
      <w:pPr>
        <w:pStyle w:val="26"/>
        <w:spacing w:line="360" w:lineRule="auto"/>
        <w:ind w:firstLine="480" w:firstLineChars="200"/>
        <w:rPr>
          <w:rFonts w:hint="eastAsia" w:ascii="宋体" w:hAnsi="宋体" w:eastAsia="宋体"/>
          <w:sz w:val="24"/>
          <w:lang w:eastAsia="zh-CN"/>
        </w:rPr>
      </w:pPr>
      <w:r>
        <w:rPr>
          <w:rFonts w:hint="eastAsia" w:ascii="宋体" w:hAnsi="宋体" w:eastAsia="宋体"/>
          <w:sz w:val="24"/>
          <w:lang w:val="en-US" w:eastAsia="zh-CN"/>
        </w:rPr>
        <w:t>（7）</w:t>
      </w:r>
      <w:r>
        <w:rPr>
          <w:rFonts w:hint="eastAsia" w:ascii="宋体" w:hAnsi="宋体" w:eastAsia="宋体"/>
          <w:sz w:val="24"/>
        </w:rPr>
        <w:t>本项目专门面向中小企业采购,供应商应为中小企业，同时需提供《中小企业声明函》、网页证明资料</w:t>
      </w:r>
      <w:r>
        <w:rPr>
          <w:rFonts w:hint="eastAsia" w:ascii="宋体" w:hAnsi="宋体" w:eastAsia="宋体"/>
          <w:sz w:val="24"/>
          <w:lang w:eastAsia="zh-CN"/>
        </w:rPr>
        <w:t>；</w:t>
      </w:r>
    </w:p>
    <w:p>
      <w:pPr>
        <w:pStyle w:val="26"/>
        <w:spacing w:line="360" w:lineRule="auto"/>
        <w:ind w:firstLine="480" w:firstLineChars="200"/>
        <w:rPr>
          <w:rFonts w:hint="eastAsia" w:ascii="宋体" w:hAnsi="宋体" w:eastAsia="宋体"/>
          <w:sz w:val="24"/>
        </w:rPr>
      </w:pPr>
      <w:r>
        <w:rPr>
          <w:rFonts w:hint="eastAsia" w:ascii="宋体" w:hAnsi="宋体" w:eastAsia="宋体"/>
          <w:sz w:val="24"/>
        </w:rPr>
        <w:t>（</w:t>
      </w:r>
      <w:r>
        <w:rPr>
          <w:rFonts w:hint="eastAsia" w:ascii="宋体" w:hAnsi="宋体" w:eastAsia="宋体"/>
          <w:sz w:val="24"/>
          <w:lang w:val="en-US" w:eastAsia="zh-CN"/>
        </w:rPr>
        <w:t>8</w:t>
      </w:r>
      <w:r>
        <w:rPr>
          <w:rFonts w:hint="eastAsia" w:ascii="宋体" w:hAnsi="宋体" w:eastAsia="宋体"/>
          <w:sz w:val="24"/>
        </w:rPr>
        <w:t>）信用承诺书。</w:t>
      </w:r>
    </w:p>
    <w:p>
      <w:pPr>
        <w:spacing w:line="360" w:lineRule="auto"/>
        <w:ind w:firstLine="472" w:firstLineChars="196"/>
        <w:rPr>
          <w:rFonts w:hAnsi="宋体"/>
          <w:b/>
          <w:sz w:val="24"/>
        </w:rPr>
      </w:pPr>
      <w:r>
        <w:rPr>
          <w:rFonts w:hint="eastAsia" w:hAnsi="宋体"/>
          <w:b/>
          <w:sz w:val="24"/>
        </w:rPr>
        <w:t>2、技术、商务、资信及其他文件</w:t>
      </w:r>
    </w:p>
    <w:p>
      <w:pPr>
        <w:spacing w:line="360" w:lineRule="auto"/>
        <w:ind w:firstLine="480" w:firstLineChars="200"/>
        <w:rPr>
          <w:rFonts w:ascii="宋体" w:hAnsi="宋体" w:cs="宋体"/>
          <w:b/>
          <w:sz w:val="24"/>
        </w:rPr>
      </w:pPr>
      <w:r>
        <w:rPr>
          <w:rFonts w:hint="eastAsia" w:ascii="宋体" w:hAnsi="宋体" w:cs="宋体"/>
          <w:sz w:val="24"/>
        </w:rPr>
        <w:t>（1）评分索引表（格式见附件，主要用于评审委员会对应评分内容，包括商务部分、技术部分）</w:t>
      </w:r>
      <w:r>
        <w:rPr>
          <w:rFonts w:hint="eastAsia" w:ascii="宋体" w:hAnsi="宋体" w:cs="宋体"/>
          <w:b/>
          <w:sz w:val="24"/>
        </w:rPr>
        <w:t>；</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（2）项目整体实施方案；</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3</w:t>
      </w:r>
      <w:r>
        <w:rPr>
          <w:rFonts w:hint="eastAsia" w:asciiTheme="minorEastAsia" w:hAnsiTheme="minorEastAsia" w:eastAsiaTheme="minorEastAsia" w:cstheme="minorEastAsia"/>
          <w:b w:val="0"/>
          <w:bCs w:val="0"/>
          <w:kern w:val="0"/>
          <w:sz w:val="24"/>
          <w:szCs w:val="24"/>
          <w:lang w:eastAsia="zh-CN"/>
        </w:rPr>
        <w:t>）合理化建议；</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4</w:t>
      </w:r>
      <w:r>
        <w:rPr>
          <w:rFonts w:hint="eastAsia" w:asciiTheme="minorEastAsia" w:hAnsiTheme="minorEastAsia" w:eastAsiaTheme="minorEastAsia" w:cstheme="minorEastAsia"/>
          <w:b w:val="0"/>
          <w:bCs w:val="0"/>
          <w:kern w:val="0"/>
          <w:sz w:val="24"/>
          <w:szCs w:val="24"/>
          <w:lang w:eastAsia="zh-CN"/>
        </w:rPr>
        <w:t>）培训方案；</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5</w:t>
      </w:r>
      <w:r>
        <w:rPr>
          <w:rFonts w:hint="eastAsia" w:asciiTheme="minorEastAsia" w:hAnsiTheme="minorEastAsia" w:eastAsiaTheme="minorEastAsia" w:cstheme="minorEastAsia"/>
          <w:b w:val="0"/>
          <w:bCs w:val="0"/>
          <w:kern w:val="0"/>
          <w:sz w:val="24"/>
          <w:szCs w:val="24"/>
          <w:lang w:eastAsia="zh-CN"/>
        </w:rPr>
        <w:t>）投标声明书；</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6</w:t>
      </w:r>
      <w:r>
        <w:rPr>
          <w:rFonts w:hint="eastAsia" w:asciiTheme="minorEastAsia" w:hAnsiTheme="minorEastAsia" w:eastAsiaTheme="minorEastAsia" w:cstheme="minorEastAsia"/>
          <w:b w:val="0"/>
          <w:bCs w:val="0"/>
          <w:kern w:val="0"/>
          <w:sz w:val="24"/>
          <w:szCs w:val="24"/>
          <w:lang w:eastAsia="zh-CN"/>
        </w:rPr>
        <w:t>）企业业绩；</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7</w:t>
      </w:r>
      <w:r>
        <w:rPr>
          <w:rFonts w:hint="eastAsia" w:asciiTheme="minorEastAsia" w:hAnsiTheme="minorEastAsia" w:eastAsiaTheme="minorEastAsia" w:cstheme="minorEastAsia"/>
          <w:b w:val="0"/>
          <w:bCs w:val="0"/>
          <w:kern w:val="0"/>
          <w:sz w:val="24"/>
          <w:szCs w:val="24"/>
          <w:lang w:eastAsia="zh-CN"/>
        </w:rPr>
        <w:t>）企业综合实力；</w:t>
      </w:r>
    </w:p>
    <w:p>
      <w:pPr>
        <w:pStyle w:val="57"/>
        <w:spacing w:line="360" w:lineRule="auto"/>
        <w:ind w:firstLine="480" w:firstLineChars="200"/>
        <w:rPr>
          <w:rFonts w:hint="eastAsia" w:ascii="宋体" w:hAnsi="宋体" w:cs="宋体" w:eastAsiaTheme="minorEastAsia"/>
          <w:kern w:val="2"/>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8</w:t>
      </w:r>
      <w:r>
        <w:rPr>
          <w:rFonts w:hint="eastAsia" w:asciiTheme="minorEastAsia" w:hAnsiTheme="minorEastAsia" w:eastAsiaTheme="minorEastAsia" w:cstheme="minorEastAsia"/>
          <w:b w:val="0"/>
          <w:bCs w:val="0"/>
          <w:kern w:val="0"/>
          <w:sz w:val="24"/>
          <w:szCs w:val="24"/>
          <w:lang w:eastAsia="zh-CN"/>
        </w:rPr>
        <w:t>）项目总监能力</w:t>
      </w:r>
      <w:r>
        <w:rPr>
          <w:rFonts w:hint="eastAsia" w:asciiTheme="minorEastAsia" w:hAnsiTheme="minorEastAsia" w:eastAsiaTheme="minorEastAsia" w:cstheme="minorEastAsia"/>
          <w:b/>
          <w:bCs/>
          <w:kern w:val="0"/>
          <w:sz w:val="24"/>
          <w:szCs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）项目团队实力；</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eastAsia="zh-CN"/>
        </w:rPr>
        <w:t>售后</w:t>
      </w:r>
      <w:r>
        <w:rPr>
          <w:rFonts w:hint="eastAsia" w:ascii="宋体" w:hAnsi="宋体" w:cs="宋体"/>
          <w:sz w:val="24"/>
        </w:rPr>
        <w:t>服务</w:t>
      </w:r>
      <w:r>
        <w:rPr>
          <w:rFonts w:hint="eastAsia" w:ascii="宋体" w:hAnsi="宋体"/>
          <w:sz w:val="24"/>
        </w:rPr>
        <w:t>；</w:t>
      </w:r>
    </w:p>
    <w:p>
      <w:pPr>
        <w:spacing w:line="360" w:lineRule="auto"/>
        <w:ind w:firstLine="480" w:firstLineChars="200"/>
        <w:rPr>
          <w:rFonts w:hint="eastAsia" w:ascii="宋体" w:hAnsi="宋体" w:cs="宋体"/>
          <w:sz w:val="24"/>
          <w:lang w:eastAsia="zh-CN"/>
        </w:rPr>
      </w:pP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eastAsia="zh-CN"/>
        </w:rPr>
        <w:t>供应商</w:t>
      </w:r>
      <w:r>
        <w:rPr>
          <w:rFonts w:hint="eastAsia" w:ascii="宋体" w:hAnsi="宋体" w:cs="宋体"/>
          <w:sz w:val="24"/>
        </w:rPr>
        <w:t>市场行为信誉</w:t>
      </w:r>
      <w:r>
        <w:rPr>
          <w:rFonts w:hint="eastAsia" w:ascii="宋体" w:hAnsi="宋体" w:cs="宋体"/>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12</w:t>
      </w:r>
      <w:r>
        <w:rPr>
          <w:rFonts w:hint="eastAsia" w:ascii="宋体" w:hAnsi="宋体" w:cs="宋体"/>
          <w:sz w:val="24"/>
          <w:lang w:eastAsia="zh-CN"/>
        </w:rPr>
        <w:t>）</w:t>
      </w:r>
      <w:r>
        <w:rPr>
          <w:rFonts w:hint="eastAsia" w:ascii="宋体" w:hAnsi="宋体" w:cs="宋体"/>
          <w:sz w:val="24"/>
        </w:rPr>
        <w:t>商务响应表；</w:t>
      </w:r>
    </w:p>
    <w:p>
      <w:pPr>
        <w:spacing w:line="360" w:lineRule="auto"/>
        <w:ind w:firstLine="480" w:firstLineChars="200"/>
        <w:rPr>
          <w:rFonts w:hint="eastAsia" w:ascii="宋体" w:hAnsi="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）其</w:t>
      </w:r>
      <w:r>
        <w:rPr>
          <w:rFonts w:ascii="宋体" w:hAnsi="宋体"/>
          <w:sz w:val="24"/>
        </w:rPr>
        <w:t>他投标供应商认为有必要提供的资料</w:t>
      </w:r>
      <w:r>
        <w:rPr>
          <w:rFonts w:hint="eastAsia" w:ascii="宋体" w:hAnsi="宋体"/>
          <w:sz w:val="24"/>
        </w:rPr>
        <w:t>。</w:t>
      </w:r>
    </w:p>
    <w:p>
      <w:pPr>
        <w:pStyle w:val="20"/>
        <w:spacing w:line="360" w:lineRule="auto"/>
        <w:ind w:firstLine="482" w:firstLineChars="200"/>
        <w:rPr>
          <w:rFonts w:ascii="宋体"/>
          <w:b/>
          <w:sz w:val="24"/>
          <w:szCs w:val="24"/>
        </w:rPr>
      </w:pPr>
      <w:r>
        <w:rPr>
          <w:rFonts w:hint="eastAsia" w:ascii="宋体"/>
          <w:b/>
          <w:sz w:val="24"/>
          <w:szCs w:val="24"/>
        </w:rPr>
        <w:t>3、报价文件</w:t>
      </w:r>
    </w:p>
    <w:p>
      <w:pPr>
        <w:tabs>
          <w:tab w:val="left" w:pos="720"/>
        </w:tabs>
        <w:spacing w:line="360" w:lineRule="auto"/>
        <w:ind w:firstLine="480" w:firstLineChars="200"/>
        <w:rPr>
          <w:rFonts w:ascii="宋体" w:hAnsi="宋体"/>
          <w:sz w:val="24"/>
        </w:rPr>
      </w:pPr>
      <w:r>
        <w:rPr>
          <w:rFonts w:hint="eastAsia" w:ascii="宋体" w:hAnsi="宋体"/>
          <w:sz w:val="24"/>
        </w:rPr>
        <w:t>（1) 投标函；</w:t>
      </w:r>
    </w:p>
    <w:p>
      <w:pPr>
        <w:tabs>
          <w:tab w:val="left" w:pos="720"/>
        </w:tabs>
        <w:spacing w:line="360" w:lineRule="auto"/>
        <w:ind w:firstLine="480" w:firstLineChars="200"/>
        <w:rPr>
          <w:rFonts w:ascii="宋体" w:hAnsi="宋体"/>
          <w:sz w:val="24"/>
        </w:rPr>
      </w:pPr>
      <w:r>
        <w:rPr>
          <w:rFonts w:hint="eastAsia" w:ascii="宋体" w:hAnsi="宋体"/>
          <w:sz w:val="24"/>
        </w:rPr>
        <w:t>（2) 开标一览表（格式见附件）；</w:t>
      </w:r>
    </w:p>
    <w:p>
      <w:pPr>
        <w:tabs>
          <w:tab w:val="left" w:pos="720"/>
          <w:tab w:val="center" w:pos="4434"/>
        </w:tabs>
        <w:spacing w:line="360" w:lineRule="auto"/>
        <w:ind w:firstLine="480" w:firstLineChars="200"/>
        <w:rPr>
          <w:rFonts w:ascii="宋体" w:hAnsi="宋体"/>
          <w:sz w:val="24"/>
        </w:rPr>
      </w:pPr>
      <w:r>
        <w:rPr>
          <w:rFonts w:hint="eastAsia" w:ascii="宋体" w:hAnsi="宋体"/>
          <w:sz w:val="24"/>
        </w:rPr>
        <w:t>（3）报价明细表（格式见附件）；</w:t>
      </w:r>
      <w:r>
        <w:rPr>
          <w:rFonts w:hint="eastAsia" w:ascii="宋体" w:hAnsi="宋体"/>
          <w:sz w:val="24"/>
        </w:rPr>
        <w:tab/>
      </w:r>
    </w:p>
    <w:p>
      <w:pPr>
        <w:snapToGrid w:val="0"/>
        <w:spacing w:line="360" w:lineRule="auto"/>
        <w:ind w:firstLine="480" w:firstLineChars="200"/>
        <w:jc w:val="left"/>
        <w:rPr>
          <w:rFonts w:ascii="宋体" w:hAnsi="宋体"/>
          <w:sz w:val="24"/>
        </w:rPr>
      </w:pPr>
      <w:r>
        <w:rPr>
          <w:rFonts w:hint="eastAsia" w:ascii="宋体" w:hAnsi="宋体"/>
          <w:sz w:val="24"/>
        </w:rPr>
        <w:t>（4）政策分相关证明资料；</w:t>
      </w:r>
    </w:p>
    <w:p>
      <w:pPr>
        <w:snapToGrid w:val="0"/>
        <w:spacing w:line="360" w:lineRule="auto"/>
        <w:ind w:firstLine="600" w:firstLineChars="250"/>
        <w:jc w:val="left"/>
        <w:rPr>
          <w:rFonts w:ascii="宋体" w:hAnsi="宋体"/>
          <w:sz w:val="24"/>
        </w:rPr>
      </w:pPr>
      <w:r>
        <w:rPr>
          <w:rFonts w:hint="eastAsia" w:ascii="宋体" w:hAnsi="宋体"/>
          <w:sz w:val="24"/>
        </w:rPr>
        <w:t>4.1小微企业声明函、网页证明资料（若有，格式见附件）；</w:t>
      </w:r>
    </w:p>
    <w:p>
      <w:pPr>
        <w:snapToGrid w:val="0"/>
        <w:spacing w:line="360" w:lineRule="auto"/>
        <w:ind w:firstLine="600" w:firstLineChars="250"/>
        <w:jc w:val="left"/>
        <w:rPr>
          <w:rFonts w:ascii="宋体" w:hAnsi="宋体"/>
          <w:sz w:val="24"/>
        </w:rPr>
      </w:pPr>
      <w:r>
        <w:rPr>
          <w:rFonts w:hint="eastAsia" w:ascii="宋体" w:hAnsi="宋体"/>
          <w:sz w:val="24"/>
        </w:rPr>
        <w:t>4.2残疾人福利企业声明函（若有，格式见附件）；</w:t>
      </w:r>
    </w:p>
    <w:p>
      <w:pPr>
        <w:snapToGrid w:val="0"/>
        <w:spacing w:line="360" w:lineRule="auto"/>
        <w:ind w:firstLine="600" w:firstLineChars="250"/>
        <w:jc w:val="left"/>
        <w:rPr>
          <w:rFonts w:ascii="宋体" w:hAnsi="宋体"/>
          <w:sz w:val="24"/>
        </w:rPr>
      </w:pPr>
      <w:r>
        <w:rPr>
          <w:rFonts w:hint="eastAsia" w:ascii="宋体" w:hAnsi="宋体"/>
          <w:sz w:val="24"/>
        </w:rPr>
        <w:t>4.3监狱企业声明函（若有，格式见附件）；</w:t>
      </w:r>
    </w:p>
    <w:p>
      <w:pPr>
        <w:snapToGrid w:val="0"/>
        <w:spacing w:line="360" w:lineRule="auto"/>
        <w:ind w:firstLine="480" w:firstLineChars="200"/>
        <w:jc w:val="left"/>
      </w:pPr>
      <w:r>
        <w:rPr>
          <w:rFonts w:hint="eastAsia" w:ascii="宋体" w:hAnsi="宋体"/>
          <w:sz w:val="24"/>
        </w:rPr>
        <w:t>（5）招标代理服务费承诺函(格式见附件)；</w:t>
      </w:r>
    </w:p>
    <w:p>
      <w:pPr>
        <w:pStyle w:val="36"/>
        <w:spacing w:after="120" w:line="360" w:lineRule="auto"/>
        <w:ind w:firstLine="480" w:firstLineChars="200"/>
      </w:pPr>
      <w:r>
        <w:rPr>
          <w:rFonts w:hint="eastAsia"/>
        </w:rPr>
        <w:t>（6）其他投标供应商认为有必要提供的资料。</w:t>
      </w:r>
      <w:r>
        <w:tab/>
      </w:r>
    </w:p>
    <w:p>
      <w:pPr>
        <w:snapToGrid w:val="0"/>
        <w:spacing w:line="360" w:lineRule="auto"/>
        <w:ind w:firstLine="480"/>
        <w:rPr>
          <w:rFonts w:ascii="宋体"/>
          <w:b/>
          <w:color w:val="000000"/>
          <w:sz w:val="24"/>
        </w:rPr>
      </w:pPr>
      <w:r>
        <w:rPr>
          <w:rFonts w:hint="eastAsia" w:ascii="宋体" w:hAnsi="宋体"/>
          <w:b/>
          <w:sz w:val="24"/>
        </w:rPr>
        <w:t>（二）投标文件的语言及计量</w:t>
      </w:r>
    </w:p>
    <w:p>
      <w:pPr>
        <w:snapToGrid w:val="0"/>
        <w:spacing w:line="360" w:lineRule="auto"/>
        <w:ind w:firstLine="480"/>
        <w:rPr>
          <w:rFonts w:ascii="宋体"/>
          <w:b/>
          <w:color w:val="000000"/>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投标文件以及投标供应商与采购人就有关投标事宜的所有来往函电，均应以中文汉语书写。除签名、盖章、专用名称等特殊情形外，以中文汉语以外的文字表述的投标文件视同未提供。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80"/>
        <w:rPr>
          <w:rFonts w:ascii="宋体"/>
          <w:b/>
          <w:color w:val="000000"/>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投标计量单位，采购文件已有明确规定的，使用采购文件规定的计量单位</w:t>
      </w:r>
      <w:r>
        <w:rPr>
          <w:rFonts w:hint="eastAsia" w:ascii="宋体" w:hAnsi="宋体"/>
          <w:sz w:val="24"/>
        </w:rPr>
        <w:t>；</w:t>
      </w:r>
      <w:r>
        <w:rPr>
          <w:rFonts w:ascii="宋体" w:hAnsi="宋体"/>
          <w:sz w:val="24"/>
        </w:rPr>
        <w:t>采购文件没有规定的，应采用中华人民共和国法定计量单位（货币单位：人民币元），否则视同未响应。</w:t>
      </w:r>
    </w:p>
    <w:p>
      <w:pPr>
        <w:snapToGrid w:val="0"/>
        <w:spacing w:line="360" w:lineRule="auto"/>
        <w:ind w:firstLine="480"/>
        <w:rPr>
          <w:rFonts w:ascii="宋体"/>
          <w:b/>
          <w:color w:val="000000"/>
          <w:sz w:val="24"/>
        </w:rPr>
      </w:pPr>
      <w:r>
        <w:rPr>
          <w:rFonts w:hint="eastAsia" w:ascii="宋体" w:hAnsi="宋体"/>
          <w:sz w:val="24"/>
        </w:rPr>
        <w:t>▲</w:t>
      </w:r>
      <w:r>
        <w:rPr>
          <w:rFonts w:hint="eastAsia" w:ascii="宋体" w:hAnsi="宋体"/>
          <w:b/>
          <w:sz w:val="24"/>
        </w:rPr>
        <w:t>（三）投标报价：</w:t>
      </w:r>
    </w:p>
    <w:p>
      <w:pPr>
        <w:snapToGrid w:val="0"/>
        <w:spacing w:line="360" w:lineRule="auto"/>
        <w:ind w:firstLine="480"/>
        <w:rPr>
          <w:rFonts w:ascii="宋体"/>
          <w:b/>
          <w:color w:val="000000"/>
          <w:sz w:val="24"/>
        </w:rPr>
      </w:pPr>
      <w:r>
        <w:rPr>
          <w:rFonts w:ascii="宋体" w:hAnsi="宋体"/>
          <w:sz w:val="24"/>
        </w:rPr>
        <w:t>1</w:t>
      </w:r>
      <w:r>
        <w:rPr>
          <w:rFonts w:hint="eastAsia" w:ascii="宋体" w:hAnsi="宋体"/>
          <w:sz w:val="24"/>
        </w:rPr>
        <w:t>、</w:t>
      </w:r>
      <w:r>
        <w:rPr>
          <w:rFonts w:ascii="宋体" w:hAnsi="宋体"/>
          <w:sz w:val="24"/>
        </w:rPr>
        <w:t>投标报价应按采购文件中相关附表格式填写。</w:t>
      </w:r>
      <w:r>
        <w:rPr>
          <w:rFonts w:hint="eastAsia" w:ascii="宋体"/>
          <w:color w:val="000000"/>
          <w:sz w:val="24"/>
        </w:rPr>
        <w:t>所有报价均应使用人民币（元）表示；</w:t>
      </w:r>
    </w:p>
    <w:p>
      <w:pPr>
        <w:snapToGrid w:val="0"/>
        <w:spacing w:line="360" w:lineRule="auto"/>
        <w:ind w:firstLine="480" w:firstLineChars="200"/>
        <w:jc w:val="left"/>
        <w:rPr>
          <w:rFonts w:ascii="宋体" w:hAnsi="宋体" w:cs="宋体"/>
          <w:bCs/>
        </w:rPr>
      </w:pPr>
      <w:r>
        <w:rPr>
          <w:rFonts w:ascii="宋体" w:hAnsi="宋体"/>
          <w:sz w:val="24"/>
        </w:rPr>
        <w:t>2</w:t>
      </w:r>
      <w:r>
        <w:rPr>
          <w:rFonts w:hint="eastAsia" w:ascii="宋体" w:hAnsi="宋体"/>
          <w:sz w:val="24"/>
        </w:rPr>
        <w:t>、</w:t>
      </w:r>
      <w:r>
        <w:rPr>
          <w:rFonts w:ascii="宋体" w:hAnsi="宋体"/>
          <w:sz w:val="24"/>
        </w:rPr>
        <w:t>投标报价是履行合同的最终价格</w:t>
      </w:r>
      <w:r>
        <w:rPr>
          <w:rFonts w:hint="eastAsia" w:ascii="宋体" w:hAnsi="宋体" w:cs="宋体"/>
          <w:bCs/>
        </w:rPr>
        <w:t>，</w:t>
      </w:r>
      <w:r>
        <w:rPr>
          <w:rFonts w:ascii="宋体" w:hAnsi="宋体"/>
          <w:sz w:val="24"/>
        </w:rPr>
        <w:t>应包括</w:t>
      </w:r>
      <w:r>
        <w:rPr>
          <w:rFonts w:hint="eastAsia" w:ascii="宋体" w:hAnsi="宋体"/>
          <w:sz w:val="24"/>
        </w:rPr>
        <w:t>系统的设备、人员、交通、耗材、培训、调试、验收、专用工具、保险、税金等完成本项目的</w:t>
      </w:r>
      <w:r>
        <w:rPr>
          <w:rFonts w:hAnsi="宋体"/>
          <w:color w:val="000000"/>
          <w:sz w:val="24"/>
        </w:rPr>
        <w:t>一切税金和费用。</w:t>
      </w:r>
    </w:p>
    <w:p>
      <w:pPr>
        <w:spacing w:line="360" w:lineRule="auto"/>
        <w:ind w:firstLine="480" w:firstLineChars="200"/>
        <w:rPr>
          <w:rFonts w:ascii="Wingdings" w:hAnsi="Wingdings" w:cs="Wingdings"/>
          <w:b/>
          <w:color w:val="000000"/>
          <w:kern w:val="0"/>
          <w:sz w:val="24"/>
          <w:u w:val="single"/>
        </w:rPr>
      </w:pPr>
      <w:r>
        <w:rPr>
          <w:rFonts w:ascii="Wingdings" w:hAnsi="Wingdings" w:cs="Wingdings"/>
          <w:color w:val="000000"/>
          <w:kern w:val="0"/>
          <w:sz w:val="24"/>
          <w:u w:val="single"/>
        </w:rPr>
        <w:t>投标供应商对在合同执行中，除上述费用及采购文件规定的由中标供应商负责的工作范围以外需要采购人协调或提供便利的工作应当在报价文件中说明。</w:t>
      </w:r>
    </w:p>
    <w:p>
      <w:pPr>
        <w:snapToGrid w:val="0"/>
        <w:spacing w:line="360" w:lineRule="auto"/>
        <w:ind w:firstLine="480"/>
        <w:rPr>
          <w:rFonts w:hAnsi="宋体"/>
          <w:color w:val="000000"/>
        </w:rPr>
      </w:pPr>
      <w:r>
        <w:rPr>
          <w:rFonts w:ascii="宋体" w:hAnsi="宋体"/>
          <w:sz w:val="24"/>
        </w:rPr>
        <w:t>3</w:t>
      </w:r>
      <w:r>
        <w:rPr>
          <w:rFonts w:hint="eastAsia" w:ascii="宋体" w:hAnsi="宋体"/>
          <w:sz w:val="24"/>
        </w:rPr>
        <w:t>、</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p>
    <w:p>
      <w:pPr>
        <w:snapToGrid w:val="0"/>
        <w:spacing w:line="360" w:lineRule="auto"/>
        <w:ind w:firstLine="480"/>
        <w:rPr>
          <w:rFonts w:ascii="宋体"/>
          <w:color w:val="000000"/>
          <w:sz w:val="24"/>
        </w:rPr>
      </w:pPr>
      <w:r>
        <w:rPr>
          <w:rFonts w:hint="eastAsia" w:ascii="宋体"/>
          <w:color w:val="000000"/>
          <w:sz w:val="24"/>
        </w:rPr>
        <w:t>4、投标供应商的最终报价由投标供应商自担全部风险责任，中标后不得以任何理由调整报价或追加任何费用；</w:t>
      </w:r>
    </w:p>
    <w:p>
      <w:pPr>
        <w:snapToGrid w:val="0"/>
        <w:spacing w:line="360" w:lineRule="auto"/>
        <w:ind w:firstLine="480"/>
        <w:rPr>
          <w:rFonts w:ascii="宋体"/>
          <w:color w:val="000000"/>
          <w:sz w:val="24"/>
        </w:rPr>
      </w:pPr>
      <w:r>
        <w:rPr>
          <w:rFonts w:hint="eastAsia" w:ascii="宋体"/>
          <w:color w:val="000000"/>
          <w:sz w:val="24"/>
        </w:rPr>
        <w:t>5、投标供应商所有优惠条件和优惠费用不得降低和影响本采购项目质量；</w:t>
      </w:r>
    </w:p>
    <w:p>
      <w:pPr>
        <w:snapToGrid w:val="0"/>
        <w:spacing w:line="360" w:lineRule="auto"/>
        <w:ind w:firstLine="480"/>
        <w:rPr>
          <w:rFonts w:ascii="宋体"/>
          <w:color w:val="000000"/>
          <w:sz w:val="24"/>
        </w:rPr>
      </w:pPr>
      <w:r>
        <w:rPr>
          <w:rFonts w:hint="eastAsia" w:ascii="宋体"/>
          <w:color w:val="000000"/>
          <w:sz w:val="24"/>
        </w:rPr>
        <w:t>6、报价如单价与总价不符时，以单价为准；大写与小写不符时以大写为准；</w:t>
      </w:r>
    </w:p>
    <w:p>
      <w:pPr>
        <w:snapToGrid w:val="0"/>
        <w:spacing w:line="360" w:lineRule="auto"/>
        <w:ind w:firstLine="480"/>
        <w:rPr>
          <w:rFonts w:ascii="宋体"/>
          <w:color w:val="000000"/>
          <w:sz w:val="24"/>
        </w:rPr>
      </w:pPr>
      <w:r>
        <w:rPr>
          <w:rFonts w:hint="eastAsia" w:ascii="宋体"/>
          <w:color w:val="000000"/>
          <w:sz w:val="24"/>
        </w:rPr>
        <w:t>7、投标供应商对采购文件里有关投标报价的全部内容应仔细确认，若有个别异议，应在开标前提出修改意见，否则视同全部确认；</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（四）投标文件的有效期</w:t>
      </w:r>
    </w:p>
    <w:p>
      <w:pPr>
        <w:pStyle w:val="13"/>
        <w:widowControl w:val="0"/>
        <w:tabs>
          <w:tab w:val="clear" w:pos="454"/>
        </w:tabs>
        <w:snapToGrid w:val="0"/>
        <w:spacing w:afterLines="0" w:line="500" w:lineRule="exact"/>
        <w:ind w:left="0" w:firstLine="480" w:firstLineChars="200"/>
        <w:jc w:val="both"/>
        <w:rPr>
          <w:rFonts w:ascii="宋体" w:hAnsi="宋体" w:cs="仿宋"/>
          <w:szCs w:val="24"/>
        </w:rPr>
      </w:pPr>
      <w:r>
        <w:rPr>
          <w:rFonts w:hint="eastAsia" w:ascii="宋体" w:hAnsi="宋体" w:cs="仿宋"/>
          <w:szCs w:val="24"/>
        </w:rPr>
        <w:t>▲1、自投标截止日起</w:t>
      </w:r>
      <w:r>
        <w:rPr>
          <w:rFonts w:hint="eastAsia" w:ascii="宋体" w:hAnsi="宋体" w:cs="仿宋"/>
          <w:szCs w:val="24"/>
          <w:u w:val="single"/>
        </w:rPr>
        <w:t>60</w:t>
      </w:r>
      <w:r>
        <w:rPr>
          <w:rFonts w:hint="eastAsia" w:ascii="宋体" w:hAnsi="宋体" w:cs="仿宋"/>
          <w:szCs w:val="24"/>
        </w:rPr>
        <w:t>天投标文件应保持有效。有效期不足的投标文件将被拒绝。</w:t>
      </w:r>
    </w:p>
    <w:p>
      <w:pPr>
        <w:pStyle w:val="13"/>
        <w:widowControl w:val="0"/>
        <w:tabs>
          <w:tab w:val="clear" w:pos="454"/>
        </w:tabs>
        <w:snapToGrid w:val="0"/>
        <w:spacing w:afterLines="0" w:line="500" w:lineRule="exact"/>
        <w:ind w:left="0" w:firstLine="480" w:firstLineChars="200"/>
        <w:jc w:val="both"/>
        <w:rPr>
          <w:rFonts w:ascii="宋体" w:hAnsi="宋体" w:cs="仿宋"/>
          <w:szCs w:val="24"/>
        </w:rPr>
      </w:pPr>
      <w:r>
        <w:rPr>
          <w:rFonts w:hint="eastAsia" w:ascii="宋体" w:hAnsi="宋体" w:cs="仿宋"/>
          <w:szCs w:val="24"/>
        </w:rPr>
        <w:t>2、在特殊情况下，采购单位可与投标供应商协商延长投标书的有效期，这种要求和答复均以书面形式进行。</w:t>
      </w:r>
    </w:p>
    <w:p>
      <w:pPr>
        <w:snapToGrid w:val="0"/>
        <w:spacing w:line="500" w:lineRule="exact"/>
        <w:ind w:firstLine="480" w:firstLineChars="200"/>
        <w:rPr>
          <w:rFonts w:ascii="宋体" w:hAnsi="宋体" w:cs="仿宋"/>
          <w:b/>
          <w:sz w:val="24"/>
        </w:rPr>
      </w:pPr>
      <w:r>
        <w:rPr>
          <w:rFonts w:hint="eastAsia" w:ascii="宋体" w:hAnsi="宋体" w:cs="仿宋"/>
          <w:sz w:val="24"/>
        </w:rPr>
        <w:t>3、投标供应商可拒绝接受延期要求。同意延长有效期的投标供应商需要相应延长投标保证金的有效期，但不能修改投标文件。</w:t>
      </w:r>
      <w:r>
        <w:rPr>
          <w:rFonts w:hint="eastAsia" w:ascii="宋体" w:hAnsi="宋体" w:cs="仿宋"/>
          <w:b/>
          <w:sz w:val="24"/>
        </w:rPr>
        <w:t xml:space="preserve"> </w:t>
      </w:r>
    </w:p>
    <w:p>
      <w:pPr>
        <w:snapToGrid w:val="0"/>
        <w:spacing w:line="500" w:lineRule="exact"/>
        <w:ind w:firstLine="480" w:firstLineChars="200"/>
        <w:rPr>
          <w:rFonts w:ascii="宋体" w:hAnsi="宋体" w:cs="仿宋"/>
          <w:b/>
          <w:sz w:val="24"/>
        </w:rPr>
      </w:pPr>
      <w:r>
        <w:rPr>
          <w:rFonts w:hint="eastAsia" w:ascii="宋体" w:hAnsi="宋体" w:cs="仿宋"/>
          <w:sz w:val="24"/>
        </w:rPr>
        <w:t>4、中标人的投标文件自开标之日起至合同履行完毕止均应保持有效。</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（五）投标文件的编制</w:t>
      </w:r>
    </w:p>
    <w:p>
      <w:pPr>
        <w:snapToGrid w:val="0"/>
        <w:spacing w:line="500" w:lineRule="exact"/>
        <w:ind w:firstLine="480" w:firstLineChars="200"/>
        <w:rPr>
          <w:rFonts w:ascii="宋体" w:hAnsi="宋体" w:cs="仿宋"/>
          <w:bCs/>
          <w:sz w:val="24"/>
        </w:rPr>
      </w:pPr>
      <w:r>
        <w:rPr>
          <w:rFonts w:hint="eastAsia" w:ascii="宋体" w:hAnsi="宋体" w:cs="仿宋"/>
          <w:bCs/>
          <w:sz w:val="24"/>
        </w:rPr>
        <w:t>1、本项目通过“政府采购云平台（www.zcygov.cn）”实行在线投标响应（电子投标）。投标供应商应通过“政采云电子交易客户端”，并按照本采购文件和“政府采购云平台”的要求编制并加密投标文件。</w:t>
      </w:r>
    </w:p>
    <w:p>
      <w:pPr>
        <w:snapToGrid w:val="0"/>
        <w:spacing w:line="500" w:lineRule="exact"/>
        <w:ind w:firstLine="480" w:firstLineChars="200"/>
        <w:rPr>
          <w:rFonts w:ascii="宋体" w:hAnsi="宋体" w:cs="仿宋"/>
          <w:bCs/>
          <w:sz w:val="24"/>
        </w:rPr>
      </w:pPr>
      <w:r>
        <w:rPr>
          <w:rFonts w:hint="eastAsia" w:ascii="宋体" w:hAnsi="宋体" w:cs="仿宋"/>
          <w:bCs/>
          <w:sz w:val="24"/>
        </w:rPr>
        <w:t>2、投标供应商应当按照本章节“投标文件的组成”规定的内容及顺序在“政采云电子交易客户端”编制投标文件。其中《资格文件》和《商务技术资信及其他文件》中不得出现本项目投标报价，如因投标供应商原因提前泄露投标报价，是投标供应商的责任。</w:t>
      </w:r>
    </w:p>
    <w:p>
      <w:pPr>
        <w:snapToGrid w:val="0"/>
        <w:spacing w:line="500" w:lineRule="exact"/>
        <w:ind w:firstLine="480" w:firstLineChars="200"/>
        <w:rPr>
          <w:rFonts w:ascii="宋体" w:hAnsi="宋体" w:cs="仿宋"/>
          <w:bCs/>
          <w:sz w:val="24"/>
        </w:rPr>
      </w:pPr>
      <w:r>
        <w:rPr>
          <w:rFonts w:hint="eastAsia" w:ascii="宋体" w:hAnsi="宋体" w:cs="仿宋"/>
          <w:bCs/>
          <w:sz w:val="24"/>
        </w:rPr>
        <w:t>3、本采购文件中有提供格式的，投标供应商须参照格式进行编制（格式中要求提供相关证明材料的还需后附相关证明材料），并按格式要求在指定位置根据要求进行签章，未提供格式的，请各投标供应商自行拟定格式，并加盖单位公章并由法定代表人或其授权代表签署（盖章），否则视为未提供。</w:t>
      </w:r>
    </w:p>
    <w:p>
      <w:pPr>
        <w:snapToGrid w:val="0"/>
        <w:spacing w:line="500" w:lineRule="exact"/>
        <w:ind w:firstLine="480" w:firstLineChars="200"/>
        <w:rPr>
          <w:rFonts w:ascii="宋体" w:hAnsi="宋体" w:cs="仿宋"/>
          <w:bCs/>
          <w:sz w:val="24"/>
        </w:rPr>
      </w:pPr>
      <w:r>
        <w:rPr>
          <w:rFonts w:hint="eastAsia" w:ascii="宋体" w:hAnsi="宋体" w:cs="仿宋"/>
          <w:bCs/>
          <w:sz w:val="24"/>
        </w:rPr>
        <w:t>4、《投标文件》内容不完整、编排混乱导致《投标文件》被误读、漏读或者查找不到相关内容的，是投标供应商的责任。</w:t>
      </w:r>
    </w:p>
    <w:p>
      <w:pPr>
        <w:snapToGrid w:val="0"/>
        <w:spacing w:line="500" w:lineRule="exact"/>
        <w:ind w:firstLine="480" w:firstLineChars="200"/>
        <w:rPr>
          <w:rFonts w:ascii="宋体" w:hAnsi="宋体" w:cs="仿宋"/>
          <w:bCs/>
          <w:sz w:val="24"/>
        </w:rPr>
      </w:pPr>
      <w:r>
        <w:rPr>
          <w:rFonts w:hint="eastAsia" w:ascii="宋体" w:hAnsi="宋体" w:cs="仿宋"/>
          <w:bCs/>
          <w:sz w:val="24"/>
        </w:rPr>
        <w:t>5、《投标文件》因字迹潦草、上传的内容不清楚或表达不清所引起的后果由投标供应商负责。</w:t>
      </w:r>
    </w:p>
    <w:p>
      <w:pPr>
        <w:snapToGrid w:val="0"/>
        <w:spacing w:line="500" w:lineRule="exact"/>
        <w:ind w:firstLine="480" w:firstLineChars="200"/>
        <w:rPr>
          <w:rFonts w:ascii="宋体" w:hAnsi="宋体" w:cs="仿宋"/>
          <w:bCs/>
          <w:sz w:val="24"/>
        </w:rPr>
      </w:pPr>
      <w:r>
        <w:rPr>
          <w:rFonts w:hint="eastAsia" w:ascii="宋体" w:hAnsi="宋体" w:cs="仿宋"/>
          <w:bCs/>
          <w:sz w:val="24"/>
        </w:rPr>
        <w:t>6、投标供应商没有按照本采购文件中“投标文件组成”要求提供全部资料，或者没有仔细阅读采购文件，或者没有对采购文件在各方面的要求作出实质性响应是投标供应商的风险，由此造成的一切后果由投标供应商自行承担。</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（六）投标文件的签章</w:t>
      </w:r>
    </w:p>
    <w:p>
      <w:pPr>
        <w:snapToGrid w:val="0"/>
        <w:spacing w:line="500" w:lineRule="exact"/>
        <w:ind w:firstLine="480" w:firstLineChars="200"/>
        <w:rPr>
          <w:rFonts w:ascii="宋体" w:hAnsi="宋体" w:cs="仿宋"/>
          <w:bCs/>
          <w:sz w:val="24"/>
        </w:rPr>
      </w:pPr>
      <w:r>
        <w:rPr>
          <w:rFonts w:hint="eastAsia" w:ascii="宋体" w:hAnsi="宋体" w:cs="仿宋"/>
          <w:bCs/>
          <w:sz w:val="24"/>
        </w:rPr>
        <w:t>1、《投标文件》的签章：使用电子签章；</w:t>
      </w:r>
    </w:p>
    <w:p>
      <w:pPr>
        <w:snapToGrid w:val="0"/>
        <w:spacing w:line="500" w:lineRule="exact"/>
        <w:ind w:firstLine="480" w:firstLineChars="200"/>
        <w:rPr>
          <w:rFonts w:ascii="宋体" w:hAnsi="宋体" w:cs="仿宋"/>
          <w:bCs/>
          <w:sz w:val="24"/>
        </w:rPr>
      </w:pPr>
      <w:r>
        <w:rPr>
          <w:rFonts w:hint="eastAsia" w:ascii="宋体" w:hAnsi="宋体" w:cs="仿宋"/>
          <w:bCs/>
          <w:sz w:val="24"/>
        </w:rPr>
        <w:t>2、《投标文件》应由投标供应商法定代表人或其授权代表签字（或盖章），并同时加盖单位公章。</w:t>
      </w:r>
    </w:p>
    <w:p>
      <w:pPr>
        <w:snapToGrid w:val="0"/>
        <w:spacing w:line="500" w:lineRule="exact"/>
        <w:ind w:firstLine="480" w:firstLineChars="200"/>
        <w:rPr>
          <w:rFonts w:ascii="宋体" w:hAnsi="宋体" w:cs="仿宋"/>
          <w:bCs/>
          <w:sz w:val="24"/>
        </w:rPr>
      </w:pPr>
      <w:r>
        <w:rPr>
          <w:rFonts w:hint="eastAsia" w:ascii="宋体" w:hAnsi="宋体" w:cs="仿宋"/>
          <w:bCs/>
          <w:sz w:val="24"/>
        </w:rPr>
        <w:t>3、参与在线投标时如遇平台技术问题详询400-881-7190。</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（七）投标文件的形式</w:t>
      </w:r>
    </w:p>
    <w:p>
      <w:pPr>
        <w:snapToGrid w:val="0"/>
        <w:spacing w:line="500" w:lineRule="exact"/>
        <w:ind w:firstLine="480" w:firstLineChars="200"/>
        <w:rPr>
          <w:rFonts w:ascii="宋体" w:hAnsi="宋体" w:cs="仿宋"/>
          <w:bCs/>
          <w:sz w:val="24"/>
        </w:rPr>
      </w:pPr>
      <w:r>
        <w:rPr>
          <w:rFonts w:hint="eastAsia" w:ascii="宋体" w:hAnsi="宋体" w:cs="仿宋"/>
          <w:bCs/>
          <w:sz w:val="24"/>
        </w:rPr>
        <w:t>1、投标文件的形式：见《前附表》；</w:t>
      </w:r>
    </w:p>
    <w:p>
      <w:pPr>
        <w:snapToGrid w:val="0"/>
        <w:spacing w:line="500" w:lineRule="exact"/>
        <w:ind w:firstLine="480" w:firstLineChars="200"/>
        <w:rPr>
          <w:rFonts w:ascii="宋体" w:hAnsi="宋体" w:cs="仿宋"/>
          <w:bCs/>
          <w:sz w:val="24"/>
        </w:rPr>
      </w:pPr>
      <w:r>
        <w:rPr>
          <w:rFonts w:hint="eastAsia" w:ascii="宋体" w:hAnsi="宋体" w:cs="仿宋"/>
          <w:bCs/>
          <w:sz w:val="24"/>
        </w:rPr>
        <w:t>2、“电子加密投标文件”：“电子加密投标文件”是指通过“政采云电子交易客户端”完成投标文件编制后生成并加密的数据电文形式的投标文件。</w:t>
      </w:r>
    </w:p>
    <w:p>
      <w:pPr>
        <w:snapToGrid w:val="0"/>
        <w:spacing w:line="500" w:lineRule="exact"/>
        <w:ind w:firstLine="480" w:firstLineChars="200"/>
        <w:rPr>
          <w:rFonts w:ascii="宋体" w:hAnsi="宋体" w:cs="仿宋"/>
          <w:bCs/>
          <w:sz w:val="24"/>
        </w:rPr>
      </w:pPr>
      <w:r>
        <w:rPr>
          <w:rFonts w:hint="eastAsia" w:ascii="宋体" w:hAnsi="宋体" w:cs="仿宋"/>
          <w:bCs/>
          <w:sz w:val="24"/>
        </w:rPr>
        <w:t>3、“备份投标文件”：“备份投标文件”是指与“电子加密投标文件”同时生成的数据电文形式的电子文件（备份标书），其他方式编制的“备份投标文件”视为无效的“备份投标文件”。</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（八）投标文件的份数：投标文件的份数：</w:t>
      </w:r>
      <w:r>
        <w:rPr>
          <w:rFonts w:hint="eastAsia" w:ascii="宋体" w:hAnsi="宋体" w:cs="仿宋"/>
          <w:bCs/>
          <w:sz w:val="24"/>
        </w:rPr>
        <w:t>见《前附表》</w:t>
      </w:r>
      <w:r>
        <w:rPr>
          <w:rFonts w:hint="eastAsia" w:ascii="宋体" w:hAnsi="宋体" w:cs="仿宋"/>
          <w:b/>
          <w:sz w:val="24"/>
        </w:rPr>
        <w:t>。</w:t>
      </w:r>
    </w:p>
    <w:p>
      <w:pPr>
        <w:snapToGrid w:val="0"/>
        <w:spacing w:beforeLines="50" w:line="360" w:lineRule="auto"/>
        <w:ind w:firstLine="482" w:firstLineChars="200"/>
        <w:jc w:val="left"/>
        <w:rPr>
          <w:rFonts w:ascii="宋体" w:hAnsi="宋体" w:cs="宋体"/>
          <w:sz w:val="24"/>
        </w:rPr>
      </w:pPr>
      <w:r>
        <w:rPr>
          <w:rFonts w:hint="eastAsia" w:ascii="宋体" w:hAnsi="宋体" w:cs="宋体"/>
          <w:b/>
          <w:sz w:val="24"/>
        </w:rPr>
        <w:t>（九）投标文件的上传和递交：</w:t>
      </w:r>
      <w:r>
        <w:rPr>
          <w:rFonts w:hint="eastAsia" w:ascii="宋体" w:hAnsi="宋体" w:cs="宋体"/>
          <w:sz w:val="24"/>
        </w:rPr>
        <w:t>见《前附表》。</w:t>
      </w:r>
    </w:p>
    <w:p>
      <w:pPr>
        <w:snapToGrid w:val="0"/>
        <w:spacing w:beforeLines="50" w:line="360" w:lineRule="auto"/>
        <w:ind w:firstLine="482" w:firstLineChars="200"/>
        <w:jc w:val="left"/>
        <w:rPr>
          <w:rFonts w:ascii="宋体" w:hAnsi="宋体" w:cs="宋体"/>
          <w:sz w:val="24"/>
        </w:rPr>
      </w:pPr>
      <w:r>
        <w:rPr>
          <w:rFonts w:hint="eastAsia" w:ascii="宋体" w:hAnsi="宋体" w:cs="宋体"/>
          <w:b/>
          <w:sz w:val="24"/>
        </w:rPr>
        <w:t>（十）“电子加密投标文件”解密和异常情况处理：</w:t>
      </w:r>
      <w:r>
        <w:rPr>
          <w:rFonts w:hint="eastAsia" w:ascii="宋体" w:hAnsi="宋体" w:cs="宋体"/>
          <w:sz w:val="24"/>
        </w:rPr>
        <w:t>见《前附表》。</w:t>
      </w:r>
    </w:p>
    <w:p>
      <w:pPr>
        <w:snapToGrid w:val="0"/>
        <w:spacing w:beforeLines="50" w:line="360" w:lineRule="auto"/>
        <w:ind w:firstLine="482" w:firstLineChars="200"/>
        <w:jc w:val="left"/>
        <w:rPr>
          <w:rFonts w:ascii="宋体" w:hAnsi="宋体" w:cs="宋体"/>
          <w:b/>
          <w:sz w:val="24"/>
        </w:rPr>
      </w:pPr>
      <w:r>
        <w:rPr>
          <w:rFonts w:hint="eastAsia" w:ascii="宋体" w:hAnsi="宋体" w:cs="宋体"/>
          <w:b/>
          <w:sz w:val="24"/>
        </w:rPr>
        <w:t>（十一）投标文件的补充、修改或撤回</w:t>
      </w:r>
    </w:p>
    <w:p>
      <w:pPr>
        <w:spacing w:line="360" w:lineRule="auto"/>
        <w:ind w:firstLine="424" w:firstLineChars="177"/>
        <w:rPr>
          <w:rFonts w:ascii="宋体" w:hAnsi="宋体" w:cs="宋体"/>
          <w:bCs/>
          <w:sz w:val="24"/>
        </w:rPr>
      </w:pPr>
      <w:r>
        <w:rPr>
          <w:rFonts w:hint="eastAsia" w:ascii="宋体" w:hAnsi="宋体" w:cs="宋体"/>
          <w:bCs/>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firstLine="480" w:firstLineChars="200"/>
        <w:outlineLvl w:val="2"/>
      </w:pPr>
      <w:r>
        <w:rPr>
          <w:rFonts w:hint="eastAsia" w:ascii="宋体" w:hAnsi="宋体" w:cs="宋体"/>
          <w:bCs/>
          <w:sz w:val="24"/>
        </w:rPr>
        <w:t>2、投标截止时间后，投标供应商不得撤回、修改《投标文件》。</w:t>
      </w:r>
    </w:p>
    <w:p>
      <w:pPr>
        <w:spacing w:line="500" w:lineRule="exact"/>
        <w:jc w:val="center"/>
        <w:outlineLvl w:val="1"/>
        <w:rPr>
          <w:rFonts w:ascii="宋体" w:hAnsi="宋体" w:cs="仿宋"/>
          <w:b/>
          <w:sz w:val="32"/>
          <w:szCs w:val="32"/>
        </w:rPr>
      </w:pPr>
      <w:bookmarkStart w:id="24" w:name="_Toc16193"/>
      <w:r>
        <w:rPr>
          <w:rFonts w:hint="eastAsia" w:ascii="宋体" w:hAnsi="宋体" w:cs="仿宋"/>
          <w:b/>
          <w:sz w:val="32"/>
          <w:szCs w:val="32"/>
        </w:rPr>
        <w:t>四、开标</w:t>
      </w:r>
      <w:bookmarkEnd w:id="24"/>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（一）开标形式</w:t>
      </w:r>
    </w:p>
    <w:p>
      <w:pPr>
        <w:pStyle w:val="26"/>
        <w:spacing w:line="500" w:lineRule="exact"/>
        <w:ind w:firstLine="480" w:firstLineChars="200"/>
        <w:rPr>
          <w:rFonts w:hAnsi="宋体" w:cs="仿宋"/>
          <w:sz w:val="24"/>
          <w:szCs w:val="24"/>
        </w:rPr>
      </w:pPr>
      <w:r>
        <w:rPr>
          <w:rFonts w:hint="eastAsia" w:hAnsi="宋体" w:cs="仿宋"/>
          <w:sz w:val="24"/>
          <w:szCs w:val="24"/>
        </w:rPr>
        <w:t>采购代理机构将按照采购文件规定的时间通过“政府采购云平台”组织开标、开启投标文件，所有投标供应商均应当准时在线参加。</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（二）开标准备</w:t>
      </w:r>
    </w:p>
    <w:p>
      <w:pPr>
        <w:pStyle w:val="26"/>
        <w:spacing w:line="500" w:lineRule="exact"/>
        <w:ind w:firstLine="480" w:firstLineChars="200"/>
        <w:rPr>
          <w:rFonts w:hAnsi="宋体" w:cs="仿宋"/>
          <w:sz w:val="24"/>
          <w:szCs w:val="24"/>
        </w:rPr>
      </w:pPr>
      <w:r>
        <w:rPr>
          <w:rFonts w:hint="eastAsia" w:hAnsi="宋体" w:cs="仿宋"/>
          <w:sz w:val="24"/>
          <w:szCs w:val="24"/>
        </w:rPr>
        <w:t>1、开标的准备工作由采购代理机构负责落实；</w:t>
      </w:r>
    </w:p>
    <w:p>
      <w:pPr>
        <w:pStyle w:val="26"/>
        <w:spacing w:line="500" w:lineRule="exact"/>
        <w:ind w:firstLine="480" w:firstLineChars="200"/>
        <w:rPr>
          <w:rFonts w:hAnsi="宋体" w:cs="仿宋"/>
          <w:sz w:val="24"/>
          <w:szCs w:val="24"/>
        </w:rPr>
      </w:pPr>
      <w:r>
        <w:rPr>
          <w:rFonts w:hint="eastAsia" w:hAnsi="宋体" w:cs="仿宋"/>
          <w:sz w:val="24"/>
          <w:szCs w:val="24"/>
        </w:rPr>
        <w:t>2、</w:t>
      </w:r>
      <w:r>
        <w:rPr>
          <w:rFonts w:hint="eastAsia" w:hAnsi="宋体" w:cs="仿宋"/>
          <w:b/>
          <w:bCs/>
          <w:sz w:val="24"/>
          <w:szCs w:val="24"/>
        </w:rPr>
        <w:t>采购代理机构将按照采购文件规定的时间通过“政府采购云平台”组织开标、开启投标文件，所有投标供应商均应当准时在线参加。投标供应商如不参加开标大会的，视同认可开标结果，事后不得对采购相关人员、开标过程和开标结果提出异议，同时投标供应商因未在线参加开标而导致投标文件无法按时解密等一切后果由投标供应商自己承担</w:t>
      </w:r>
      <w:r>
        <w:rPr>
          <w:rFonts w:hint="eastAsia" w:hAnsi="宋体" w:cs="仿宋"/>
          <w:sz w:val="24"/>
          <w:szCs w:val="24"/>
        </w:rPr>
        <w:t>。</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（三）开标流程（两个阶段）</w:t>
      </w:r>
    </w:p>
    <w:p>
      <w:pPr>
        <w:snapToGrid w:val="0"/>
        <w:spacing w:line="500" w:lineRule="exact"/>
        <w:ind w:firstLine="482" w:firstLineChars="200"/>
        <w:outlineLvl w:val="3"/>
        <w:rPr>
          <w:rFonts w:ascii="宋体" w:hAnsi="宋体" w:cs="仿宋"/>
          <w:b/>
          <w:sz w:val="24"/>
        </w:rPr>
      </w:pPr>
      <w:r>
        <w:rPr>
          <w:rFonts w:hint="eastAsia" w:ascii="宋体" w:hAnsi="宋体" w:cs="仿宋"/>
          <w:b/>
          <w:sz w:val="24"/>
        </w:rPr>
        <w:t>1、开标第一阶段</w:t>
      </w:r>
    </w:p>
    <w:p>
      <w:pPr>
        <w:pStyle w:val="26"/>
        <w:spacing w:line="500" w:lineRule="exact"/>
        <w:ind w:firstLine="480" w:firstLineChars="200"/>
        <w:rPr>
          <w:rFonts w:hAnsi="宋体" w:cs="仿宋"/>
          <w:sz w:val="24"/>
          <w:szCs w:val="24"/>
        </w:rPr>
      </w:pPr>
      <w:r>
        <w:rPr>
          <w:rFonts w:hint="eastAsia" w:hAnsi="宋体" w:cs="仿宋"/>
          <w:sz w:val="24"/>
          <w:szCs w:val="24"/>
        </w:rPr>
        <w:t>（1）向各投标供应商发出电子加密投标文件【开始解密】通知，由投标供应商按采购文件规定的时间内自行进行投标文件解密。投标供应商在规定的时间内无法完成已递交的“电子加密投标文件”解密的，如已按规定递交了备份投标文件的，将由采购代理机构按“政府采购云平台”操作规范点击“异常处理”，由代理机构将备份投标文件上传至“政府采购云平台”，上传成功后，“电子加密投标文件”自动失效；</w:t>
      </w:r>
    </w:p>
    <w:p>
      <w:pPr>
        <w:pStyle w:val="26"/>
        <w:spacing w:line="500" w:lineRule="exact"/>
        <w:ind w:firstLine="480" w:firstLineChars="200"/>
        <w:rPr>
          <w:rFonts w:hAnsi="宋体" w:cs="仿宋"/>
          <w:sz w:val="24"/>
          <w:szCs w:val="24"/>
        </w:rPr>
      </w:pPr>
      <w:r>
        <w:rPr>
          <w:rFonts w:hint="eastAsia" w:hAnsi="宋体" w:cs="仿宋"/>
          <w:sz w:val="24"/>
          <w:szCs w:val="24"/>
        </w:rPr>
        <w:t>（2）投标文件解密结束，开启投标文件，进入资格审查；</w:t>
      </w:r>
    </w:p>
    <w:p>
      <w:pPr>
        <w:pStyle w:val="26"/>
        <w:spacing w:line="500" w:lineRule="exact"/>
        <w:ind w:firstLine="480" w:firstLineChars="200"/>
        <w:rPr>
          <w:rFonts w:hAnsi="宋体" w:cs="仿宋"/>
          <w:sz w:val="24"/>
          <w:szCs w:val="24"/>
        </w:rPr>
      </w:pPr>
      <w:r>
        <w:rPr>
          <w:rFonts w:hint="eastAsia" w:hAnsi="宋体" w:cs="仿宋"/>
          <w:sz w:val="24"/>
          <w:szCs w:val="24"/>
        </w:rPr>
        <w:t>（3）开启资格审查通过的投标供应商的商务技术资信及其他文件进入符合性审查、商务技术评审；</w:t>
      </w:r>
    </w:p>
    <w:p>
      <w:pPr>
        <w:pStyle w:val="26"/>
        <w:spacing w:line="500" w:lineRule="exact"/>
        <w:ind w:firstLine="480" w:firstLineChars="200"/>
        <w:rPr>
          <w:rFonts w:hAnsi="宋体" w:cs="仿宋"/>
          <w:sz w:val="24"/>
          <w:szCs w:val="24"/>
        </w:rPr>
      </w:pPr>
      <w:r>
        <w:rPr>
          <w:rFonts w:hint="eastAsia" w:hAnsi="宋体" w:cs="仿宋"/>
          <w:sz w:val="24"/>
          <w:szCs w:val="24"/>
        </w:rPr>
        <w:t>（4）第一阶段开标结束。</w:t>
      </w:r>
    </w:p>
    <w:p>
      <w:pPr>
        <w:pStyle w:val="26"/>
        <w:spacing w:line="500" w:lineRule="exact"/>
        <w:ind w:firstLine="482" w:firstLineChars="200"/>
        <w:rPr>
          <w:rFonts w:hAnsi="宋体" w:cs="仿宋"/>
          <w:b/>
          <w:bCs/>
          <w:sz w:val="24"/>
          <w:szCs w:val="24"/>
        </w:rPr>
      </w:pPr>
      <w:r>
        <w:rPr>
          <w:rFonts w:hint="eastAsia" w:hAnsi="宋体" w:cs="仿宋"/>
          <w:b/>
          <w:bCs/>
          <w:sz w:val="24"/>
          <w:szCs w:val="24"/>
        </w:rPr>
        <w:t>备注：开标大会的第一阶段结束后，采购人或采购代理机构将依法对投标供应商的资格进行审查，资格审查结束后进入符合性审查和商务技术的评审工作。</w:t>
      </w:r>
    </w:p>
    <w:p>
      <w:pPr>
        <w:snapToGrid w:val="0"/>
        <w:spacing w:line="500" w:lineRule="exact"/>
        <w:ind w:firstLine="482" w:firstLineChars="200"/>
        <w:outlineLvl w:val="3"/>
        <w:rPr>
          <w:rFonts w:ascii="宋体" w:hAnsi="宋体" w:cs="仿宋"/>
          <w:b/>
          <w:sz w:val="24"/>
        </w:rPr>
      </w:pPr>
      <w:r>
        <w:rPr>
          <w:rFonts w:hint="eastAsia" w:ascii="宋体" w:hAnsi="宋体" w:cs="仿宋"/>
          <w:b/>
          <w:sz w:val="24"/>
        </w:rPr>
        <w:t>2、开标大会第二阶段</w:t>
      </w:r>
    </w:p>
    <w:p>
      <w:pPr>
        <w:spacing w:line="500" w:lineRule="exact"/>
        <w:ind w:firstLine="480" w:firstLineChars="200"/>
        <w:jc w:val="left"/>
        <w:rPr>
          <w:rFonts w:ascii="宋体" w:hAnsi="宋体" w:cs="仿宋"/>
          <w:sz w:val="24"/>
        </w:rPr>
      </w:pPr>
      <w:r>
        <w:rPr>
          <w:rFonts w:hint="eastAsia" w:ascii="宋体" w:hAnsi="宋体" w:cs="仿宋"/>
          <w:sz w:val="24"/>
        </w:rPr>
        <w:t>（1）符合性审查、商务技术评审结束后，举行开标大会第二阶段会议。首先通过发送邮件形式公布符合性审查、商务技术评审无效投标供应商名称及理由；公布经商务技术评审后有效投标供应商的名单，同时公布其商务技术得分（总分）情况。</w:t>
      </w:r>
    </w:p>
    <w:p>
      <w:pPr>
        <w:spacing w:line="500" w:lineRule="exact"/>
        <w:ind w:firstLine="480" w:firstLineChars="200"/>
        <w:jc w:val="left"/>
        <w:rPr>
          <w:rFonts w:ascii="宋体" w:hAnsi="宋体" w:cs="仿宋"/>
          <w:sz w:val="24"/>
        </w:rPr>
      </w:pPr>
      <w:r>
        <w:rPr>
          <w:rFonts w:hint="eastAsia" w:ascii="宋体" w:hAnsi="宋体" w:cs="仿宋"/>
          <w:sz w:val="24"/>
        </w:rPr>
        <w:t>（2）开启符合性审查、商务技术评审有效投标供应商的《报价文件》，通过发送邮件形式公布开标记录表（所有投标供应商的报价），投标供应商对自己的报价金额有异议的通过发送邮件形式说明（不予说明视为无异议）。唱标结束后，由评标委员会对报价的合理性、准确性等进行审查核实。</w:t>
      </w:r>
    </w:p>
    <w:p>
      <w:pPr>
        <w:spacing w:line="500" w:lineRule="exact"/>
        <w:ind w:firstLine="480" w:firstLineChars="200"/>
        <w:jc w:val="left"/>
        <w:rPr>
          <w:rFonts w:ascii="宋体" w:hAnsi="宋体" w:cs="仿宋"/>
          <w:sz w:val="24"/>
        </w:rPr>
      </w:pPr>
      <w:r>
        <w:rPr>
          <w:rFonts w:hint="eastAsia" w:ascii="宋体" w:hAnsi="宋体" w:cs="仿宋"/>
          <w:sz w:val="24"/>
        </w:rPr>
        <w:t>（3）评审结束后，通过发送邮件形式公布中标候选投标供应商名单，及采购人最终确定中标人。</w:t>
      </w:r>
    </w:p>
    <w:p>
      <w:pPr>
        <w:spacing w:line="500" w:lineRule="exact"/>
        <w:ind w:firstLine="482" w:firstLineChars="200"/>
        <w:jc w:val="left"/>
        <w:rPr>
          <w:rFonts w:ascii="宋体" w:hAnsi="宋体" w:cs="仿宋"/>
          <w:b/>
          <w:bCs/>
          <w:sz w:val="24"/>
        </w:rPr>
      </w:pPr>
      <w:r>
        <w:rPr>
          <w:rFonts w:hint="eastAsia" w:ascii="宋体" w:hAnsi="宋体" w:cs="仿宋"/>
          <w:b/>
          <w:bCs/>
          <w:sz w:val="24"/>
        </w:rPr>
        <w:t>特别说明：如遇“政府采购云平台”电子化开标或评审程序调整的，按调整后程序执行。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（四）投标供应商资格审查</w:t>
      </w:r>
    </w:p>
    <w:p>
      <w:pPr>
        <w:spacing w:line="500" w:lineRule="exact"/>
        <w:ind w:firstLine="480" w:firstLineChars="200"/>
        <w:jc w:val="left"/>
        <w:rPr>
          <w:rFonts w:ascii="宋体" w:hAnsi="宋体" w:cs="仿宋"/>
          <w:sz w:val="24"/>
        </w:rPr>
      </w:pPr>
      <w:r>
        <w:rPr>
          <w:rFonts w:hint="eastAsia" w:ascii="宋体" w:hAnsi="宋体" w:cs="仿宋"/>
          <w:sz w:val="24"/>
        </w:rPr>
        <w:t>1、开标大会第一阶段结束后，采购人或采购代理机构首先依法对各投标供应商的资格进行审查，审查各投标供应商的资格是否满足采购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500" w:lineRule="exact"/>
        <w:ind w:firstLine="480" w:firstLineChars="200"/>
        <w:jc w:val="left"/>
        <w:rPr>
          <w:rFonts w:ascii="宋体" w:hAnsi="宋体" w:cs="仿宋"/>
          <w:sz w:val="24"/>
        </w:rPr>
      </w:pPr>
      <w:r>
        <w:rPr>
          <w:rFonts w:hint="eastAsia" w:ascii="宋体" w:hAnsi="宋体" w:cs="仿宋"/>
          <w:sz w:val="24"/>
        </w:rPr>
        <w:t>2、投标供应商提交的资格证明材料无法证明其符合采购文件规定的“投标供应商资格要求”的，采购人或采购代理机构将对其作资格审查不通过处理（无效投标），并不再将其投标提交评标委员会进行后续评审。</w:t>
      </w:r>
    </w:p>
    <w:p>
      <w:pPr>
        <w:spacing w:line="500" w:lineRule="exact"/>
        <w:ind w:firstLine="480" w:firstLineChars="200"/>
        <w:jc w:val="left"/>
      </w:pPr>
      <w:r>
        <w:rPr>
          <w:rFonts w:hint="eastAsia" w:ascii="宋体" w:hAnsi="宋体" w:cs="仿宋"/>
          <w:sz w:val="24"/>
        </w:rPr>
        <w:t>3、单位负责人为同一人或者存在直接控股、管理关系的不同投标供应商参加同一项目下的政府采购活动的，相关投标供应商均作资格无效处理。</w:t>
      </w:r>
    </w:p>
    <w:p>
      <w:pPr>
        <w:spacing w:line="500" w:lineRule="exact"/>
        <w:jc w:val="center"/>
        <w:outlineLvl w:val="1"/>
        <w:rPr>
          <w:rFonts w:ascii="宋体" w:hAnsi="宋体" w:cs="仿宋"/>
          <w:b/>
          <w:sz w:val="32"/>
          <w:szCs w:val="32"/>
        </w:rPr>
      </w:pPr>
      <w:bookmarkStart w:id="25" w:name="_Toc17761"/>
      <w:r>
        <w:rPr>
          <w:rFonts w:hint="eastAsia" w:ascii="宋体" w:hAnsi="宋体" w:cs="仿宋"/>
          <w:b/>
          <w:sz w:val="32"/>
          <w:szCs w:val="32"/>
        </w:rPr>
        <w:t>五、评标</w:t>
      </w:r>
      <w:bookmarkEnd w:id="25"/>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（一）评审工作的组织</w:t>
      </w:r>
    </w:p>
    <w:p>
      <w:pPr>
        <w:spacing w:line="500" w:lineRule="exact"/>
        <w:ind w:firstLine="480" w:firstLineChars="200"/>
        <w:jc w:val="left"/>
        <w:rPr>
          <w:rFonts w:ascii="宋体" w:hAnsi="宋体" w:cs="仿宋"/>
          <w:sz w:val="24"/>
        </w:rPr>
      </w:pPr>
      <w:r>
        <w:rPr>
          <w:rFonts w:hint="eastAsia" w:ascii="宋体" w:hAnsi="宋体" w:cs="仿宋"/>
          <w:sz w:val="24"/>
        </w:rPr>
        <w:t>1、采购代理机构负责组织本项目的评审工作，并依据《政府采购货物和服务招标投标管理办法（财政部第87号令）》第四十五条的相关规定履行职责。</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（二）评标委员会的组建</w:t>
      </w:r>
    </w:p>
    <w:p>
      <w:pPr>
        <w:spacing w:line="500" w:lineRule="exact"/>
        <w:ind w:firstLine="480" w:firstLineChars="200"/>
        <w:jc w:val="left"/>
        <w:rPr>
          <w:rFonts w:ascii="宋体" w:hAnsi="宋体" w:cs="仿宋"/>
          <w:sz w:val="24"/>
        </w:rPr>
      </w:pPr>
      <w:r>
        <w:rPr>
          <w:rFonts w:hint="eastAsia" w:ascii="宋体" w:hAnsi="宋体" w:cs="仿宋"/>
          <w:sz w:val="24"/>
        </w:rPr>
        <w:t>1、评标委员会由采购人或采购代理机构依法组建，成员包括采购人代表和评审专家，成员人数为5人或以上单数，其中评审专家不少于成员总数的三分之二。</w:t>
      </w:r>
    </w:p>
    <w:p>
      <w:pPr>
        <w:spacing w:line="500" w:lineRule="exact"/>
        <w:ind w:firstLine="480" w:firstLineChars="200"/>
        <w:jc w:val="left"/>
        <w:rPr>
          <w:rFonts w:ascii="宋体" w:hAnsi="宋体" w:cs="仿宋"/>
          <w:sz w:val="24"/>
        </w:rPr>
      </w:pPr>
      <w:r>
        <w:rPr>
          <w:rFonts w:hint="eastAsia" w:ascii="宋体" w:hAnsi="宋体" w:cs="仿宋"/>
          <w:sz w:val="24"/>
        </w:rPr>
        <w:t>2、评标委员会成员名单在评审结果（采购结果）公告前保密。</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（三）评标委员会的职责</w:t>
      </w:r>
    </w:p>
    <w:p>
      <w:pPr>
        <w:spacing w:line="500" w:lineRule="exact"/>
        <w:ind w:firstLine="482" w:firstLineChars="200"/>
        <w:jc w:val="left"/>
        <w:rPr>
          <w:rFonts w:ascii="宋体" w:hAnsi="宋体" w:cs="仿宋"/>
          <w:b/>
          <w:bCs/>
          <w:sz w:val="24"/>
        </w:rPr>
      </w:pPr>
      <w:r>
        <w:rPr>
          <w:rFonts w:hint="eastAsia" w:ascii="宋体" w:hAnsi="宋体" w:cs="仿宋"/>
          <w:b/>
          <w:bCs/>
          <w:sz w:val="24"/>
        </w:rPr>
        <w:t>1、评标委员会负责具体评审事务，并独立履行下列职责：</w:t>
      </w:r>
    </w:p>
    <w:p>
      <w:pPr>
        <w:spacing w:line="500" w:lineRule="exact"/>
        <w:ind w:firstLine="480" w:firstLineChars="200"/>
        <w:jc w:val="left"/>
        <w:rPr>
          <w:rFonts w:ascii="宋体" w:hAnsi="宋体" w:cs="仿宋"/>
          <w:sz w:val="24"/>
        </w:rPr>
      </w:pPr>
      <w:r>
        <w:rPr>
          <w:rFonts w:hint="eastAsia" w:ascii="宋体" w:hAnsi="宋体" w:cs="仿宋"/>
          <w:sz w:val="24"/>
        </w:rPr>
        <w:t>（1）审查、评价投标文件是否符合采购文件的资信、技术等实质性要求；</w:t>
      </w:r>
    </w:p>
    <w:p>
      <w:pPr>
        <w:spacing w:line="500" w:lineRule="exact"/>
        <w:ind w:firstLine="480" w:firstLineChars="200"/>
        <w:jc w:val="left"/>
        <w:rPr>
          <w:rFonts w:ascii="宋体" w:hAnsi="宋体" w:cs="仿宋"/>
          <w:sz w:val="24"/>
        </w:rPr>
      </w:pPr>
      <w:r>
        <w:rPr>
          <w:rFonts w:hint="eastAsia" w:ascii="宋体" w:hAnsi="宋体" w:cs="仿宋"/>
          <w:sz w:val="24"/>
        </w:rPr>
        <w:t>（2）要求投标供应商对投标文件有关事项作出澄清或者说明；</w:t>
      </w:r>
    </w:p>
    <w:p>
      <w:pPr>
        <w:spacing w:line="500" w:lineRule="exact"/>
        <w:ind w:firstLine="480" w:firstLineChars="200"/>
        <w:jc w:val="left"/>
        <w:rPr>
          <w:rFonts w:ascii="宋体" w:hAnsi="宋体" w:cs="仿宋"/>
          <w:sz w:val="24"/>
        </w:rPr>
      </w:pPr>
      <w:r>
        <w:rPr>
          <w:rFonts w:hint="eastAsia" w:ascii="宋体" w:hAnsi="宋体" w:cs="仿宋"/>
          <w:sz w:val="24"/>
        </w:rPr>
        <w:t>（3）对投标文件进行比较和评价；</w:t>
      </w:r>
    </w:p>
    <w:p>
      <w:pPr>
        <w:spacing w:line="500" w:lineRule="exact"/>
        <w:ind w:firstLine="480" w:firstLineChars="200"/>
        <w:jc w:val="left"/>
        <w:rPr>
          <w:rFonts w:ascii="宋体" w:hAnsi="宋体" w:cs="仿宋"/>
          <w:sz w:val="24"/>
        </w:rPr>
      </w:pPr>
      <w:r>
        <w:rPr>
          <w:rFonts w:hint="eastAsia" w:ascii="宋体" w:hAnsi="宋体" w:cs="仿宋"/>
          <w:sz w:val="24"/>
        </w:rPr>
        <w:t>（4）确定中标候选人名单，以及根据采购人委托直接确定中标人；</w:t>
      </w:r>
    </w:p>
    <w:p>
      <w:pPr>
        <w:spacing w:line="500" w:lineRule="exact"/>
        <w:ind w:firstLine="480" w:firstLineChars="200"/>
        <w:jc w:val="left"/>
        <w:rPr>
          <w:rFonts w:ascii="宋体" w:hAnsi="宋体" w:cs="仿宋"/>
          <w:sz w:val="24"/>
        </w:rPr>
      </w:pPr>
      <w:r>
        <w:rPr>
          <w:rFonts w:hint="eastAsia" w:ascii="宋体" w:hAnsi="宋体" w:cs="仿宋"/>
          <w:sz w:val="24"/>
        </w:rPr>
        <w:t>（5）向采购人、采购代理机构或者有关部门报告评审中发现的违法行为。</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（四）评审原则</w:t>
      </w:r>
    </w:p>
    <w:p>
      <w:pPr>
        <w:spacing w:line="500" w:lineRule="exact"/>
        <w:ind w:firstLine="480" w:firstLineChars="200"/>
        <w:jc w:val="left"/>
        <w:rPr>
          <w:rFonts w:ascii="宋体" w:hAnsi="宋体" w:cs="仿宋"/>
          <w:sz w:val="24"/>
        </w:rPr>
      </w:pPr>
      <w:r>
        <w:rPr>
          <w:rFonts w:hint="eastAsia" w:ascii="宋体" w:hAnsi="宋体" w:cs="仿宋"/>
          <w:sz w:val="24"/>
        </w:rPr>
        <w:t>1、评审原则：评标委员会按照客观、公正、审慎、择优的原则，根据采购文件规定的评审程序、评审方法和评审标准进行独立评审。</w:t>
      </w:r>
    </w:p>
    <w:p>
      <w:pPr>
        <w:spacing w:line="500" w:lineRule="exact"/>
        <w:ind w:firstLine="480" w:firstLineChars="200"/>
        <w:jc w:val="left"/>
        <w:rPr>
          <w:rFonts w:ascii="宋体" w:hAnsi="宋体" w:cs="仿宋"/>
          <w:sz w:val="24"/>
        </w:rPr>
      </w:pPr>
      <w:r>
        <w:rPr>
          <w:rFonts w:hint="eastAsia" w:ascii="宋体" w:hAnsi="宋体" w:cs="仿宋"/>
          <w:sz w:val="24"/>
        </w:rPr>
        <w:t>2、评审工作将依据采购文件、投标文件及采购文件中事先已列明的内容进行。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（五）评审意见的争议处理</w:t>
      </w:r>
    </w:p>
    <w:p>
      <w:pPr>
        <w:spacing w:line="500" w:lineRule="exact"/>
        <w:ind w:firstLine="480" w:firstLineChars="200"/>
        <w:jc w:val="left"/>
        <w:rPr>
          <w:rFonts w:ascii="宋体" w:hAnsi="宋体" w:cs="仿宋"/>
          <w:sz w:val="24"/>
        </w:rPr>
      </w:pPr>
      <w:r>
        <w:rPr>
          <w:rFonts w:hint="eastAsia" w:ascii="宋体" w:hAnsi="宋体" w:cs="仿宋"/>
          <w:sz w:val="24"/>
        </w:rPr>
        <w:t>评标委员会成员对需要共同认定的事项存在争议的，按照少数服从多数的原则作出结论。持不同意见的评标委员会成员应当在评审报告上签署不同意见及理由，否则视为同意评审报告。</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（六）评委纪律</w:t>
      </w:r>
    </w:p>
    <w:p>
      <w:pPr>
        <w:spacing w:line="500" w:lineRule="exact"/>
        <w:ind w:firstLine="480" w:firstLineChars="200"/>
        <w:jc w:val="left"/>
        <w:rPr>
          <w:rFonts w:ascii="宋体" w:hAnsi="宋体" w:cs="仿宋"/>
          <w:sz w:val="24"/>
        </w:rPr>
      </w:pPr>
      <w:r>
        <w:rPr>
          <w:rFonts w:hint="eastAsia" w:ascii="宋体" w:hAnsi="宋体" w:cs="仿宋"/>
          <w:sz w:val="24"/>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（七）评审流程及内容</w:t>
      </w:r>
    </w:p>
    <w:p>
      <w:pPr>
        <w:spacing w:line="500" w:lineRule="exact"/>
        <w:ind w:firstLine="482" w:firstLineChars="200"/>
        <w:jc w:val="left"/>
        <w:rPr>
          <w:rFonts w:ascii="宋体" w:hAnsi="宋体" w:cs="仿宋"/>
          <w:b/>
          <w:bCs/>
          <w:sz w:val="24"/>
        </w:rPr>
      </w:pPr>
      <w:r>
        <w:rPr>
          <w:rFonts w:hint="eastAsia" w:ascii="宋体" w:hAnsi="宋体" w:cs="仿宋"/>
          <w:b/>
          <w:bCs/>
          <w:sz w:val="24"/>
        </w:rPr>
        <w:t>本项目具体的评审事务由评标委员会负责，评审流程及内容如下：</w:t>
      </w:r>
    </w:p>
    <w:p>
      <w:pPr>
        <w:spacing w:line="500" w:lineRule="exact"/>
        <w:ind w:firstLine="480" w:firstLineChars="200"/>
        <w:jc w:val="left"/>
        <w:outlineLvl w:val="3"/>
        <w:rPr>
          <w:rFonts w:ascii="宋体" w:hAnsi="宋体" w:cs="仿宋"/>
          <w:sz w:val="24"/>
        </w:rPr>
      </w:pPr>
      <w:r>
        <w:rPr>
          <w:rFonts w:hint="eastAsia" w:ascii="宋体" w:hAnsi="宋体" w:cs="仿宋"/>
          <w:sz w:val="24"/>
        </w:rPr>
        <w:t>1、评审前准备</w:t>
      </w:r>
    </w:p>
    <w:p>
      <w:pPr>
        <w:spacing w:line="500" w:lineRule="exact"/>
        <w:ind w:firstLine="480" w:firstLineChars="200"/>
        <w:jc w:val="left"/>
        <w:rPr>
          <w:rFonts w:ascii="宋体" w:hAnsi="宋体" w:cs="仿宋"/>
          <w:sz w:val="24"/>
        </w:rPr>
      </w:pPr>
      <w:r>
        <w:rPr>
          <w:rFonts w:hint="eastAsia" w:ascii="宋体" w:hAnsi="宋体" w:cs="仿宋"/>
          <w:sz w:val="24"/>
        </w:rPr>
        <w:t>（1）由评审专家推选评审小组组长，采购人代表不得担任评审小组组长。</w:t>
      </w:r>
    </w:p>
    <w:p>
      <w:pPr>
        <w:spacing w:line="500" w:lineRule="exact"/>
        <w:ind w:firstLine="480" w:firstLineChars="200"/>
        <w:jc w:val="left"/>
        <w:rPr>
          <w:rFonts w:ascii="宋体" w:hAnsi="宋体" w:cs="仿宋"/>
          <w:sz w:val="24"/>
        </w:rPr>
      </w:pPr>
      <w:r>
        <w:rPr>
          <w:rFonts w:hint="eastAsia" w:ascii="宋体" w:hAnsi="宋体" w:cs="仿宋"/>
          <w:sz w:val="24"/>
        </w:rPr>
        <w:t>（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spacing w:line="500" w:lineRule="exact"/>
        <w:ind w:firstLine="480" w:firstLineChars="200"/>
        <w:jc w:val="left"/>
        <w:outlineLvl w:val="3"/>
        <w:rPr>
          <w:rFonts w:ascii="宋体" w:hAnsi="宋体" w:cs="仿宋"/>
          <w:sz w:val="24"/>
        </w:rPr>
      </w:pPr>
      <w:r>
        <w:rPr>
          <w:rFonts w:hint="eastAsia" w:ascii="宋体" w:hAnsi="宋体" w:cs="仿宋"/>
          <w:sz w:val="24"/>
        </w:rPr>
        <w:t>2、投标文件的初步审查、符合性审查</w:t>
      </w:r>
    </w:p>
    <w:p>
      <w:pPr>
        <w:spacing w:line="500" w:lineRule="exact"/>
        <w:ind w:firstLine="482" w:firstLineChars="200"/>
        <w:jc w:val="left"/>
        <w:rPr>
          <w:rFonts w:ascii="宋体" w:hAnsi="宋体" w:cs="仿宋"/>
          <w:b/>
          <w:bCs/>
          <w:sz w:val="24"/>
        </w:rPr>
      </w:pPr>
      <w:r>
        <w:rPr>
          <w:rFonts w:hint="eastAsia" w:ascii="宋体" w:hAnsi="宋体" w:cs="仿宋"/>
          <w:b/>
          <w:bCs/>
          <w:sz w:val="24"/>
        </w:rPr>
        <w:t>对所有通过资格审查的投标供应商的投标文件进行初步审查，审查、评价投标文件是否符合采购文件的资信、技术、服务等实质性要求。</w:t>
      </w:r>
    </w:p>
    <w:p>
      <w:pPr>
        <w:spacing w:line="500" w:lineRule="exact"/>
        <w:ind w:firstLine="480" w:firstLineChars="200"/>
        <w:jc w:val="left"/>
        <w:rPr>
          <w:rFonts w:ascii="宋体" w:hAnsi="宋体" w:cs="仿宋"/>
          <w:sz w:val="24"/>
        </w:rPr>
      </w:pPr>
      <w:r>
        <w:rPr>
          <w:rFonts w:hint="eastAsia" w:ascii="宋体" w:hAnsi="宋体" w:cs="仿宋"/>
          <w:sz w:val="24"/>
        </w:rPr>
        <w:t>（1）评标委员会首先对所有通过资格审查的投标供应商的投标文件进行符合性审查，审查每份投标文件是否实质上响应了采购文件的要求（实质性响应的投标文件是指投标文件符合采购文件规定的实质性内容、条件和规定）。</w:t>
      </w:r>
    </w:p>
    <w:p>
      <w:pPr>
        <w:spacing w:line="500" w:lineRule="exact"/>
        <w:ind w:firstLine="480" w:firstLineChars="200"/>
        <w:jc w:val="left"/>
        <w:outlineLvl w:val="3"/>
        <w:rPr>
          <w:rFonts w:ascii="宋体" w:hAnsi="宋体" w:cs="仿宋"/>
          <w:sz w:val="24"/>
        </w:rPr>
      </w:pPr>
      <w:r>
        <w:rPr>
          <w:rFonts w:hint="eastAsia" w:ascii="宋体" w:hAnsi="宋体" w:cs="仿宋"/>
          <w:sz w:val="24"/>
        </w:rPr>
        <w:t>3、投标文件的澄清、说明或补正</w:t>
      </w:r>
    </w:p>
    <w:p>
      <w:pPr>
        <w:spacing w:line="500" w:lineRule="exact"/>
        <w:ind w:firstLine="480" w:firstLineChars="200"/>
        <w:jc w:val="left"/>
        <w:rPr>
          <w:rFonts w:ascii="宋体" w:hAnsi="宋体" w:cs="仿宋"/>
          <w:sz w:val="24"/>
        </w:rPr>
      </w:pPr>
      <w:r>
        <w:rPr>
          <w:rFonts w:hint="eastAsia" w:ascii="宋体" w:hAnsi="宋体" w:cs="仿宋"/>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500" w:lineRule="exact"/>
        <w:ind w:firstLine="480" w:firstLineChars="200"/>
        <w:jc w:val="left"/>
        <w:rPr>
          <w:rFonts w:ascii="宋体" w:hAnsi="宋体" w:cs="仿宋"/>
          <w:sz w:val="24"/>
        </w:rPr>
      </w:pPr>
      <w:r>
        <w:rPr>
          <w:rFonts w:hint="eastAsia" w:ascii="宋体" w:hAnsi="宋体" w:cs="仿宋"/>
          <w:sz w:val="24"/>
        </w:rPr>
        <w:t>（2）评标过程中评标委员会对投标供应商提出质询或要求投标供应商书面确认的（或通过“政府采购云平台”在线答复），采用书面形式提交并加盖公章，或者由法定代表人或其授权的代表签字或盖章，30分钟内予以书面回复或确认，否则视为不予回复或确认，评标委员会有权拒绝该投标文件，澄清、说明或者补正不得超出投标文件的范围或者改变投标文件的实质性内容。</w:t>
      </w:r>
    </w:p>
    <w:p>
      <w:pPr>
        <w:spacing w:line="500" w:lineRule="exact"/>
        <w:ind w:firstLine="480" w:firstLineChars="200"/>
        <w:jc w:val="left"/>
        <w:outlineLvl w:val="3"/>
        <w:rPr>
          <w:rFonts w:ascii="宋体" w:hAnsi="宋体" w:cs="仿宋"/>
          <w:sz w:val="24"/>
        </w:rPr>
      </w:pPr>
      <w:r>
        <w:rPr>
          <w:rFonts w:hint="eastAsia" w:ascii="宋体" w:hAnsi="宋体" w:cs="仿宋"/>
          <w:sz w:val="24"/>
        </w:rPr>
        <w:t>4、投标文件的错误修正</w:t>
      </w:r>
    </w:p>
    <w:p>
      <w:pPr>
        <w:spacing w:line="500" w:lineRule="exact"/>
        <w:ind w:firstLine="480" w:firstLineChars="200"/>
        <w:jc w:val="left"/>
        <w:rPr>
          <w:rFonts w:ascii="宋体" w:hAnsi="宋体" w:cs="仿宋"/>
          <w:sz w:val="24"/>
        </w:rPr>
      </w:pPr>
      <w:r>
        <w:rPr>
          <w:rFonts w:hint="eastAsia" w:ascii="宋体" w:hAnsi="宋体" w:cs="仿宋"/>
          <w:sz w:val="24"/>
        </w:rPr>
        <w:t>《投标文件》如果出现计算或表达上的错误，修正错误的原则如下：</w:t>
      </w:r>
    </w:p>
    <w:p>
      <w:pPr>
        <w:spacing w:line="500" w:lineRule="exact"/>
        <w:ind w:firstLine="480" w:firstLineChars="200"/>
        <w:jc w:val="left"/>
        <w:rPr>
          <w:rFonts w:ascii="宋体" w:hAnsi="宋体" w:cs="仿宋"/>
          <w:sz w:val="24"/>
        </w:rPr>
      </w:pPr>
      <w:r>
        <w:rPr>
          <w:rFonts w:hint="eastAsia" w:ascii="宋体" w:hAnsi="宋体" w:cs="仿宋"/>
          <w:sz w:val="24"/>
        </w:rPr>
        <w:t>（1）投标文件中开标一览表内容与投标文件中相应内容不一致的，以开标一览表为准。</w:t>
      </w:r>
    </w:p>
    <w:p>
      <w:pPr>
        <w:spacing w:line="500" w:lineRule="exact"/>
        <w:ind w:firstLine="480" w:firstLineChars="200"/>
        <w:jc w:val="left"/>
        <w:rPr>
          <w:rFonts w:ascii="宋体" w:hAnsi="宋体" w:cs="仿宋"/>
          <w:sz w:val="24"/>
        </w:rPr>
      </w:pPr>
      <w:r>
        <w:rPr>
          <w:rFonts w:hint="eastAsia" w:ascii="宋体" w:hAnsi="宋体" w:cs="仿宋"/>
          <w:sz w:val="24"/>
        </w:rPr>
        <w:t>（2）《投标文件》的大写金额和小写金额不一致的，以大写金额为准；</w:t>
      </w:r>
    </w:p>
    <w:p>
      <w:pPr>
        <w:spacing w:line="500" w:lineRule="exact"/>
        <w:ind w:firstLine="480" w:firstLineChars="200"/>
        <w:jc w:val="left"/>
        <w:rPr>
          <w:rFonts w:ascii="宋体" w:hAnsi="宋体" w:cs="仿宋"/>
          <w:sz w:val="24"/>
        </w:rPr>
      </w:pPr>
      <w:r>
        <w:rPr>
          <w:rFonts w:hint="eastAsia" w:ascii="宋体" w:hAnsi="宋体" w:cs="仿宋"/>
          <w:sz w:val="24"/>
        </w:rPr>
        <w:t>（3）单价金额小数点或者百分比有明显错位的，应以开标一览表的总价为准，并修改单价；</w:t>
      </w:r>
    </w:p>
    <w:p>
      <w:pPr>
        <w:spacing w:line="500" w:lineRule="exact"/>
        <w:ind w:firstLine="480" w:firstLineChars="200"/>
        <w:jc w:val="left"/>
        <w:rPr>
          <w:rFonts w:ascii="宋体" w:hAnsi="宋体" w:cs="仿宋"/>
          <w:sz w:val="24"/>
        </w:rPr>
      </w:pPr>
      <w:r>
        <w:rPr>
          <w:rFonts w:hint="eastAsia" w:ascii="宋体" w:hAnsi="宋体" w:cs="仿宋"/>
          <w:sz w:val="24"/>
        </w:rPr>
        <w:t>（4）总价金额与按单价汇总金额不一致的，以单价金额计算结果为准。</w:t>
      </w:r>
    </w:p>
    <w:p>
      <w:pPr>
        <w:spacing w:line="500" w:lineRule="exact"/>
        <w:ind w:firstLine="480" w:firstLineChars="200"/>
        <w:jc w:val="left"/>
        <w:outlineLvl w:val="3"/>
        <w:rPr>
          <w:rFonts w:ascii="宋体" w:hAnsi="宋体" w:cs="仿宋"/>
          <w:sz w:val="24"/>
        </w:rPr>
      </w:pPr>
      <w:r>
        <w:rPr>
          <w:rFonts w:hint="eastAsia" w:ascii="宋体" w:hAnsi="宋体" w:cs="仿宋"/>
          <w:sz w:val="24"/>
        </w:rPr>
        <w:t>5、对不同文字文本《投标文件》的解释发生异议的，以中文文本为准。</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（八）投标文件有下列情况之一者将视为无效：</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1、资格文件、商务技术资信及其他文件符合性审查中，存在下列情形之一的，经评标委员会认定后作无效标处理：</w:t>
      </w:r>
    </w:p>
    <w:p>
      <w:pPr>
        <w:spacing w:line="500" w:lineRule="exact"/>
        <w:ind w:firstLine="480" w:firstLineChars="200"/>
        <w:jc w:val="left"/>
        <w:rPr>
          <w:rFonts w:ascii="宋体" w:hAnsi="宋体" w:cs="仿宋"/>
          <w:sz w:val="24"/>
        </w:rPr>
      </w:pPr>
      <w:r>
        <w:rPr>
          <w:rFonts w:hint="eastAsia" w:ascii="宋体" w:hAnsi="宋体" w:cs="仿宋"/>
          <w:sz w:val="24"/>
        </w:rPr>
        <w:t>（1）投标文件未有效授权，法定代表人授权委托书等填写错误或有涂改未修正的；</w:t>
      </w:r>
    </w:p>
    <w:p>
      <w:pPr>
        <w:spacing w:line="500" w:lineRule="exact"/>
        <w:ind w:firstLine="480" w:firstLineChars="200"/>
        <w:jc w:val="left"/>
        <w:rPr>
          <w:rFonts w:ascii="宋体" w:hAnsi="宋体" w:cs="仿宋"/>
          <w:sz w:val="24"/>
        </w:rPr>
      </w:pPr>
      <w:r>
        <w:rPr>
          <w:rFonts w:hint="eastAsia" w:ascii="宋体" w:hAnsi="宋体" w:cs="仿宋"/>
          <w:sz w:val="24"/>
        </w:rPr>
        <w:t>（2）投标文件没有对本采购文件作出实质性响应的，或不满足（不响应）本采购文件实质性要求条款的，或资格文件证明文件不全的，或存在采购文件中明确规定的其他无效标情形的；</w:t>
      </w:r>
    </w:p>
    <w:p>
      <w:pPr>
        <w:spacing w:line="500" w:lineRule="exact"/>
        <w:ind w:firstLine="480" w:firstLineChars="200"/>
        <w:jc w:val="left"/>
        <w:rPr>
          <w:rFonts w:ascii="宋体" w:hAnsi="宋体" w:cs="仿宋"/>
          <w:sz w:val="24"/>
        </w:rPr>
      </w:pPr>
      <w:r>
        <w:rPr>
          <w:rFonts w:hint="eastAsia" w:ascii="宋体" w:hAnsi="宋体" w:cs="仿宋"/>
          <w:sz w:val="24"/>
        </w:rPr>
        <w:t>（3）投标文件存在一个或一个以上备选（替代）投标方案的；</w:t>
      </w:r>
    </w:p>
    <w:p>
      <w:pPr>
        <w:spacing w:line="500" w:lineRule="exact"/>
        <w:ind w:firstLine="480" w:firstLineChars="200"/>
        <w:jc w:val="left"/>
        <w:rPr>
          <w:rFonts w:ascii="宋体" w:hAnsi="宋体" w:cs="仿宋"/>
          <w:sz w:val="24"/>
        </w:rPr>
      </w:pPr>
      <w:r>
        <w:rPr>
          <w:rFonts w:hint="eastAsia" w:ascii="宋体" w:hAnsi="宋体" w:cs="仿宋"/>
          <w:sz w:val="24"/>
        </w:rPr>
        <w:t>（4）仅提交“备份投标文件”的；</w:t>
      </w:r>
    </w:p>
    <w:p>
      <w:pPr>
        <w:spacing w:line="500" w:lineRule="exact"/>
        <w:ind w:firstLine="480" w:firstLineChars="200"/>
        <w:jc w:val="left"/>
        <w:rPr>
          <w:rFonts w:ascii="宋体" w:hAnsi="宋体" w:cs="仿宋"/>
          <w:sz w:val="24"/>
        </w:rPr>
      </w:pPr>
      <w:r>
        <w:rPr>
          <w:rFonts w:hint="eastAsia" w:ascii="宋体" w:hAnsi="宋体" w:cs="仿宋"/>
          <w:sz w:val="24"/>
        </w:rPr>
        <w:t>（5）资格文件组成内容不齐全；</w:t>
      </w:r>
    </w:p>
    <w:p>
      <w:pPr>
        <w:spacing w:line="500" w:lineRule="exact"/>
        <w:ind w:firstLine="480" w:firstLineChars="200"/>
        <w:jc w:val="left"/>
        <w:rPr>
          <w:rFonts w:ascii="宋体" w:hAnsi="宋体" w:cs="仿宋"/>
          <w:sz w:val="24"/>
        </w:rPr>
      </w:pPr>
      <w:r>
        <w:rPr>
          <w:rFonts w:hint="eastAsia" w:ascii="宋体" w:hAnsi="宋体" w:cs="仿宋"/>
          <w:sz w:val="24"/>
        </w:rPr>
        <w:t>（6）投标文件标注的响应或偏离情况与事实不符，或提供了虚假材料的；</w:t>
      </w:r>
    </w:p>
    <w:p>
      <w:pPr>
        <w:spacing w:line="500" w:lineRule="exact"/>
        <w:ind w:firstLine="480" w:firstLineChars="200"/>
        <w:jc w:val="left"/>
        <w:rPr>
          <w:rFonts w:ascii="宋体" w:hAnsi="宋体" w:cs="仿宋"/>
          <w:sz w:val="24"/>
        </w:rPr>
      </w:pPr>
      <w:r>
        <w:rPr>
          <w:rFonts w:hint="eastAsia" w:ascii="宋体" w:hAnsi="宋体" w:cs="仿宋"/>
          <w:sz w:val="24"/>
        </w:rPr>
        <w:t>（7）不响应或擅自改变本采购文件要求或投标文件有采购人不能接受的附加条件的；</w:t>
      </w:r>
    </w:p>
    <w:p>
      <w:pPr>
        <w:spacing w:line="500" w:lineRule="exact"/>
        <w:ind w:firstLine="480" w:firstLineChars="200"/>
        <w:jc w:val="left"/>
        <w:rPr>
          <w:rFonts w:ascii="宋体" w:hAnsi="宋体" w:cs="仿宋"/>
          <w:sz w:val="24"/>
        </w:rPr>
      </w:pPr>
      <w:r>
        <w:rPr>
          <w:rFonts w:hint="eastAsia" w:ascii="宋体" w:hAnsi="宋体" w:cs="仿宋"/>
          <w:sz w:val="24"/>
        </w:rPr>
        <w:t>（8）参加同一项目下政府采购活动的不同投标供应商之间存在利害关系并且存在影响政府采购公平竞争行为的；</w:t>
      </w:r>
    </w:p>
    <w:p>
      <w:pPr>
        <w:spacing w:line="500" w:lineRule="exact"/>
        <w:ind w:firstLine="480" w:firstLineChars="200"/>
        <w:jc w:val="left"/>
        <w:rPr>
          <w:rFonts w:ascii="宋体" w:hAnsi="宋体" w:cs="仿宋"/>
          <w:sz w:val="24"/>
        </w:rPr>
      </w:pPr>
      <w:r>
        <w:rPr>
          <w:rFonts w:hint="eastAsia" w:ascii="宋体" w:hAnsi="宋体" w:cs="仿宋"/>
          <w:sz w:val="24"/>
        </w:rPr>
        <w:t>（9）违反国家或政府部门相关法律、法规、文件规定的。</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2、报价文件符合性审查中，存在下列情形之一的，经评标委员会认定后作无效标处理：</w:t>
      </w:r>
    </w:p>
    <w:p>
      <w:pPr>
        <w:spacing w:line="500" w:lineRule="exact"/>
        <w:ind w:firstLine="480" w:firstLineChars="200"/>
        <w:jc w:val="left"/>
        <w:rPr>
          <w:rFonts w:ascii="宋体" w:hAnsi="宋体" w:cs="仿宋"/>
          <w:sz w:val="24"/>
        </w:rPr>
      </w:pPr>
      <w:r>
        <w:rPr>
          <w:rFonts w:hint="eastAsia" w:ascii="宋体" w:hAnsi="宋体" w:cs="仿宋"/>
          <w:sz w:val="24"/>
        </w:rPr>
        <w:t>（1）投标文件没有对本采购文件作出实质性响应的，或不满足（不响应）本采购文件规定的实质性要求条款的，或存在采购文件中明确规定的其他无效标情形的；</w:t>
      </w:r>
    </w:p>
    <w:p>
      <w:pPr>
        <w:spacing w:line="500" w:lineRule="exact"/>
        <w:ind w:firstLine="480" w:firstLineChars="200"/>
        <w:jc w:val="left"/>
        <w:rPr>
          <w:rFonts w:ascii="宋体" w:hAnsi="宋体" w:cs="仿宋"/>
          <w:sz w:val="24"/>
        </w:rPr>
      </w:pPr>
      <w:r>
        <w:rPr>
          <w:rFonts w:hint="eastAsia" w:ascii="宋体" w:hAnsi="宋体" w:cs="仿宋"/>
          <w:sz w:val="24"/>
        </w:rPr>
        <w:t>（2）投标文件存在一个或一个以上备选（替代）投标方案的；</w:t>
      </w:r>
    </w:p>
    <w:p>
      <w:pPr>
        <w:spacing w:line="500" w:lineRule="exact"/>
        <w:ind w:firstLine="480" w:firstLineChars="200"/>
        <w:jc w:val="left"/>
        <w:rPr>
          <w:rFonts w:ascii="宋体" w:hAnsi="宋体" w:cs="仿宋"/>
          <w:sz w:val="24"/>
        </w:rPr>
      </w:pPr>
      <w:r>
        <w:rPr>
          <w:rFonts w:hint="eastAsia" w:ascii="宋体" w:hAnsi="宋体" w:cs="仿宋"/>
          <w:sz w:val="24"/>
        </w:rPr>
        <w:t>（3）未按照采购文件标明的币种报价的，或者投标报价涵盖的内容不符合采购文件要求的；</w:t>
      </w:r>
    </w:p>
    <w:p>
      <w:pPr>
        <w:spacing w:line="500" w:lineRule="exact"/>
        <w:ind w:firstLine="480" w:firstLineChars="200"/>
        <w:jc w:val="left"/>
        <w:rPr>
          <w:rFonts w:ascii="宋体" w:hAnsi="宋体" w:cs="仿宋"/>
          <w:sz w:val="24"/>
        </w:rPr>
      </w:pPr>
      <w:r>
        <w:rPr>
          <w:rFonts w:hint="eastAsia" w:ascii="宋体" w:hAnsi="宋体" w:cs="仿宋"/>
          <w:sz w:val="24"/>
        </w:rPr>
        <w:t>（4）投标报价具有选择性；</w:t>
      </w:r>
    </w:p>
    <w:p>
      <w:pPr>
        <w:spacing w:line="500" w:lineRule="exact"/>
        <w:ind w:firstLine="480" w:firstLineChars="200"/>
        <w:jc w:val="left"/>
        <w:rPr>
          <w:rFonts w:ascii="宋体" w:hAnsi="宋体" w:cs="仿宋"/>
          <w:sz w:val="24"/>
        </w:rPr>
      </w:pPr>
      <w:r>
        <w:rPr>
          <w:rFonts w:hint="eastAsia" w:ascii="宋体" w:hAnsi="宋体" w:cs="仿宋"/>
          <w:sz w:val="24"/>
        </w:rPr>
        <w:t>（5）投标报价超过采购预算（或最高限价）的；</w:t>
      </w:r>
    </w:p>
    <w:p>
      <w:pPr>
        <w:spacing w:line="500" w:lineRule="exact"/>
        <w:ind w:firstLine="480" w:firstLineChars="200"/>
        <w:jc w:val="left"/>
        <w:rPr>
          <w:rFonts w:ascii="宋体" w:hAnsi="宋体" w:cs="仿宋"/>
          <w:sz w:val="24"/>
        </w:rPr>
      </w:pPr>
      <w:r>
        <w:rPr>
          <w:rFonts w:hint="eastAsia" w:ascii="宋体" w:hAnsi="宋体" w:cs="仿宋"/>
          <w:sz w:val="24"/>
        </w:rPr>
        <w:t>（6）投标文件组成内容不齐全，本采购文件规定必须提供而未提供的（属于资格审查范围的除外）；</w:t>
      </w:r>
    </w:p>
    <w:p>
      <w:pPr>
        <w:spacing w:line="500" w:lineRule="exact"/>
        <w:ind w:firstLine="480" w:firstLineChars="200"/>
        <w:jc w:val="left"/>
        <w:rPr>
          <w:rFonts w:ascii="宋体" w:hAnsi="宋体" w:cs="仿宋"/>
          <w:sz w:val="24"/>
        </w:rPr>
      </w:pPr>
      <w:r>
        <w:rPr>
          <w:rFonts w:hint="eastAsia" w:ascii="宋体" w:hAnsi="宋体" w:cs="仿宋"/>
          <w:sz w:val="24"/>
        </w:rPr>
        <w:t>（7）投标文件标注的响应或偏离情况与事实不符，或提供了虚假材料的；</w:t>
      </w:r>
    </w:p>
    <w:p>
      <w:pPr>
        <w:spacing w:line="500" w:lineRule="exact"/>
        <w:ind w:firstLine="480" w:firstLineChars="200"/>
        <w:jc w:val="left"/>
        <w:rPr>
          <w:rFonts w:ascii="宋体" w:hAnsi="宋体" w:cs="仿宋"/>
          <w:sz w:val="24"/>
        </w:rPr>
      </w:pPr>
      <w:r>
        <w:rPr>
          <w:rFonts w:hint="eastAsia" w:ascii="宋体" w:hAnsi="宋体" w:cs="仿宋"/>
          <w:sz w:val="24"/>
        </w:rPr>
        <w:t>（8）不响应或擅自改变本采购文件要求或投标文件有采购人不能接受的附加条件的；</w:t>
      </w:r>
    </w:p>
    <w:p>
      <w:pPr>
        <w:spacing w:line="500" w:lineRule="exact"/>
        <w:ind w:firstLine="480" w:firstLineChars="200"/>
        <w:jc w:val="left"/>
        <w:rPr>
          <w:rFonts w:ascii="宋体" w:hAnsi="宋体" w:cs="仿宋"/>
          <w:sz w:val="24"/>
        </w:rPr>
      </w:pPr>
      <w:r>
        <w:rPr>
          <w:rFonts w:hint="eastAsia" w:ascii="宋体" w:hAnsi="宋体" w:cs="仿宋"/>
          <w:sz w:val="24"/>
        </w:rPr>
        <w:t>（9）评审委员会认为投标供应商报价明显低于其他合格投标供应商的报价，有可能影响服务质量或者不能诚信履约的，应当要求其在合理时间内提供书面说明，必要时提供相关证明材料；投标供应商不能证明其报价合理性的，评审委员会应当将其作为无效投标或者无效响应处理；</w:t>
      </w:r>
    </w:p>
    <w:p>
      <w:pPr>
        <w:spacing w:line="500" w:lineRule="exact"/>
        <w:ind w:firstLine="480" w:firstLineChars="200"/>
        <w:jc w:val="left"/>
        <w:rPr>
          <w:rFonts w:ascii="宋体" w:hAnsi="宋体" w:cs="仿宋"/>
          <w:sz w:val="24"/>
        </w:rPr>
      </w:pPr>
      <w:r>
        <w:rPr>
          <w:rFonts w:hint="eastAsia" w:ascii="宋体" w:hAnsi="宋体" w:cs="仿宋"/>
          <w:sz w:val="24"/>
        </w:rPr>
        <w:t>（10）违反国家或政府部门相关法律、法规、文件规定的。</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（九）投标文件的评估、比较、评分</w:t>
      </w:r>
    </w:p>
    <w:p>
      <w:pPr>
        <w:spacing w:line="500" w:lineRule="exact"/>
        <w:ind w:firstLine="480" w:firstLineChars="200"/>
        <w:jc w:val="left"/>
        <w:rPr>
          <w:rFonts w:ascii="宋体" w:hAnsi="宋体" w:cs="仿宋"/>
          <w:sz w:val="24"/>
        </w:rPr>
      </w:pPr>
      <w:r>
        <w:rPr>
          <w:rFonts w:hint="eastAsia" w:ascii="宋体" w:hAnsi="宋体" w:cs="仿宋"/>
          <w:sz w:val="24"/>
        </w:rPr>
        <w:t>1、评标委员会应当按照采购文件中规定的评审方法和标准，对符合性审查合格的投标文件进行商务和技术评估，综合比较与评价。评标时，评标委员会各成员将独立对每个投标供应商的投标文件进行评价，并汇总每个投标供应商的得分。评审细则详见第四部分“评标办法及评分标准”。</w:t>
      </w:r>
    </w:p>
    <w:p>
      <w:pPr>
        <w:spacing w:line="500" w:lineRule="exact"/>
        <w:ind w:firstLine="480" w:firstLineChars="200"/>
        <w:jc w:val="left"/>
        <w:rPr>
          <w:rFonts w:ascii="宋体" w:hAnsi="宋体" w:cs="仿宋"/>
          <w:sz w:val="24"/>
        </w:rPr>
      </w:pPr>
      <w:r>
        <w:rPr>
          <w:rFonts w:hint="eastAsia" w:ascii="宋体" w:hAnsi="宋体" w:cs="仿宋"/>
          <w:sz w:val="24"/>
        </w:rPr>
        <w:t>2、对采购代理机构工作人员汇总的评审结果进行确认。如发现分值汇总计算错误、分项评分超出评分标准范围、客观评分不一致以及存在畸高、畸低（其总评分偏离平均分30%以上的）情形的，评审小组组长应提醒相关评审人员当场改正或书面说明理由，拒不改正又不作书面说明的，由现场监督员如实记载后存入项目档案资料。</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（十）修改评审结果</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1、评标结果汇总完成后，除下列情形外，任何人不得修改评标结果：</w:t>
      </w:r>
    </w:p>
    <w:p>
      <w:pPr>
        <w:spacing w:line="500" w:lineRule="exact"/>
        <w:ind w:firstLine="480" w:firstLineChars="200"/>
        <w:jc w:val="left"/>
        <w:rPr>
          <w:rFonts w:ascii="宋体" w:hAnsi="宋体" w:cs="仿宋"/>
          <w:sz w:val="24"/>
        </w:rPr>
      </w:pPr>
      <w:r>
        <w:rPr>
          <w:rFonts w:hint="eastAsia" w:ascii="宋体" w:hAnsi="宋体" w:cs="仿宋"/>
          <w:sz w:val="24"/>
        </w:rPr>
        <w:t>（1）分值汇总计算错误的；</w:t>
      </w:r>
    </w:p>
    <w:p>
      <w:pPr>
        <w:spacing w:line="500" w:lineRule="exact"/>
        <w:ind w:firstLine="480" w:firstLineChars="200"/>
        <w:jc w:val="left"/>
        <w:rPr>
          <w:rFonts w:ascii="宋体" w:hAnsi="宋体" w:cs="仿宋"/>
          <w:sz w:val="24"/>
        </w:rPr>
      </w:pPr>
      <w:r>
        <w:rPr>
          <w:rFonts w:hint="eastAsia" w:ascii="宋体" w:hAnsi="宋体" w:cs="仿宋"/>
          <w:sz w:val="24"/>
        </w:rPr>
        <w:t>（2）分项评分超出评分标准范围的；</w:t>
      </w:r>
    </w:p>
    <w:p>
      <w:pPr>
        <w:spacing w:line="500" w:lineRule="exact"/>
        <w:ind w:firstLine="480" w:firstLineChars="200"/>
        <w:jc w:val="left"/>
        <w:rPr>
          <w:rFonts w:ascii="宋体" w:hAnsi="宋体" w:cs="仿宋"/>
          <w:sz w:val="24"/>
        </w:rPr>
      </w:pPr>
      <w:r>
        <w:rPr>
          <w:rFonts w:hint="eastAsia" w:ascii="宋体" w:hAnsi="宋体" w:cs="仿宋"/>
          <w:sz w:val="24"/>
        </w:rPr>
        <w:t>（3）评标委员会成员对客观评审因素评分不一致的；</w:t>
      </w:r>
    </w:p>
    <w:p>
      <w:pPr>
        <w:spacing w:line="500" w:lineRule="exact"/>
        <w:ind w:firstLine="480" w:firstLineChars="200"/>
        <w:jc w:val="left"/>
        <w:rPr>
          <w:rFonts w:ascii="宋体" w:hAnsi="宋体" w:cs="仿宋"/>
          <w:sz w:val="24"/>
        </w:rPr>
      </w:pPr>
      <w:r>
        <w:rPr>
          <w:rFonts w:hint="eastAsia" w:ascii="宋体" w:hAnsi="宋体" w:cs="仿宋"/>
          <w:sz w:val="24"/>
        </w:rPr>
        <w:t>（4）经评标委员会认定评分畸高、畸低的。</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2、评标报告签署前，经复核发现存在以上情形之一的，评标委员会将当场修改评标结果，并在评标报告中记载。</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（十一）投标供应商排序及推荐中标候选投标供应商</w:t>
      </w:r>
    </w:p>
    <w:p>
      <w:pPr>
        <w:spacing w:line="500" w:lineRule="exact"/>
        <w:ind w:firstLine="480" w:firstLineChars="200"/>
        <w:jc w:val="left"/>
        <w:rPr>
          <w:rFonts w:ascii="宋体" w:hAnsi="宋体" w:cs="仿宋"/>
          <w:sz w:val="24"/>
        </w:rPr>
      </w:pPr>
      <w:r>
        <w:rPr>
          <w:rFonts w:hint="eastAsia" w:ascii="宋体" w:hAnsi="宋体" w:cs="仿宋"/>
          <w:sz w:val="24"/>
        </w:rPr>
        <w:t>评标委员会根据以下规定确定投标供应商排名并推荐中标候选投标供应商。</w:t>
      </w:r>
    </w:p>
    <w:p>
      <w:pPr>
        <w:spacing w:line="500" w:lineRule="exact"/>
        <w:ind w:firstLine="482" w:firstLineChars="200"/>
        <w:rPr>
          <w:rFonts w:ascii="宋体" w:hAnsi="宋体" w:cs="宋体"/>
          <w:kern w:val="0"/>
          <w:sz w:val="24"/>
        </w:rPr>
      </w:pPr>
      <w:r>
        <w:rPr>
          <w:rFonts w:hint="eastAsia" w:ascii="宋体" w:hAnsi="宋体" w:cs="宋体"/>
          <w:b/>
          <w:sz w:val="24"/>
        </w:rPr>
        <w:t>1、评标委员会根据各投标供应商的综合得分（商务技术分与报价得分之和）从高到低依次进行排名排序。特殊情形按以下原则处理：</w:t>
      </w:r>
    </w:p>
    <w:p>
      <w:pPr>
        <w:spacing w:line="500" w:lineRule="exact"/>
        <w:ind w:firstLine="480" w:firstLineChars="200"/>
        <w:jc w:val="left"/>
        <w:rPr>
          <w:rFonts w:ascii="宋体" w:hAnsi="宋体" w:cs="仿宋"/>
          <w:sz w:val="24"/>
        </w:rPr>
      </w:pPr>
      <w:r>
        <w:rPr>
          <w:rFonts w:hint="eastAsia" w:ascii="宋体" w:hAnsi="宋体" w:cs="仿宋"/>
          <w:sz w:val="24"/>
        </w:rPr>
        <w:t>（1）综合得分相同的，按投标报价低的优先原则确定排名；</w:t>
      </w:r>
    </w:p>
    <w:p>
      <w:pPr>
        <w:spacing w:line="500" w:lineRule="exact"/>
        <w:ind w:firstLine="480" w:firstLineChars="200"/>
        <w:jc w:val="left"/>
        <w:rPr>
          <w:rFonts w:ascii="宋体" w:hAnsi="宋体" w:cs="仿宋"/>
          <w:sz w:val="24"/>
        </w:rPr>
      </w:pPr>
      <w:r>
        <w:rPr>
          <w:rFonts w:hint="eastAsia" w:ascii="宋体" w:hAnsi="宋体" w:cs="仿宋"/>
          <w:sz w:val="24"/>
        </w:rPr>
        <w:t>（2）综合得分和投标报价均相同的，按技术得分从高到低确定排名；</w:t>
      </w:r>
    </w:p>
    <w:p>
      <w:pPr>
        <w:spacing w:line="500" w:lineRule="exact"/>
        <w:ind w:firstLine="482" w:firstLineChars="200"/>
        <w:rPr>
          <w:rFonts w:ascii="宋体" w:hAnsi="宋体" w:cs="宋体"/>
          <w:b/>
          <w:sz w:val="24"/>
        </w:rPr>
      </w:pPr>
      <w:r>
        <w:rPr>
          <w:rFonts w:hint="eastAsia" w:ascii="宋体" w:hAnsi="宋体" w:cs="宋体"/>
          <w:b/>
          <w:sz w:val="24"/>
        </w:rPr>
        <w:t>2、根据最终得分排序，通过书面评审报告的形式，向采购人推荐排名第一的投标供应商为中标人。</w:t>
      </w:r>
    </w:p>
    <w:p>
      <w:pPr>
        <w:spacing w:line="500" w:lineRule="exact"/>
        <w:ind w:firstLine="482" w:firstLineChars="200"/>
        <w:rPr>
          <w:rFonts w:ascii="宋体" w:hAnsi="宋体" w:cs="宋体"/>
          <w:b/>
          <w:sz w:val="24"/>
        </w:rPr>
      </w:pPr>
      <w:r>
        <w:rPr>
          <w:rFonts w:hint="eastAsia" w:ascii="宋体" w:hAnsi="宋体" w:cs="宋体"/>
          <w:b/>
          <w:sz w:val="24"/>
        </w:rPr>
        <w:t>（十二）起草、签署评审报告</w:t>
      </w:r>
    </w:p>
    <w:p>
      <w:pPr>
        <w:autoSpaceDE w:val="0"/>
        <w:autoSpaceDN w:val="0"/>
        <w:spacing w:line="500" w:lineRule="exact"/>
        <w:ind w:firstLine="480" w:firstLineChars="200"/>
        <w:rPr>
          <w:rFonts w:ascii="宋体" w:hAnsi="宋体" w:cs="宋体"/>
          <w:sz w:val="24"/>
        </w:rPr>
      </w:pPr>
      <w:r>
        <w:rPr>
          <w:rFonts w:hint="eastAsia" w:ascii="宋体" w:hAnsi="宋体" w:cs="宋体"/>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09"/>
        <w:spacing w:before="0" w:line="500" w:lineRule="exact"/>
        <w:ind w:firstLine="482"/>
        <w:outlineLvl w:val="0"/>
        <w:rPr>
          <w:rFonts w:ascii="宋体" w:hAnsi="宋体" w:cs="宋体"/>
          <w:b/>
          <w:szCs w:val="24"/>
        </w:rPr>
      </w:pPr>
      <w:r>
        <w:rPr>
          <w:rFonts w:hint="eastAsia" w:ascii="宋体" w:hAnsi="宋体" w:cs="宋体"/>
          <w:b/>
          <w:szCs w:val="24"/>
        </w:rPr>
        <w:t>（十三） 评标内容的保密</w:t>
      </w:r>
    </w:p>
    <w:p>
      <w:pPr>
        <w:pStyle w:val="109"/>
        <w:spacing w:before="0" w:line="500" w:lineRule="exact"/>
        <w:ind w:firstLine="480"/>
        <w:rPr>
          <w:rFonts w:ascii="宋体" w:hAnsi="宋体" w:cs="宋体"/>
          <w:szCs w:val="24"/>
        </w:rPr>
      </w:pPr>
      <w:r>
        <w:rPr>
          <w:rFonts w:hint="eastAsia" w:ascii="宋体" w:hAnsi="宋体" w:cs="宋体"/>
          <w:szCs w:val="24"/>
        </w:rPr>
        <w:t>1、公开开标后，直到宣布中标人止，凡属于审查、澄清、评价和比较投标的所有资料，都不应向投标供应商或与评标无关的其他人泄露。</w:t>
      </w:r>
    </w:p>
    <w:p>
      <w:pPr>
        <w:pStyle w:val="109"/>
        <w:spacing w:before="0" w:line="500" w:lineRule="exact"/>
        <w:ind w:firstLine="480"/>
        <w:rPr>
          <w:rFonts w:ascii="宋体" w:hAnsi="宋体" w:cs="宋体"/>
          <w:szCs w:val="24"/>
        </w:rPr>
      </w:pPr>
      <w:r>
        <w:rPr>
          <w:rFonts w:hint="eastAsia" w:ascii="宋体" w:hAnsi="宋体" w:cs="宋体"/>
          <w:szCs w:val="24"/>
        </w:rPr>
        <w:t>2、在投标文件的审查、澄清、评价和比较以及确定中标人过程中，投标供应商对采购人和评标机构施加影响的任何行为，都将导致取消资格。</w:t>
      </w:r>
    </w:p>
    <w:p>
      <w:pPr>
        <w:pStyle w:val="109"/>
        <w:spacing w:before="0" w:line="500" w:lineRule="exact"/>
        <w:ind w:firstLine="482"/>
        <w:outlineLvl w:val="2"/>
        <w:rPr>
          <w:rFonts w:ascii="宋体" w:hAnsi="宋体" w:cs="宋体"/>
          <w:b/>
          <w:szCs w:val="24"/>
        </w:rPr>
      </w:pPr>
      <w:r>
        <w:rPr>
          <w:rFonts w:hint="eastAsia" w:ascii="宋体" w:hAnsi="宋体" w:cs="宋体"/>
          <w:b/>
          <w:szCs w:val="24"/>
        </w:rPr>
        <w:t>（十四） 投标文件的澄清</w:t>
      </w:r>
    </w:p>
    <w:p>
      <w:pPr>
        <w:snapToGrid w:val="0"/>
        <w:spacing w:line="500" w:lineRule="exact"/>
        <w:ind w:firstLine="480" w:firstLineChars="200"/>
        <w:rPr>
          <w:rFonts w:ascii="宋体" w:hAnsi="宋体" w:cs="宋体"/>
          <w:sz w:val="24"/>
        </w:rPr>
      </w:pPr>
      <w:r>
        <w:rPr>
          <w:rFonts w:hint="eastAsia" w:ascii="宋体" w:hAnsi="宋体" w:cs="宋体"/>
          <w:sz w:val="24"/>
        </w:rPr>
        <w:t>1、公开开标后，直到宣布中标人止，凡属于审查、澄清、评价和比较投标的所有资料，都不应向投标供应商或与评标无关的其他人泄露。</w:t>
      </w:r>
    </w:p>
    <w:p>
      <w:pPr>
        <w:snapToGrid w:val="0"/>
        <w:spacing w:line="500" w:lineRule="exact"/>
        <w:ind w:firstLine="480" w:firstLineChars="200"/>
        <w:rPr>
          <w:rFonts w:ascii="宋体" w:hAnsi="宋体" w:cs="宋体"/>
          <w:sz w:val="24"/>
        </w:rPr>
      </w:pPr>
      <w:r>
        <w:rPr>
          <w:rFonts w:hint="eastAsia" w:ascii="宋体" w:hAnsi="宋体" w:cs="宋体"/>
          <w:sz w:val="24"/>
        </w:rPr>
        <w:t>2、在投标文件的审查、澄清、评价和比较以及确定中标人过程中，投标供应商对采购人、采购代理机构和评标委员会施加影响的任何行为，都将导致取消资格。</w:t>
      </w:r>
    </w:p>
    <w:p>
      <w:pPr>
        <w:pStyle w:val="109"/>
        <w:spacing w:before="0" w:line="500" w:lineRule="exact"/>
        <w:ind w:firstLine="482"/>
        <w:outlineLvl w:val="2"/>
        <w:rPr>
          <w:rFonts w:ascii="宋体" w:hAnsi="宋体" w:cs="宋体"/>
          <w:b/>
          <w:szCs w:val="24"/>
        </w:rPr>
      </w:pPr>
      <w:r>
        <w:rPr>
          <w:rFonts w:hint="eastAsia" w:ascii="宋体" w:hAnsi="宋体" w:cs="宋体"/>
          <w:b/>
          <w:szCs w:val="24"/>
        </w:rPr>
        <w:t>（十五）废标</w:t>
      </w:r>
    </w:p>
    <w:p>
      <w:pPr>
        <w:pStyle w:val="3"/>
        <w:snapToGrid w:val="0"/>
        <w:rPr>
          <w:rFonts w:hAnsi="宋体" w:cs="宋体"/>
          <w:sz w:val="24"/>
          <w:szCs w:val="24"/>
        </w:rPr>
      </w:pPr>
      <w:r>
        <w:rPr>
          <w:rFonts w:hint="eastAsia" w:hAnsi="宋体" w:cs="宋体"/>
          <w:sz w:val="24"/>
          <w:szCs w:val="24"/>
        </w:rPr>
        <w:t>在采购中，出现下列情形之一的，应予废标：</w:t>
      </w:r>
    </w:p>
    <w:p>
      <w:pPr>
        <w:pStyle w:val="3"/>
        <w:snapToGrid w:val="0"/>
        <w:rPr>
          <w:rFonts w:hAnsi="宋体" w:cs="宋体"/>
          <w:sz w:val="24"/>
          <w:szCs w:val="24"/>
        </w:rPr>
      </w:pPr>
      <w:r>
        <w:rPr>
          <w:rFonts w:hint="eastAsia" w:hAnsi="宋体" w:cs="宋体"/>
          <w:sz w:val="24"/>
          <w:szCs w:val="24"/>
        </w:rPr>
        <w:t>1、符合专业条件的投标供应商或者对采购文件作实质响应的投标供应商不足3家的；</w:t>
      </w:r>
    </w:p>
    <w:p>
      <w:pPr>
        <w:pStyle w:val="3"/>
        <w:snapToGrid w:val="0"/>
        <w:rPr>
          <w:rFonts w:hAnsi="宋体" w:cs="宋体"/>
          <w:sz w:val="24"/>
          <w:szCs w:val="24"/>
        </w:rPr>
      </w:pPr>
      <w:r>
        <w:rPr>
          <w:rFonts w:hint="eastAsia" w:hAnsi="宋体" w:cs="宋体"/>
          <w:sz w:val="24"/>
          <w:szCs w:val="24"/>
        </w:rPr>
        <w:t>2、出现影响采购公正的违法、违规行为的；</w:t>
      </w:r>
    </w:p>
    <w:p>
      <w:pPr>
        <w:pStyle w:val="3"/>
        <w:snapToGrid w:val="0"/>
        <w:rPr>
          <w:rFonts w:hAnsi="宋体" w:cs="宋体"/>
          <w:sz w:val="24"/>
          <w:szCs w:val="24"/>
        </w:rPr>
      </w:pPr>
      <w:r>
        <w:rPr>
          <w:rFonts w:hint="eastAsia" w:hAnsi="宋体" w:cs="宋体"/>
          <w:sz w:val="24"/>
          <w:szCs w:val="24"/>
        </w:rPr>
        <w:t>3、报价均超过预算，不能支付的；</w:t>
      </w:r>
    </w:p>
    <w:p>
      <w:pPr>
        <w:snapToGrid w:val="0"/>
        <w:spacing w:line="500" w:lineRule="exact"/>
        <w:ind w:firstLine="480" w:firstLineChars="200"/>
        <w:rPr>
          <w:rFonts w:ascii="宋体" w:hAnsi="宋体" w:cs="宋体"/>
          <w:bCs/>
          <w:sz w:val="24"/>
        </w:rPr>
      </w:pPr>
      <w:r>
        <w:rPr>
          <w:rFonts w:hint="eastAsia" w:ascii="宋体" w:hAnsi="宋体" w:cs="宋体"/>
          <w:sz w:val="24"/>
        </w:rPr>
        <w:t>4、因重大变故，采购任务取消的。</w:t>
      </w:r>
    </w:p>
    <w:p>
      <w:pPr>
        <w:pStyle w:val="109"/>
        <w:spacing w:before="0" w:line="500" w:lineRule="exact"/>
        <w:ind w:firstLine="482"/>
        <w:outlineLvl w:val="2"/>
        <w:rPr>
          <w:rFonts w:ascii="宋体" w:hAnsi="宋体" w:cs="宋体"/>
          <w:b/>
          <w:szCs w:val="24"/>
        </w:rPr>
      </w:pPr>
      <w:r>
        <w:rPr>
          <w:rFonts w:hint="eastAsia" w:ascii="宋体" w:hAnsi="宋体" w:cs="宋体"/>
          <w:b/>
          <w:szCs w:val="24"/>
        </w:rPr>
        <w:t>（十六）可中止电子交易活动的情形</w:t>
      </w:r>
    </w:p>
    <w:p>
      <w:pPr>
        <w:spacing w:line="500" w:lineRule="exact"/>
        <w:ind w:firstLine="482" w:firstLineChars="200"/>
        <w:rPr>
          <w:rFonts w:ascii="宋体" w:hAnsi="宋体" w:cs="宋体"/>
          <w:sz w:val="24"/>
        </w:rPr>
      </w:pPr>
      <w:r>
        <w:rPr>
          <w:rFonts w:hint="eastAsia" w:ascii="宋体" w:hAnsi="宋体" w:cs="宋体"/>
          <w:b/>
          <w:sz w:val="24"/>
        </w:rPr>
        <w:t>采购过程中出现以下情形，导致电子交易平台无法正常运行，或者无法保证电子交易的公平、公正和安全时，采购代理机构可中止电子交易活动：</w:t>
      </w:r>
    </w:p>
    <w:p>
      <w:pPr>
        <w:spacing w:line="500" w:lineRule="exact"/>
        <w:ind w:firstLine="480" w:firstLineChars="200"/>
        <w:rPr>
          <w:rFonts w:ascii="宋体" w:hAnsi="宋体" w:cs="宋体"/>
          <w:sz w:val="24"/>
        </w:rPr>
      </w:pPr>
      <w:r>
        <w:rPr>
          <w:rFonts w:hint="eastAsia" w:ascii="宋体" w:hAnsi="宋体" w:cs="宋体"/>
          <w:sz w:val="24"/>
        </w:rPr>
        <w:t>1、电子交易平台发生故障而无法登录访问的；</w:t>
      </w:r>
    </w:p>
    <w:p>
      <w:pPr>
        <w:spacing w:line="500" w:lineRule="exact"/>
        <w:ind w:firstLine="480" w:firstLineChars="200"/>
        <w:rPr>
          <w:rFonts w:ascii="宋体" w:hAnsi="宋体" w:cs="宋体"/>
          <w:sz w:val="24"/>
        </w:rPr>
      </w:pPr>
      <w:r>
        <w:rPr>
          <w:rFonts w:hint="eastAsia" w:ascii="宋体" w:hAnsi="宋体" w:cs="宋体"/>
          <w:sz w:val="24"/>
        </w:rPr>
        <w:t>2、电子交易平台应用或数据库出现错误，不能进行正常操作的；</w:t>
      </w:r>
    </w:p>
    <w:p>
      <w:pPr>
        <w:spacing w:line="500" w:lineRule="exact"/>
        <w:ind w:firstLine="480" w:firstLineChars="200"/>
        <w:rPr>
          <w:rFonts w:ascii="宋体" w:hAnsi="宋体" w:cs="宋体"/>
          <w:sz w:val="24"/>
        </w:rPr>
      </w:pPr>
      <w:r>
        <w:rPr>
          <w:rFonts w:hint="eastAsia" w:ascii="宋体" w:hAnsi="宋体" w:cs="宋体"/>
          <w:sz w:val="24"/>
        </w:rPr>
        <w:t>3、电子交易平台发现严重安全漏洞，有潜在泄密危险的；</w:t>
      </w:r>
    </w:p>
    <w:p>
      <w:pPr>
        <w:spacing w:line="500" w:lineRule="exact"/>
        <w:ind w:firstLine="480" w:firstLineChars="200"/>
        <w:rPr>
          <w:rFonts w:ascii="宋体" w:hAnsi="宋体" w:cs="宋体"/>
          <w:sz w:val="24"/>
        </w:rPr>
      </w:pPr>
      <w:r>
        <w:rPr>
          <w:rFonts w:hint="eastAsia" w:ascii="宋体" w:hAnsi="宋体" w:cs="宋体"/>
          <w:sz w:val="24"/>
        </w:rPr>
        <w:t>4、病毒发作导致不能进行正常操作的；</w:t>
      </w:r>
    </w:p>
    <w:p>
      <w:pPr>
        <w:spacing w:line="500" w:lineRule="exact"/>
        <w:ind w:firstLine="480" w:firstLineChars="200"/>
        <w:rPr>
          <w:rFonts w:ascii="宋体" w:hAnsi="宋体" w:cs="宋体"/>
          <w:sz w:val="24"/>
        </w:rPr>
      </w:pPr>
      <w:r>
        <w:rPr>
          <w:rFonts w:hint="eastAsia" w:ascii="宋体" w:hAnsi="宋体" w:cs="宋体"/>
          <w:sz w:val="24"/>
        </w:rPr>
        <w:t>5、其他无法保证电子交易的公平、公正和安全的情况。</w:t>
      </w:r>
    </w:p>
    <w:p>
      <w:pPr>
        <w:pStyle w:val="3"/>
        <w:snapToGrid w:val="0"/>
        <w:ind w:firstLine="482" w:firstLineChars="200"/>
        <w:rPr>
          <w:rFonts w:hAnsi="宋体" w:cs="仿宋"/>
          <w:b/>
          <w:sz w:val="24"/>
          <w:szCs w:val="24"/>
        </w:rPr>
      </w:pPr>
      <w:r>
        <w:rPr>
          <w:rFonts w:hint="eastAsia" w:hAnsi="宋体" w:cs="宋体"/>
          <w:b/>
          <w:sz w:val="24"/>
          <w:szCs w:val="24"/>
        </w:rPr>
        <w:t>出现以上规定的情形，如果不影响采购公平、公正性的，采购代理机构可以待上述情形消除后继续组织电子交易活动；如果影响或可能影响采购公平、公正性的，应当重新采购</w:t>
      </w:r>
      <w:r>
        <w:rPr>
          <w:rFonts w:hint="eastAsia" w:hAnsi="宋体" w:cs="仿宋"/>
          <w:b/>
          <w:sz w:val="24"/>
          <w:szCs w:val="24"/>
        </w:rPr>
        <w:t>。</w:t>
      </w:r>
    </w:p>
    <w:p>
      <w:pPr>
        <w:spacing w:line="500" w:lineRule="exact"/>
        <w:jc w:val="center"/>
        <w:outlineLvl w:val="1"/>
        <w:rPr>
          <w:rFonts w:ascii="宋体" w:hAnsi="宋体" w:cs="仿宋"/>
          <w:b/>
          <w:sz w:val="32"/>
          <w:szCs w:val="32"/>
        </w:rPr>
      </w:pPr>
      <w:bookmarkStart w:id="26" w:name="_Toc7711"/>
      <w:r>
        <w:rPr>
          <w:rFonts w:hint="eastAsia" w:ascii="宋体" w:hAnsi="宋体" w:cs="仿宋"/>
          <w:b/>
          <w:sz w:val="32"/>
          <w:szCs w:val="32"/>
        </w:rPr>
        <w:t>六、定标</w:t>
      </w:r>
      <w:bookmarkEnd w:id="26"/>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（一）确定中标人。本项目由采购单位授权评标委员会直接确定中标人。</w:t>
      </w:r>
    </w:p>
    <w:p>
      <w:pPr>
        <w:snapToGrid w:val="0"/>
        <w:spacing w:line="360" w:lineRule="auto"/>
        <w:ind w:firstLine="480" w:firstLineChars="200"/>
        <w:rPr>
          <w:rFonts w:ascii="宋体" w:hAnsi="宋体" w:cs="仿宋"/>
          <w:sz w:val="24"/>
        </w:rPr>
      </w:pPr>
      <w:r>
        <w:rPr>
          <w:rFonts w:hint="eastAsia" w:ascii="宋体" w:hAnsi="宋体" w:cs="仿宋"/>
          <w:sz w:val="24"/>
        </w:rPr>
        <w:t>1、采购代理机构在评标结束后2个工作日内将评标报告交采购单位确认，同时在发布招标公告的网站上对评标结果进行公示。</w:t>
      </w:r>
    </w:p>
    <w:p>
      <w:pPr>
        <w:snapToGrid w:val="0"/>
        <w:spacing w:line="360" w:lineRule="auto"/>
        <w:ind w:firstLine="480" w:firstLineChars="200"/>
        <w:rPr>
          <w:rFonts w:ascii="宋体" w:hAnsi="宋体" w:cs="仿宋"/>
          <w:sz w:val="24"/>
        </w:rPr>
      </w:pPr>
      <w:r>
        <w:rPr>
          <w:rFonts w:hint="eastAsia" w:ascii="宋体" w:hAnsi="宋体" w:cs="仿宋"/>
          <w:sz w:val="24"/>
        </w:rPr>
        <w:t>2、投标供应商对评标结果无异议的，采购单位应在收到评标报告后5个工作日内对评标结果进行确认。如有投标供应商对评标结果提出质疑的，采购单位可在质疑处理完毕后确定中标人。</w:t>
      </w:r>
    </w:p>
    <w:p>
      <w:pPr>
        <w:snapToGrid w:val="0"/>
        <w:spacing w:line="360" w:lineRule="auto"/>
        <w:ind w:firstLine="480" w:firstLineChars="200"/>
        <w:rPr>
          <w:rFonts w:ascii="宋体" w:hAnsi="宋体" w:cs="仿宋"/>
          <w:sz w:val="24"/>
        </w:rPr>
      </w:pPr>
      <w:r>
        <w:rPr>
          <w:rFonts w:hint="eastAsia" w:ascii="宋体" w:hAnsi="宋体" w:cs="仿宋"/>
          <w:sz w:val="24"/>
        </w:rPr>
        <w:t>3、采购单位依法确定中标人后2个工作日内，采购代理机构以书面形式发出《中标通知书》。</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（二）中标通知书</w:t>
      </w:r>
    </w:p>
    <w:p>
      <w:pPr>
        <w:snapToGrid w:val="0"/>
        <w:spacing w:line="360" w:lineRule="auto"/>
        <w:ind w:firstLine="480" w:firstLineChars="200"/>
        <w:rPr>
          <w:rFonts w:ascii="宋体" w:hAnsi="宋体" w:cs="仿宋"/>
          <w:sz w:val="24"/>
        </w:rPr>
      </w:pPr>
      <w:r>
        <w:rPr>
          <w:rFonts w:hint="eastAsia" w:ascii="宋体" w:hAnsi="宋体" w:cs="仿宋"/>
          <w:sz w:val="24"/>
        </w:rPr>
        <w:t>1、确定中标投标供应商后，招标采购单位将以书面形式发出中标通知书，通知中标的投标供应商其投标被接受。</w:t>
      </w:r>
    </w:p>
    <w:p>
      <w:pPr>
        <w:snapToGrid w:val="0"/>
        <w:spacing w:line="360" w:lineRule="auto"/>
        <w:ind w:firstLine="480" w:firstLineChars="200"/>
        <w:rPr>
          <w:rFonts w:ascii="宋体" w:hAnsi="宋体" w:cs="仿宋"/>
          <w:sz w:val="24"/>
        </w:rPr>
      </w:pPr>
      <w:r>
        <w:rPr>
          <w:rFonts w:hint="eastAsia" w:ascii="宋体" w:hAnsi="宋体" w:cs="仿宋"/>
          <w:sz w:val="24"/>
        </w:rPr>
        <w:t>2、中标通知书为双方签订合同的依据。</w:t>
      </w:r>
    </w:p>
    <w:p>
      <w:pPr>
        <w:snapToGrid w:val="0"/>
        <w:spacing w:line="360" w:lineRule="auto"/>
        <w:ind w:firstLine="480" w:firstLineChars="200"/>
        <w:rPr>
          <w:rFonts w:ascii="宋体" w:hAnsi="宋体" w:cs="仿宋"/>
          <w:sz w:val="24"/>
        </w:rPr>
      </w:pPr>
      <w:r>
        <w:rPr>
          <w:rFonts w:hint="eastAsia" w:ascii="宋体" w:hAnsi="宋体" w:cs="仿宋"/>
          <w:sz w:val="24"/>
        </w:rPr>
        <w:t>3、中标投标供应商应根据中标通知书中规定的时间内，由法定代表人或其授权代理人与采购单位签订合同。</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（三）出现下述情况之一的，采购单位可以与排位在中标人之后第一位的中标候选人签订政府采购合同，以此类推。采购单位也可重新组织招标。</w:t>
      </w:r>
    </w:p>
    <w:p>
      <w:pPr>
        <w:snapToGrid w:val="0"/>
        <w:spacing w:line="360" w:lineRule="auto"/>
        <w:ind w:firstLine="480" w:firstLineChars="200"/>
        <w:rPr>
          <w:rFonts w:ascii="宋体" w:hAnsi="宋体" w:cs="仿宋"/>
          <w:sz w:val="24"/>
        </w:rPr>
      </w:pPr>
      <w:r>
        <w:rPr>
          <w:rFonts w:hint="eastAsia" w:ascii="宋体" w:hAnsi="宋体" w:cs="仿宋"/>
          <w:sz w:val="24"/>
        </w:rPr>
        <w:t>1、中标人因自身原因放弃中标成交或因不可抗力不能履行合同的；</w:t>
      </w:r>
    </w:p>
    <w:p>
      <w:pPr>
        <w:snapToGrid w:val="0"/>
        <w:spacing w:line="360" w:lineRule="auto"/>
        <w:ind w:firstLine="480" w:firstLineChars="200"/>
        <w:rPr>
          <w:rFonts w:ascii="宋体" w:hAnsi="宋体" w:cs="仿宋"/>
          <w:sz w:val="24"/>
        </w:rPr>
      </w:pPr>
      <w:r>
        <w:rPr>
          <w:rFonts w:hint="eastAsia" w:ascii="宋体" w:hAnsi="宋体" w:cs="仿宋"/>
          <w:sz w:val="24"/>
        </w:rPr>
        <w:t>2、经质疑，采购代理机构审查确认因中标人在本次采购活动中存在违法违规行为或其他原因使质疑成立的。</w:t>
      </w:r>
    </w:p>
    <w:p>
      <w:pPr>
        <w:spacing w:line="360" w:lineRule="auto"/>
        <w:jc w:val="center"/>
        <w:outlineLvl w:val="1"/>
        <w:rPr>
          <w:rFonts w:ascii="宋体" w:hAnsi="宋体" w:cs="仿宋"/>
          <w:b/>
          <w:sz w:val="32"/>
          <w:szCs w:val="32"/>
        </w:rPr>
      </w:pPr>
      <w:bookmarkStart w:id="27" w:name="_Toc23098"/>
      <w:r>
        <w:rPr>
          <w:rFonts w:hint="eastAsia" w:ascii="宋体" w:hAnsi="宋体" w:cs="仿宋"/>
          <w:b/>
          <w:sz w:val="32"/>
          <w:szCs w:val="32"/>
        </w:rPr>
        <w:t>七、合同授予</w:t>
      </w:r>
      <w:bookmarkEnd w:id="27"/>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（一）签订合同</w:t>
      </w:r>
    </w:p>
    <w:p>
      <w:pPr>
        <w:snapToGrid w:val="0"/>
        <w:spacing w:line="360" w:lineRule="auto"/>
        <w:ind w:firstLine="480" w:firstLineChars="200"/>
        <w:rPr>
          <w:rFonts w:ascii="宋体" w:hAnsi="宋体" w:cs="仿宋"/>
          <w:sz w:val="24"/>
        </w:rPr>
      </w:pPr>
      <w:r>
        <w:rPr>
          <w:rFonts w:hint="eastAsia" w:ascii="宋体" w:hAnsi="宋体" w:cs="仿宋"/>
          <w:sz w:val="24"/>
        </w:rPr>
        <w:t>1、采购人与中标人应当在《中标通知书》发出之日起30日内签订政府采购合同。同时，采购代理机构对合同内容进行审查，如发现与采购结果和投标承诺内容不一致的，应予以纠正。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cs="仿宋"/>
          <w:sz w:val="24"/>
        </w:rPr>
      </w:pPr>
      <w:r>
        <w:rPr>
          <w:rFonts w:hint="eastAsia" w:ascii="宋体" w:hAnsi="宋体" w:cs="仿宋"/>
          <w:sz w:val="24"/>
        </w:rPr>
        <w:t>2、中标人拖延、拒签合同的，或未按投标时承诺的内容履行的，将被扣罚投标保证金并取消中标资格，采购人可以与排位在中标人之后第一位的中标候选人签订政府采购合同,以此类推。</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（二）履约保证金：本项目不缴纳</w:t>
      </w:r>
    </w:p>
    <w:p>
      <w:pPr>
        <w:spacing w:line="500" w:lineRule="exact"/>
        <w:jc w:val="center"/>
        <w:outlineLvl w:val="0"/>
        <w:rPr>
          <w:rFonts w:ascii="宋体" w:hAnsi="宋体" w:cs="仿宋"/>
          <w:b/>
          <w:sz w:val="44"/>
          <w:szCs w:val="44"/>
        </w:rPr>
      </w:pPr>
      <w:r>
        <w:rPr>
          <w:rFonts w:hint="eastAsia" w:ascii="宋体" w:hAnsi="宋体" w:cs="仿宋"/>
          <w:b/>
          <w:sz w:val="44"/>
          <w:szCs w:val="44"/>
        </w:rPr>
        <w:br w:type="page"/>
      </w:r>
      <w:bookmarkStart w:id="28" w:name="_Toc31705"/>
      <w:r>
        <w:rPr>
          <w:rFonts w:hint="eastAsia" w:ascii="宋体" w:hAnsi="宋体" w:cs="仿宋"/>
          <w:b/>
          <w:sz w:val="44"/>
          <w:szCs w:val="44"/>
        </w:rPr>
        <w:t>第四章  评标办法及评分标准</w:t>
      </w:r>
      <w:bookmarkEnd w:id="28"/>
    </w:p>
    <w:p>
      <w:pPr>
        <w:spacing w:line="500" w:lineRule="exact"/>
        <w:ind w:firstLine="480" w:firstLineChars="200"/>
        <w:rPr>
          <w:rFonts w:ascii="宋体" w:hAnsi="宋体" w:cs="仿宋"/>
          <w:sz w:val="24"/>
        </w:rPr>
      </w:pPr>
      <w:r>
        <w:rPr>
          <w:rFonts w:hint="eastAsia" w:ascii="宋体" w:hAnsi="宋体" w:cs="仿宋"/>
          <w:sz w:val="24"/>
        </w:rPr>
        <w:t>为公正、公平、科学地选择中标人，根据《中华人民共和国政府采购法》、《政府采购货物和服务招投标管理办法》等有关法律法规的规定，并结合本项目的实际，制定本办法。</w:t>
      </w:r>
    </w:p>
    <w:p>
      <w:pPr>
        <w:spacing w:line="500" w:lineRule="exact"/>
        <w:ind w:firstLine="480" w:firstLineChars="200"/>
        <w:rPr>
          <w:rFonts w:ascii="宋体" w:hAnsi="宋体" w:cs="仿宋"/>
          <w:bCs/>
          <w:sz w:val="24"/>
          <w:szCs w:val="48"/>
        </w:rPr>
      </w:pPr>
      <w:r>
        <w:rPr>
          <w:rFonts w:hint="eastAsia" w:ascii="宋体" w:hAnsi="宋体" w:cs="仿宋"/>
          <w:sz w:val="24"/>
        </w:rPr>
        <w:t>本办法适用于</w:t>
      </w:r>
      <w:r>
        <w:rPr>
          <w:rFonts w:hint="eastAsia" w:ascii="宋体" w:hAnsi="宋体" w:cs="仿宋"/>
          <w:sz w:val="24"/>
          <w:lang w:eastAsia="zh-CN"/>
        </w:rPr>
        <w:t xml:space="preserve">织里镇智慧红绿灯建设监理项目 </w:t>
      </w:r>
      <w:r>
        <w:rPr>
          <w:rFonts w:hint="eastAsia" w:ascii="宋体" w:hAnsi="宋体" w:cs="仿宋"/>
          <w:bCs/>
          <w:sz w:val="24"/>
          <w:szCs w:val="48"/>
        </w:rPr>
        <w:t>的评标。</w:t>
      </w:r>
    </w:p>
    <w:p>
      <w:pPr>
        <w:spacing w:line="500" w:lineRule="exact"/>
        <w:ind w:firstLine="562" w:firstLineChars="200"/>
        <w:outlineLvl w:val="1"/>
        <w:rPr>
          <w:rFonts w:ascii="宋体" w:hAnsi="宋体" w:cs="仿宋"/>
          <w:b/>
          <w:szCs w:val="28"/>
        </w:rPr>
      </w:pPr>
      <w:bookmarkStart w:id="29" w:name="_Toc23132"/>
      <w:r>
        <w:rPr>
          <w:rFonts w:hint="eastAsia" w:ascii="宋体" w:hAnsi="宋体" w:cs="仿宋"/>
          <w:b/>
          <w:szCs w:val="28"/>
        </w:rPr>
        <w:t>一、总则</w:t>
      </w:r>
      <w:bookmarkEnd w:id="29"/>
    </w:p>
    <w:p>
      <w:pPr>
        <w:spacing w:line="500" w:lineRule="exact"/>
        <w:ind w:firstLine="480" w:firstLineChars="200"/>
        <w:rPr>
          <w:rFonts w:ascii="宋体" w:hAnsi="宋体" w:cs="仿宋"/>
          <w:bCs/>
          <w:sz w:val="24"/>
        </w:rPr>
      </w:pPr>
      <w:r>
        <w:rPr>
          <w:rFonts w:hint="eastAsia" w:ascii="宋体" w:hAnsi="宋体" w:cs="仿宋"/>
          <w:sz w:val="24"/>
        </w:rPr>
        <w:t>本次评标采用综合评分法，总分为100分，其中价格分</w:t>
      </w:r>
      <w:r>
        <w:rPr>
          <w:rFonts w:hint="eastAsia" w:ascii="宋体" w:hAnsi="宋体" w:cs="仿宋"/>
          <w:sz w:val="24"/>
          <w:lang w:val="en-US" w:eastAsia="zh-CN"/>
        </w:rPr>
        <w:t>10</w:t>
      </w:r>
      <w:r>
        <w:rPr>
          <w:rFonts w:hint="eastAsia" w:ascii="宋体" w:hAnsi="宋体" w:cs="仿宋"/>
          <w:sz w:val="24"/>
        </w:rPr>
        <w:t>分；商务技术分</w:t>
      </w:r>
      <w:r>
        <w:rPr>
          <w:rFonts w:hint="eastAsia" w:ascii="宋体" w:hAnsi="宋体" w:cs="仿宋"/>
          <w:sz w:val="24"/>
          <w:lang w:val="en-US" w:eastAsia="zh-CN"/>
        </w:rPr>
        <w:t>90</w:t>
      </w:r>
      <w:r>
        <w:rPr>
          <w:rFonts w:hint="eastAsia" w:ascii="宋体" w:hAnsi="宋体" w:cs="仿宋"/>
          <w:sz w:val="24"/>
        </w:rPr>
        <w:t>分。合格投标供应商的评标得分为各项目汇总得分</w:t>
      </w:r>
      <w:r>
        <w:rPr>
          <w:rFonts w:hint="eastAsia" w:ascii="宋体" w:hAnsi="宋体" w:cs="仿宋"/>
          <w:bCs/>
          <w:sz w:val="24"/>
        </w:rPr>
        <w:t>。</w:t>
      </w:r>
    </w:p>
    <w:p>
      <w:pPr>
        <w:spacing w:line="500" w:lineRule="exact"/>
        <w:ind w:firstLine="480" w:firstLineChars="200"/>
        <w:rPr>
          <w:rFonts w:ascii="宋体" w:hAnsi="宋体" w:cs="仿宋"/>
          <w:bCs/>
          <w:sz w:val="24"/>
        </w:rPr>
      </w:pPr>
      <w:r>
        <w:rPr>
          <w:rFonts w:hint="eastAsia" w:ascii="宋体" w:hAnsi="宋体" w:cs="仿宋"/>
          <w:bCs/>
          <w:sz w:val="24"/>
        </w:rPr>
        <w:t>评分过程中采用四舍五入法，并保留小数2位。</w:t>
      </w:r>
    </w:p>
    <w:p>
      <w:pPr>
        <w:spacing w:line="500" w:lineRule="exact"/>
        <w:ind w:firstLine="480" w:firstLineChars="200"/>
        <w:rPr>
          <w:rFonts w:ascii="宋体" w:hAnsi="宋体" w:cs="仿宋"/>
          <w:bCs/>
          <w:sz w:val="24"/>
        </w:rPr>
      </w:pPr>
      <w:r>
        <w:rPr>
          <w:rFonts w:hint="eastAsia" w:ascii="宋体" w:hAnsi="宋体" w:cs="仿宋"/>
          <w:sz w:val="24"/>
        </w:rPr>
        <w:t>投标供应商评标</w:t>
      </w:r>
      <w:r>
        <w:rPr>
          <w:rFonts w:hint="eastAsia" w:ascii="宋体" w:hAnsi="宋体" w:cs="仿宋"/>
          <w:bCs/>
          <w:sz w:val="24"/>
        </w:rPr>
        <w:t>综合得分=价格分+商务技术分</w:t>
      </w:r>
    </w:p>
    <w:p>
      <w:pPr>
        <w:spacing w:line="520" w:lineRule="exact"/>
        <w:ind w:firstLine="562" w:firstLineChars="200"/>
        <w:jc w:val="left"/>
        <w:rPr>
          <w:rFonts w:ascii="宋体" w:hAnsi="宋体" w:cs="仿宋"/>
          <w:b/>
          <w:szCs w:val="28"/>
        </w:rPr>
      </w:pPr>
      <w:bookmarkStart w:id="30" w:name="_Toc25886"/>
      <w:r>
        <w:rPr>
          <w:rFonts w:hint="eastAsia" w:ascii="宋体" w:hAnsi="宋体" w:cs="仿宋"/>
          <w:b/>
          <w:szCs w:val="28"/>
        </w:rPr>
        <w:t>二、评标内容及标准</w:t>
      </w:r>
      <w:bookmarkEnd w:id="30"/>
    </w:p>
    <w:p>
      <w:pPr>
        <w:pStyle w:val="3"/>
        <w:ind w:firstLine="482" w:firstLineChars="200"/>
        <w:outlineLvl w:val="2"/>
        <w:rPr>
          <w:rFonts w:hAnsi="宋体" w:cs="仿宋"/>
          <w:b/>
          <w:bCs/>
          <w:sz w:val="24"/>
        </w:rPr>
      </w:pPr>
      <w:r>
        <w:rPr>
          <w:rFonts w:hint="eastAsia" w:hAnsi="宋体" w:cs="仿宋"/>
          <w:b/>
          <w:sz w:val="24"/>
        </w:rPr>
        <w:t>（一）</w:t>
      </w:r>
      <w:r>
        <w:rPr>
          <w:rFonts w:hint="eastAsia" w:hAnsi="宋体" w:cs="仿宋"/>
          <w:b/>
          <w:bCs/>
          <w:sz w:val="24"/>
        </w:rPr>
        <w:t>价格分（</w:t>
      </w:r>
      <w:r>
        <w:rPr>
          <w:rFonts w:hint="eastAsia" w:hAnsi="宋体" w:cs="仿宋"/>
          <w:b/>
          <w:bCs/>
          <w:sz w:val="24"/>
          <w:lang w:val="en-US" w:eastAsia="zh-CN"/>
        </w:rPr>
        <w:t>10</w:t>
      </w:r>
      <w:r>
        <w:rPr>
          <w:rFonts w:hint="eastAsia" w:hAnsi="宋体" w:cs="仿宋"/>
          <w:b/>
          <w:bCs/>
          <w:sz w:val="24"/>
        </w:rPr>
        <w:t>分）</w:t>
      </w:r>
    </w:p>
    <w:p>
      <w:pPr>
        <w:pStyle w:val="3"/>
        <w:ind w:firstLine="480" w:firstLineChars="200"/>
        <w:rPr>
          <w:rFonts w:hAnsi="宋体" w:cs="仿宋"/>
          <w:bCs/>
          <w:sz w:val="24"/>
        </w:rPr>
      </w:pPr>
      <w:r>
        <w:rPr>
          <w:rFonts w:hint="eastAsia" w:hAnsi="宋体" w:cs="仿宋"/>
          <w:bCs/>
          <w:sz w:val="24"/>
        </w:rPr>
        <w:t>价格部分评审：</w:t>
      </w:r>
    </w:p>
    <w:p>
      <w:pPr>
        <w:pStyle w:val="3"/>
        <w:ind w:firstLine="480" w:firstLineChars="200"/>
        <w:rPr>
          <w:rFonts w:hAnsi="宋体" w:cs="仿宋"/>
          <w:bCs/>
          <w:sz w:val="24"/>
          <w:szCs w:val="24"/>
        </w:rPr>
      </w:pPr>
      <w:r>
        <w:rPr>
          <w:rFonts w:hint="eastAsia" w:hAnsi="宋体" w:cs="仿宋"/>
          <w:bCs/>
          <w:sz w:val="24"/>
        </w:rPr>
        <w:t>价格分</w:t>
      </w:r>
      <w:r>
        <w:rPr>
          <w:rFonts w:hint="eastAsia" w:hAnsi="宋体" w:cs="仿宋"/>
          <w:bCs/>
          <w:sz w:val="24"/>
          <w:szCs w:val="24"/>
        </w:rPr>
        <w:t>采用低价优先法计算，即满足招标文件要求且投标价格</w:t>
      </w:r>
      <w:r>
        <w:rPr>
          <w:rFonts w:hint="eastAsia" w:hAnsi="宋体" w:cs="仿宋"/>
          <w:bCs/>
          <w:sz w:val="24"/>
          <w:szCs w:val="24"/>
          <w:lang w:eastAsia="zh-CN"/>
        </w:rPr>
        <w:t>（单项）</w:t>
      </w:r>
      <w:r>
        <w:rPr>
          <w:rFonts w:hint="eastAsia" w:hAnsi="宋体" w:cs="仿宋"/>
          <w:bCs/>
          <w:sz w:val="24"/>
          <w:szCs w:val="24"/>
        </w:rPr>
        <w:t>最低的有效投标报价为评标基准价，其他投标供应商的价格分按照下列公式计算（结果保留2位小数，第3位四舍五入）：</w:t>
      </w:r>
    </w:p>
    <w:p>
      <w:pPr>
        <w:spacing w:line="550" w:lineRule="exact"/>
        <w:ind w:firstLine="482" w:firstLineChars="200"/>
        <w:rPr>
          <w:rFonts w:hint="eastAsia" w:ascii="宋体" w:hAnsi="宋体"/>
          <w:b/>
          <w:bCs/>
          <w:color w:val="000000"/>
          <w:sz w:val="24"/>
        </w:rPr>
      </w:pPr>
      <w:r>
        <w:rPr>
          <w:rFonts w:hint="eastAsia" w:ascii="宋体" w:hAnsi="宋体"/>
          <w:b/>
          <w:bCs/>
          <w:color w:val="000000"/>
          <w:sz w:val="24"/>
        </w:rPr>
        <w:t>价格分=（评标基准价/投标报价）×10%×100</w:t>
      </w:r>
    </w:p>
    <w:p>
      <w:pPr>
        <w:spacing w:line="460" w:lineRule="exact"/>
        <w:ind w:firstLine="360" w:firstLineChars="150"/>
        <w:rPr>
          <w:rFonts w:ascii="宋体" w:hAnsi="宋体"/>
          <w:sz w:val="24"/>
        </w:rPr>
      </w:pPr>
      <w:r>
        <w:rPr>
          <w:rFonts w:hint="eastAsia" w:ascii="宋体" w:hAnsi="宋体"/>
          <w:sz w:val="24"/>
        </w:rPr>
        <w:t xml:space="preserve">扶持政策说明： </w:t>
      </w:r>
    </w:p>
    <w:p>
      <w:pPr>
        <w:spacing w:line="460" w:lineRule="exact"/>
        <w:ind w:firstLine="360" w:firstLineChars="150"/>
        <w:rPr>
          <w:rFonts w:ascii="宋体" w:hAnsi="宋体"/>
          <w:sz w:val="24"/>
        </w:rPr>
      </w:pPr>
      <w:r>
        <w:rPr>
          <w:rFonts w:hint="eastAsia" w:ascii="宋体" w:hAnsi="宋体"/>
          <w:sz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6%的扣除，并用扣除后的价格计算价格评分。</w:t>
      </w:r>
    </w:p>
    <w:p>
      <w:pPr>
        <w:spacing w:line="460" w:lineRule="exact"/>
        <w:ind w:firstLine="360" w:firstLineChars="150"/>
        <w:rPr>
          <w:rFonts w:ascii="宋体" w:hAnsi="宋体"/>
          <w:sz w:val="24"/>
        </w:rPr>
      </w:pPr>
      <w:r>
        <w:rPr>
          <w:rFonts w:hint="eastAsia" w:ascii="宋体" w:hAnsi="宋体"/>
          <w:sz w:val="24"/>
        </w:rPr>
        <w:t>同时符合以下所有1）、2）要求的投标供应商被认定为小型、微型企业：</w:t>
      </w:r>
    </w:p>
    <w:p>
      <w:pPr>
        <w:spacing w:line="460" w:lineRule="exact"/>
        <w:ind w:firstLine="360" w:firstLineChars="150"/>
        <w:rPr>
          <w:rFonts w:ascii="宋体" w:hAnsi="宋体"/>
          <w:sz w:val="24"/>
        </w:rPr>
      </w:pPr>
      <w:r>
        <w:rPr>
          <w:rFonts w:hint="eastAsia" w:ascii="宋体" w:hAnsi="宋体"/>
          <w:sz w:val="24"/>
        </w:rPr>
        <w:t>1）投标供应商按照《关于印发中小企业划型标准规定的通知》 （工信部联企业〔2011〕300 号）的所属行业规定为小型、微型企业【注：按《关于印发中小企业划型标准规定的通知》规定提供《中小企业声明函》及其相关的充分的证明材料】；</w:t>
      </w:r>
    </w:p>
    <w:p>
      <w:pPr>
        <w:spacing w:line="460" w:lineRule="exact"/>
        <w:ind w:firstLine="360" w:firstLineChars="150"/>
        <w:rPr>
          <w:rFonts w:ascii="宋体" w:hAnsi="宋体"/>
          <w:sz w:val="24"/>
        </w:rPr>
      </w:pPr>
      <w:r>
        <w:rPr>
          <w:rFonts w:hint="eastAsia" w:ascii="宋体" w:hAnsi="宋体"/>
          <w:sz w:val="24"/>
        </w:rPr>
        <w:t>2）投标供应商已通过浙江政府采购网（</w:t>
      </w:r>
      <w:r>
        <w:rPr>
          <w:rFonts w:ascii="宋体" w:hAnsi="宋体" w:eastAsia="宋体" w:cs="宋体"/>
          <w:sz w:val="24"/>
          <w:szCs w:val="24"/>
        </w:rPr>
        <w:t>http://zfcg.czt.zj.gov.cn/</w:t>
      </w:r>
      <w:r>
        <w:rPr>
          <w:rFonts w:hint="eastAsia" w:ascii="宋体" w:hAnsi="宋体"/>
          <w:sz w:val="24"/>
        </w:rPr>
        <w:t>）申请注册并成为正式入库投标供应商【注：提供正式入库投标供应商的网站信息材料】</w:t>
      </w:r>
    </w:p>
    <w:p>
      <w:pPr>
        <w:spacing w:line="460" w:lineRule="exact"/>
        <w:ind w:firstLine="360" w:firstLineChars="150"/>
        <w:rPr>
          <w:rFonts w:ascii="宋体" w:hAnsi="宋体"/>
          <w:sz w:val="24"/>
        </w:rPr>
      </w:pPr>
      <w:r>
        <w:rPr>
          <w:rFonts w:hint="eastAsia" w:ascii="宋体" w:hAnsi="宋体"/>
          <w:sz w:val="24"/>
        </w:rPr>
        <w:t>2、监狱企业参加投标【提供《监狱企业声明函》及其相关的充分的证明材料】 ，视为小型、微型企业，享受小微企业政策扶持。</w:t>
      </w:r>
    </w:p>
    <w:p>
      <w:pPr>
        <w:spacing w:line="460" w:lineRule="exact"/>
        <w:ind w:firstLine="360" w:firstLineChars="150"/>
        <w:rPr>
          <w:rFonts w:ascii="宋体" w:hAnsi="宋体"/>
          <w:sz w:val="24"/>
        </w:rPr>
      </w:pPr>
      <w:r>
        <w:rPr>
          <w:rFonts w:hint="eastAsia" w:ascii="宋体" w:hAnsi="宋体"/>
          <w:sz w:val="24"/>
        </w:rPr>
        <w:t>3、残疾人福利性单位参加投标【提供《残疾人福利性单位声明函》 】，视为小型、微型企业，享受小微企业政策扶持。</w:t>
      </w:r>
    </w:p>
    <w:p>
      <w:pPr>
        <w:pStyle w:val="3"/>
        <w:ind w:firstLine="480" w:firstLineChars="200"/>
        <w:rPr>
          <w:rFonts w:hAnsi="宋体" w:cs="仿宋"/>
          <w:bCs/>
          <w:sz w:val="24"/>
          <w:szCs w:val="24"/>
        </w:rPr>
      </w:pPr>
      <w:r>
        <w:rPr>
          <w:rFonts w:hint="eastAsia" w:hAnsi="宋体" w:cs="仿宋"/>
          <w:bCs/>
          <w:sz w:val="24"/>
          <w:szCs w:val="24"/>
        </w:rPr>
        <w:t>此项由评审小组集体核实后统一评分。</w:t>
      </w:r>
    </w:p>
    <w:p>
      <w:pPr>
        <w:pStyle w:val="3"/>
        <w:ind w:firstLine="0"/>
        <w:outlineLvl w:val="2"/>
        <w:rPr>
          <w:rFonts w:hAnsi="宋体" w:cs="仿宋"/>
          <w:b/>
          <w:bCs/>
          <w:sz w:val="24"/>
        </w:rPr>
      </w:pPr>
      <w:r>
        <w:rPr>
          <w:rFonts w:hint="eastAsia" w:hAnsi="宋体" w:cs="仿宋"/>
          <w:b/>
          <w:bCs/>
          <w:sz w:val="24"/>
        </w:rPr>
        <w:t>（二）商务技术分（</w:t>
      </w:r>
      <w:r>
        <w:rPr>
          <w:rFonts w:hint="eastAsia" w:hAnsi="宋体" w:cs="仿宋"/>
          <w:b/>
          <w:bCs/>
          <w:sz w:val="24"/>
          <w:lang w:val="en-US" w:eastAsia="zh-CN"/>
        </w:rPr>
        <w:t>90</w:t>
      </w:r>
      <w:r>
        <w:rPr>
          <w:rFonts w:hint="eastAsia" w:hAnsi="宋体" w:cs="仿宋"/>
          <w:b/>
          <w:bCs/>
          <w:sz w:val="24"/>
        </w:rPr>
        <w:t>分）</w:t>
      </w:r>
    </w:p>
    <w:p>
      <w:pPr>
        <w:pStyle w:val="3"/>
        <w:ind w:firstLine="720" w:firstLineChars="300"/>
        <w:outlineLvl w:val="2"/>
        <w:rPr>
          <w:rFonts w:hAnsi="宋体" w:cs="仿宋"/>
          <w:sz w:val="24"/>
        </w:rPr>
      </w:pPr>
      <w:r>
        <w:rPr>
          <w:rFonts w:hint="eastAsia" w:hAnsi="宋体" w:cs="仿宋"/>
          <w:sz w:val="24"/>
        </w:rPr>
        <w:t>技术、商务、资信及其他分按照</w:t>
      </w:r>
      <w:r>
        <w:rPr>
          <w:rFonts w:hint="eastAsia" w:hAnsi="宋体" w:cs="仿宋"/>
          <w:sz w:val="24"/>
          <w:lang w:eastAsia="zh-CN"/>
        </w:rPr>
        <w:t>评标</w:t>
      </w:r>
      <w:r>
        <w:rPr>
          <w:rFonts w:hint="eastAsia" w:hAnsi="宋体" w:cs="仿宋"/>
          <w:sz w:val="24"/>
        </w:rPr>
        <w:t>小组成员的独立评分结果汇总数的算术平均分计算，计算公式为：</w:t>
      </w:r>
    </w:p>
    <w:p>
      <w:pPr>
        <w:pStyle w:val="3"/>
        <w:ind w:firstLine="723" w:firstLineChars="300"/>
        <w:outlineLvl w:val="2"/>
        <w:rPr>
          <w:rFonts w:hAnsi="宋体" w:cs="仿宋"/>
          <w:b/>
          <w:bCs/>
          <w:sz w:val="24"/>
        </w:rPr>
      </w:pPr>
      <w:r>
        <w:rPr>
          <w:rFonts w:hint="eastAsia" w:hAnsi="宋体" w:cs="仿宋"/>
          <w:b/>
          <w:bCs/>
          <w:sz w:val="24"/>
        </w:rPr>
        <w:t>技术分、商务分、资信及其他分=（</w:t>
      </w:r>
      <w:r>
        <w:rPr>
          <w:rFonts w:hint="eastAsia" w:hAnsi="宋体" w:cs="仿宋"/>
          <w:b/>
          <w:bCs/>
          <w:sz w:val="24"/>
          <w:lang w:eastAsia="zh-CN"/>
        </w:rPr>
        <w:t>评标</w:t>
      </w:r>
      <w:r>
        <w:rPr>
          <w:rFonts w:hint="eastAsia" w:hAnsi="宋体" w:cs="仿宋"/>
          <w:b/>
          <w:bCs/>
          <w:sz w:val="24"/>
        </w:rPr>
        <w:t>小组所有成员评分合计数）/（</w:t>
      </w:r>
      <w:r>
        <w:rPr>
          <w:rFonts w:hint="eastAsia" w:hAnsi="宋体" w:cs="仿宋"/>
          <w:b/>
          <w:bCs/>
          <w:sz w:val="24"/>
          <w:lang w:eastAsia="zh-CN"/>
        </w:rPr>
        <w:t>评标</w:t>
      </w:r>
      <w:r>
        <w:rPr>
          <w:rFonts w:hint="eastAsia" w:hAnsi="宋体" w:cs="仿宋"/>
          <w:b/>
          <w:bCs/>
          <w:sz w:val="24"/>
        </w:rPr>
        <w:t>小组组成人员数）</w:t>
      </w:r>
    </w:p>
    <w:p>
      <w:pPr>
        <w:spacing w:line="440" w:lineRule="exact"/>
      </w:pPr>
      <w:r>
        <w:rPr>
          <w:rFonts w:hint="eastAsia" w:ascii="宋体" w:hAnsi="宋体" w:cs="宋体"/>
          <w:b/>
          <w:sz w:val="24"/>
        </w:rPr>
        <w:t>附件：评分表格式（技术、商务、资信及其他分，共</w:t>
      </w:r>
      <w:r>
        <w:rPr>
          <w:rFonts w:hint="eastAsia" w:ascii="宋体" w:hAnsi="宋体" w:cs="宋体"/>
          <w:b/>
          <w:sz w:val="24"/>
          <w:lang w:val="en-US" w:eastAsia="zh-CN"/>
        </w:rPr>
        <w:t>90</w:t>
      </w:r>
      <w:r>
        <w:rPr>
          <w:rFonts w:hint="eastAsia" w:ascii="宋体" w:hAnsi="宋体" w:cs="宋体"/>
          <w:b/>
          <w:sz w:val="24"/>
        </w:rPr>
        <w:t>分）</w:t>
      </w:r>
    </w:p>
    <w:p/>
    <w:tbl>
      <w:tblPr>
        <w:tblStyle w:val="39"/>
        <w:tblW w:w="97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1"/>
        <w:gridCol w:w="1823"/>
        <w:gridCol w:w="6454"/>
        <w:gridCol w:w="9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rPr>
              <w:t>序号</w:t>
            </w:r>
          </w:p>
        </w:tc>
        <w:tc>
          <w:tcPr>
            <w:tcW w:w="1823"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rPr>
              <w:t>评审内容</w:t>
            </w:r>
          </w:p>
        </w:tc>
        <w:tc>
          <w:tcPr>
            <w:tcW w:w="6454" w:type="dxa"/>
            <w:tcBorders>
              <w:top w:val="single" w:color="auto" w:sz="4" w:space="0"/>
              <w:left w:val="single" w:color="auto" w:sz="4" w:space="0"/>
              <w:bottom w:val="single" w:color="auto" w:sz="4" w:space="0"/>
              <w:right w:val="single" w:color="auto" w:sz="4" w:space="0"/>
            </w:tcBorders>
            <w:vAlign w:val="center"/>
          </w:tcPr>
          <w:p>
            <w:pPr>
              <w:pStyle w:val="34"/>
              <w:ind w:firstLine="388"/>
              <w:jc w:val="center"/>
              <w:rPr>
                <w:rFonts w:cs="宋体"/>
                <w:b/>
                <w:bCs/>
                <w:sz w:val="24"/>
                <w:szCs w:val="24"/>
              </w:rPr>
            </w:pPr>
            <w:r>
              <w:rPr>
                <w:rFonts w:hint="eastAsia" w:cs="宋体"/>
                <w:b/>
                <w:bCs/>
                <w:sz w:val="24"/>
                <w:szCs w:val="24"/>
              </w:rPr>
              <w:t>评分标准</w:t>
            </w:r>
          </w:p>
        </w:tc>
        <w:tc>
          <w:tcPr>
            <w:tcW w:w="971"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pStyle w:val="34"/>
              <w:ind w:left="0" w:leftChars="0" w:firstLine="0" w:firstLineChars="0"/>
              <w:rPr>
                <w:rFonts w:cs="宋体"/>
                <w:b/>
                <w:bCs/>
                <w:sz w:val="24"/>
                <w:szCs w:val="24"/>
              </w:rPr>
            </w:pPr>
            <w:r>
              <w:rPr>
                <w:rFonts w:hint="eastAsia" w:cs="宋体"/>
                <w:b/>
                <w:bCs/>
                <w:sz w:val="24"/>
                <w:szCs w:val="24"/>
              </w:rPr>
              <w:t>一</w:t>
            </w:r>
          </w:p>
        </w:tc>
        <w:tc>
          <w:tcPr>
            <w:tcW w:w="1823"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rPr>
              <w:t>技术分</w:t>
            </w:r>
          </w:p>
        </w:tc>
        <w:tc>
          <w:tcPr>
            <w:tcW w:w="6454" w:type="dxa"/>
            <w:tcBorders>
              <w:top w:val="single" w:color="auto" w:sz="4" w:space="0"/>
              <w:left w:val="single" w:color="auto" w:sz="4" w:space="0"/>
              <w:bottom w:val="single" w:color="auto" w:sz="4" w:space="0"/>
              <w:right w:val="single" w:color="auto" w:sz="4" w:space="0"/>
            </w:tcBorders>
            <w:vAlign w:val="center"/>
          </w:tcPr>
          <w:p>
            <w:pPr>
              <w:pStyle w:val="34"/>
              <w:ind w:firstLine="388"/>
              <w:rPr>
                <w:rFonts w:cs="宋体"/>
                <w:b/>
                <w:bCs/>
                <w:sz w:val="24"/>
                <w:szCs w:val="24"/>
              </w:rPr>
            </w:pPr>
          </w:p>
        </w:tc>
        <w:tc>
          <w:tcPr>
            <w:tcW w:w="971"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lang w:val="en-US" w:eastAsia="zh-CN"/>
              </w:rPr>
              <w:t xml:space="preserve"> 42</w:t>
            </w:r>
            <w:r>
              <w:rPr>
                <w:rFonts w:hint="eastAsia" w:cs="宋体"/>
                <w:b/>
                <w:bCs/>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1</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项目整体实施方案</w:t>
            </w:r>
          </w:p>
        </w:tc>
        <w:tc>
          <w:tcPr>
            <w:tcW w:w="6454" w:type="dxa"/>
            <w:tcBorders>
              <w:top w:val="single" w:color="auto" w:sz="4" w:space="0"/>
              <w:left w:val="single" w:color="auto" w:sz="4" w:space="0"/>
              <w:bottom w:val="single" w:color="auto" w:sz="4" w:space="0"/>
              <w:right w:val="single" w:color="auto" w:sz="4" w:space="0"/>
            </w:tcBorders>
          </w:tcPr>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1、监理服务大纲：根据供应商提供的针对本项目制作的监理服务大纲，其内容的科学性、合理性、针对性、可行性综合打分。监理大纲欠缺或存在明显漏洞的每项扣0.5-1分，扣完为止。（0-6分）</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关键点的特殊控制方案：根据供应商提供的针对本项目情况找准关键点、并提出切实可行的特殊控制措施的科学性、有效性、可行性、合理性综合评分。方案欠缺或存在明显漏洞的每项扣0.5-1分，扣完为止。（0-6分）</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3、保证服务进度的方案和措施：根据供应商针对本项目进度的跟踪提供准确的进度分析报告和进度控制建议综合打分。服务进度方案安排主次分明、合理，措施全面、严密的得4-</w:t>
            </w:r>
            <w:r>
              <w:rPr>
                <w:rFonts w:hint="eastAsia" w:asciiTheme="minorEastAsia" w:hAnsiTheme="minorEastAsia" w:eastAsiaTheme="minorEastAsia" w:cstheme="minorEastAsia"/>
                <w:bCs/>
                <w:kern w:val="0"/>
                <w:sz w:val="24"/>
                <w:szCs w:val="24"/>
                <w:lang w:val="en-US" w:eastAsia="zh-CN"/>
              </w:rPr>
              <w:t>6</w:t>
            </w:r>
            <w:r>
              <w:rPr>
                <w:rFonts w:hint="eastAsia" w:asciiTheme="minorEastAsia" w:hAnsiTheme="minorEastAsia" w:eastAsiaTheme="minorEastAsia" w:cstheme="minorEastAsia"/>
                <w:bCs/>
                <w:kern w:val="0"/>
                <w:sz w:val="24"/>
                <w:szCs w:val="24"/>
              </w:rPr>
              <w:t>分；服务进度方案安排一般，措施基本可行的得2-</w:t>
            </w:r>
            <w:r>
              <w:rPr>
                <w:rFonts w:hint="eastAsia" w:asciiTheme="minorEastAsia" w:hAnsiTheme="minorEastAsia" w:eastAsiaTheme="minorEastAsia" w:cstheme="minorEastAsia"/>
                <w:bCs/>
                <w:kern w:val="0"/>
                <w:sz w:val="24"/>
                <w:szCs w:val="24"/>
                <w:lang w:val="en-US" w:eastAsia="zh-CN"/>
              </w:rPr>
              <w:t>4</w:t>
            </w:r>
            <w:r>
              <w:rPr>
                <w:rFonts w:hint="eastAsia" w:asciiTheme="minorEastAsia" w:hAnsiTheme="minorEastAsia" w:eastAsiaTheme="minorEastAsia" w:cstheme="minorEastAsia"/>
                <w:bCs/>
                <w:kern w:val="0"/>
                <w:sz w:val="24"/>
                <w:szCs w:val="24"/>
              </w:rPr>
              <w:t>分； 服务进度方案安排不清晰，措施不全面、不合理的得0-</w:t>
            </w:r>
            <w:r>
              <w:rPr>
                <w:rFonts w:hint="eastAsia" w:asciiTheme="minorEastAsia" w:hAnsiTheme="minorEastAsia" w:eastAsiaTheme="minorEastAsia" w:cstheme="minorEastAsia"/>
                <w:bCs/>
                <w:kern w:val="0"/>
                <w:sz w:val="24"/>
                <w:szCs w:val="24"/>
                <w:lang w:val="en-US" w:eastAsia="zh-CN"/>
              </w:rPr>
              <w:t>2</w:t>
            </w:r>
            <w:r>
              <w:rPr>
                <w:rFonts w:hint="eastAsia" w:asciiTheme="minorEastAsia" w:hAnsiTheme="minorEastAsia" w:eastAsiaTheme="minorEastAsia" w:cstheme="minorEastAsia"/>
                <w:bCs/>
                <w:kern w:val="0"/>
                <w:sz w:val="24"/>
                <w:szCs w:val="24"/>
              </w:rPr>
              <w:t>分。（0-6分）</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4、质量控制方案：根据供应商提供的针对本项目情况采取质量控制方法及措施的有效性、合理性、科学性进行综合打分。（0-6分）</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5、与采购单位的配合：针对本项目与采购单位有完整科学合理有效的配合方案。欠缺或不合理的每项扣0.5-1分，扣完为止。（0-</w:t>
            </w:r>
            <w:r>
              <w:rPr>
                <w:rFonts w:hint="eastAsia" w:asciiTheme="minorEastAsia" w:hAnsiTheme="minorEastAsia" w:eastAsiaTheme="minorEastAsia" w:cstheme="minorEastAsia"/>
                <w:bCs/>
                <w:kern w:val="0"/>
                <w:sz w:val="24"/>
                <w:szCs w:val="24"/>
                <w:lang w:val="en-US" w:eastAsia="zh-CN"/>
              </w:rPr>
              <w:t>6</w:t>
            </w:r>
            <w:r>
              <w:rPr>
                <w:rFonts w:hint="eastAsia" w:asciiTheme="minorEastAsia" w:hAnsiTheme="minorEastAsia" w:eastAsiaTheme="minorEastAsia" w:cstheme="minorEastAsia"/>
                <w:bCs/>
                <w:kern w:val="0"/>
                <w:sz w:val="24"/>
                <w:szCs w:val="24"/>
              </w:rPr>
              <w:t>分）</w:t>
            </w:r>
          </w:p>
          <w:p>
            <w:pPr>
              <w:numPr>
                <w:ilvl w:val="0"/>
                <w:numId w:val="0"/>
              </w:numPr>
              <w:spacing w:line="240" w:lineRule="auto"/>
              <w:jc w:val="left"/>
              <w:rPr>
                <w:rFonts w:hint="eastAsia" w:eastAsiaTheme="minorEastAsia"/>
                <w:lang w:val="en-US" w:eastAsia="zh-CN"/>
              </w:rPr>
            </w:pPr>
            <w:r>
              <w:rPr>
                <w:rFonts w:hint="eastAsia" w:asciiTheme="minorEastAsia" w:hAnsiTheme="minorEastAsia" w:eastAsiaTheme="minorEastAsia" w:cstheme="minorEastAsia"/>
                <w:bCs/>
                <w:kern w:val="0"/>
                <w:sz w:val="24"/>
                <w:szCs w:val="24"/>
                <w:lang w:val="en-US" w:eastAsia="zh-CN"/>
              </w:rPr>
              <w:t>6、保密管理方案：</w:t>
            </w:r>
            <w:r>
              <w:rPr>
                <w:rFonts w:hint="eastAsia" w:asciiTheme="minorEastAsia" w:hAnsiTheme="minorEastAsia" w:eastAsiaTheme="minorEastAsia" w:cstheme="minorEastAsia"/>
                <w:bCs/>
                <w:kern w:val="0"/>
                <w:sz w:val="24"/>
                <w:szCs w:val="24"/>
              </w:rPr>
              <w:t>根据供应商提供的针对本项目情况采取</w:t>
            </w:r>
            <w:r>
              <w:rPr>
                <w:rFonts w:hint="eastAsia" w:asciiTheme="minorEastAsia" w:hAnsiTheme="minorEastAsia" w:eastAsiaTheme="minorEastAsia" w:cstheme="minorEastAsia"/>
                <w:bCs/>
                <w:kern w:val="0"/>
                <w:sz w:val="24"/>
                <w:szCs w:val="24"/>
                <w:lang w:eastAsia="zh-CN"/>
              </w:rPr>
              <w:t>的保密管理方案</w:t>
            </w:r>
            <w:r>
              <w:rPr>
                <w:rFonts w:hint="eastAsia" w:asciiTheme="minorEastAsia" w:hAnsiTheme="minorEastAsia" w:eastAsiaTheme="minorEastAsia" w:cstheme="minorEastAsia"/>
                <w:bCs/>
                <w:kern w:val="0"/>
                <w:sz w:val="24"/>
                <w:szCs w:val="24"/>
              </w:rPr>
              <w:t>及措施的有效性、合理性、科学性进行综合打分。（0-</w:t>
            </w:r>
            <w:r>
              <w:rPr>
                <w:rFonts w:hint="eastAsia" w:asciiTheme="minorEastAsia" w:hAnsiTheme="minorEastAsia" w:eastAsiaTheme="minorEastAsia" w:cstheme="minorEastAsia"/>
                <w:bCs/>
                <w:kern w:val="0"/>
                <w:sz w:val="24"/>
                <w:szCs w:val="24"/>
                <w:lang w:val="en-US" w:eastAsia="zh-CN"/>
              </w:rPr>
              <w:t>6</w:t>
            </w:r>
            <w:r>
              <w:rPr>
                <w:rFonts w:hint="eastAsia" w:asciiTheme="minorEastAsia" w:hAnsiTheme="minorEastAsia" w:eastAsiaTheme="minorEastAsia" w:cstheme="minorEastAsia"/>
                <w:bCs/>
                <w:kern w:val="0"/>
                <w:sz w:val="24"/>
                <w:szCs w:val="24"/>
              </w:rPr>
              <w:t>分）</w:t>
            </w:r>
            <w:r>
              <w:rPr>
                <w:rFonts w:hint="eastAsia" w:asciiTheme="minorEastAsia" w:hAnsiTheme="minorEastAsia" w:eastAsiaTheme="minorEastAsia" w:cstheme="minorEastAsia"/>
                <w:bCs/>
                <w:kern w:val="0"/>
                <w:sz w:val="24"/>
                <w:szCs w:val="24"/>
                <w:lang w:val="en-US" w:eastAsia="zh-CN"/>
              </w:rPr>
              <w:t>。</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注：以上方案未提供不得分。</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0-36分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4"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2</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合理化建议</w:t>
            </w:r>
          </w:p>
        </w:tc>
        <w:tc>
          <w:tcPr>
            <w:tcW w:w="645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rPr>
                <w:rFonts w:hint="eastAsia" w:eastAsia="宋体" w:asciiTheme="minorEastAsia" w:hAnsiTheme="minorEastAsia" w:cstheme="minorEastAsia"/>
                <w:sz w:val="24"/>
                <w:szCs w:val="24"/>
                <w:lang w:val="en-US" w:eastAsia="zh-CN"/>
              </w:rPr>
            </w:pPr>
            <w:r>
              <w:rPr>
                <w:rFonts w:hint="eastAsia" w:eastAsia="宋体" w:asciiTheme="minorEastAsia" w:hAnsiTheme="minorEastAsia" w:cstheme="minorEastAsia"/>
                <w:sz w:val="24"/>
                <w:szCs w:val="24"/>
                <w:lang w:val="en-US" w:eastAsia="zh-CN"/>
              </w:rPr>
              <w:t>根据供应商提供的针对本项目的理解，结合自身专业优势，提出的合理化建议，进行综合打分（0-</w:t>
            </w:r>
            <w:r>
              <w:rPr>
                <w:rFonts w:hint="eastAsia" w:asciiTheme="minorEastAsia" w:hAnsiTheme="minorEastAsia" w:cstheme="minorEastAsia"/>
                <w:sz w:val="24"/>
                <w:szCs w:val="24"/>
                <w:lang w:val="en-US" w:eastAsia="zh-CN"/>
              </w:rPr>
              <w:t>6</w:t>
            </w:r>
            <w:r>
              <w:rPr>
                <w:rFonts w:hint="eastAsia" w:eastAsia="宋体" w:asciiTheme="minorEastAsia" w:hAnsiTheme="minorEastAsia" w:cstheme="minorEastAsia"/>
                <w:sz w:val="24"/>
                <w:szCs w:val="24"/>
                <w:lang w:val="en-US" w:eastAsia="zh-CN"/>
              </w:rPr>
              <w:t>分）。</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二</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商务资信及其他分</w:t>
            </w:r>
          </w:p>
        </w:tc>
        <w:tc>
          <w:tcPr>
            <w:tcW w:w="6454"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eastAsia" w:asciiTheme="minorEastAsia" w:hAnsiTheme="minorEastAsia" w:eastAsiaTheme="minorEastAsia" w:cstheme="minorEastAsia"/>
                <w:bCs/>
                <w:kern w:val="0"/>
                <w:sz w:val="24"/>
                <w:szCs w:val="24"/>
              </w:rPr>
            </w:pP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
                <w:kern w:val="0"/>
                <w:sz w:val="24"/>
                <w:szCs w:val="24"/>
                <w:lang w:val="en-US" w:eastAsia="zh-CN"/>
              </w:rPr>
              <w:t>48</w:t>
            </w:r>
            <w:r>
              <w:rPr>
                <w:rFonts w:hint="eastAsia" w:asciiTheme="minorEastAsia" w:hAnsiTheme="minorEastAsia" w:eastAsiaTheme="minorEastAsia" w:cstheme="minorEastAsia"/>
                <w:b/>
                <w:kern w:val="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3</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培训方案</w:t>
            </w:r>
          </w:p>
        </w:tc>
        <w:tc>
          <w:tcPr>
            <w:tcW w:w="6454" w:type="dxa"/>
            <w:tcBorders>
              <w:top w:val="single" w:color="auto" w:sz="4" w:space="0"/>
              <w:left w:val="single" w:color="auto" w:sz="4" w:space="0"/>
              <w:bottom w:val="single" w:color="auto" w:sz="4" w:space="0"/>
              <w:right w:val="single" w:color="auto" w:sz="4" w:space="0"/>
            </w:tcBorders>
            <w:vAlign w:val="top"/>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供应商提供的针对本项目培训方案的培训计划、内容、时间及人员安排的可行性、合理性等进行综合评分。（0-6分）</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4</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企业业绩</w:t>
            </w:r>
          </w:p>
        </w:tc>
        <w:tc>
          <w:tcPr>
            <w:tcW w:w="6454" w:type="dxa"/>
            <w:tcBorders>
              <w:top w:val="single" w:color="auto" w:sz="4" w:space="0"/>
              <w:left w:val="single" w:color="auto" w:sz="4" w:space="0"/>
              <w:bottom w:val="single" w:color="auto" w:sz="4" w:space="0"/>
              <w:right w:val="single" w:color="auto" w:sz="4" w:space="0"/>
            </w:tcBorders>
            <w:vAlign w:val="top"/>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2017年1月至今，投标人承担过信息化监理项目业绩的，每提供1个业绩得1分，最高3分。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注：以提供合同扫描件为评审依据。如合同不能反映相关内容的，须同时提供业主出具的加盖业主公章的相关证明材料扫描件或复印件。</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5</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项目总监能力</w:t>
            </w:r>
          </w:p>
        </w:tc>
        <w:tc>
          <w:tcPr>
            <w:tcW w:w="6454" w:type="dxa"/>
            <w:tcBorders>
              <w:top w:val="single" w:color="auto" w:sz="4" w:space="0"/>
              <w:left w:val="single" w:color="auto" w:sz="4" w:space="0"/>
              <w:bottom w:val="single" w:color="auto" w:sz="4" w:space="0"/>
              <w:right w:val="single" w:color="auto" w:sz="4" w:space="0"/>
            </w:tcBorders>
            <w:vAlign w:val="top"/>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总监理工程师具有省人力资源和社会保障部门颁发的信息系统监理师、人力资源和社会保障部门颁发的数据库系统工程师证书、人力资源和社会保障部门颁发的信息系统项目管理师（高级），注册信息安全工程师（CISP）证书每有一个得2分，最高得8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2、总监理工程师担任过信息化项目总监工作的，每一个案例得1分，最多得2分。业绩以合同为准，如合同内未体现总监名字的则需提供业主方出具的业主证明，否则不得分。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注：需提供单位最近三个月社保缴纳证明材料及证书复印件，未提供的不得分。　</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6</w:t>
            </w:r>
          </w:p>
        </w:tc>
        <w:tc>
          <w:tcPr>
            <w:tcW w:w="1823"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项目团队实力</w:t>
            </w:r>
          </w:p>
        </w:tc>
        <w:tc>
          <w:tcPr>
            <w:tcW w:w="6454"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拟投入本项目的监理服务团队组成人员（除总监外）具有省人力资源和社会保障厅颁发的信息系统监理师的同时具有下列证书：</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具有人力资源和社会保障部门颁发的软件评测师、人力资源和社会保障部门颁发的网络工程师证书、人力资源和社会保障部门颁发的数据库系统工程师证书、人力资源和社会保障部门颁发的系统集成项目管理工程师；每提供一本得2分，同一位组员有多本证的只计2分，最高8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注：以上人员需提供单位最近三个月社保缴纳证明材料及证书复印件，未提供的不得分。　</w:t>
            </w:r>
          </w:p>
        </w:tc>
        <w:tc>
          <w:tcPr>
            <w:tcW w:w="971"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7</w:t>
            </w:r>
          </w:p>
        </w:tc>
        <w:tc>
          <w:tcPr>
            <w:tcW w:w="1823"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企业综合实力</w:t>
            </w:r>
          </w:p>
        </w:tc>
        <w:tc>
          <w:tcPr>
            <w:tcW w:w="6454"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1、供应商具备信息系统工程监理甲级单位的得3分，信息系统工程监理乙级单位的得1分，没有提供的不得分(以提供证书复印件为准（0-3分）；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2、供应商具备省（或国家）保密局颁发涉密信息系统集成资质（工程监理、系统咨询）的得3分，缺少其中之一的，本项不得分。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3、供应商具备信息技术服务咨询设计标准符合性证书，得3分。（投标文件中提供证书或者相关证明材料复印件）</w:t>
            </w:r>
          </w:p>
        </w:tc>
        <w:tc>
          <w:tcPr>
            <w:tcW w:w="971" w:type="dxa"/>
            <w:tcBorders>
              <w:top w:val="single" w:color="auto" w:sz="4" w:space="0"/>
              <w:left w:val="single" w:color="auto" w:sz="4" w:space="0"/>
              <w:bottom w:val="single" w:color="auto" w:sz="4" w:space="0"/>
              <w:right w:val="single" w:color="auto" w:sz="4" w:space="0"/>
            </w:tcBorders>
            <w:vAlign w:val="center"/>
          </w:tcPr>
          <w:p>
            <w:pPr>
              <w:pStyle w:val="26"/>
              <w:spacing w:line="47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kern w:val="2"/>
                <w:sz w:val="24"/>
                <w:szCs w:val="24"/>
                <w:lang w:val="en-US" w:eastAsia="zh-CN" w:bidi="ar-SA"/>
              </w:rPr>
              <w:t>0-9分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8</w:t>
            </w:r>
          </w:p>
        </w:tc>
        <w:tc>
          <w:tcPr>
            <w:tcW w:w="182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Theme="minorEastAsia" w:hAnsiTheme="minorEastAsia" w:eastAsiaTheme="minorEastAsia" w:cstheme="minorEastAsia"/>
                <w:b/>
                <w:bCs/>
                <w:sz w:val="24"/>
                <w:szCs w:val="24"/>
                <w:lang w:val="en-US" w:eastAsia="zh-CN"/>
              </w:rPr>
            </w:pPr>
            <w:r>
              <w:rPr>
                <w:rFonts w:hint="eastAsia" w:ascii="宋体" w:hAnsi="宋体" w:cs="宋体"/>
                <w:sz w:val="24"/>
                <w:lang w:eastAsia="zh-CN"/>
              </w:rPr>
              <w:t>供应商</w:t>
            </w:r>
            <w:r>
              <w:rPr>
                <w:rFonts w:hint="eastAsia" w:ascii="宋体" w:hAnsi="宋体" w:cs="宋体"/>
                <w:sz w:val="24"/>
              </w:rPr>
              <w:t>市场行为信誉</w:t>
            </w:r>
          </w:p>
        </w:tc>
        <w:tc>
          <w:tcPr>
            <w:tcW w:w="6454"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snapToGrid w:val="0"/>
                <w:sz w:val="24"/>
                <w:szCs w:val="24"/>
                <w:highlight w:val="none"/>
              </w:rPr>
              <w:t>截止开标时间，不良行为仍在公告期内的，每出现一次扣</w:t>
            </w:r>
            <w:r>
              <w:rPr>
                <w:rFonts w:hint="eastAsia"/>
                <w:snapToGrid w:val="0"/>
                <w:sz w:val="24"/>
                <w:szCs w:val="24"/>
                <w:highlight w:val="none"/>
                <w:lang w:val="en-US" w:eastAsia="zh-CN"/>
              </w:rPr>
              <w:t>5</w:t>
            </w:r>
            <w:r>
              <w:rPr>
                <w:rFonts w:hint="eastAsia"/>
                <w:snapToGrid w:val="0"/>
                <w:sz w:val="24"/>
                <w:szCs w:val="24"/>
                <w:highlight w:val="none"/>
              </w:rPr>
              <w:t>分；不良行为虽已在公告期外，但在三年内的，每出现一次扣</w:t>
            </w:r>
            <w:r>
              <w:rPr>
                <w:rFonts w:hint="eastAsia"/>
                <w:snapToGrid w:val="0"/>
                <w:sz w:val="24"/>
                <w:szCs w:val="24"/>
                <w:highlight w:val="none"/>
                <w:lang w:val="en-US" w:eastAsia="zh-CN"/>
              </w:rPr>
              <w:t>2</w:t>
            </w:r>
            <w:r>
              <w:rPr>
                <w:rFonts w:hint="eastAsia"/>
                <w:snapToGrid w:val="0"/>
                <w:sz w:val="24"/>
                <w:szCs w:val="24"/>
                <w:highlight w:val="none"/>
              </w:rPr>
              <w:t>分；不良行为认定文书及公告中未注明公告期限的，每出现一次扣</w:t>
            </w:r>
            <w:r>
              <w:rPr>
                <w:rFonts w:hint="eastAsia"/>
                <w:snapToGrid w:val="0"/>
                <w:sz w:val="24"/>
                <w:szCs w:val="24"/>
                <w:highlight w:val="none"/>
                <w:lang w:val="en-US" w:eastAsia="zh-CN"/>
              </w:rPr>
              <w:t>1</w:t>
            </w:r>
            <w:r>
              <w:rPr>
                <w:rFonts w:hint="eastAsia"/>
                <w:snapToGrid w:val="0"/>
                <w:sz w:val="24"/>
                <w:szCs w:val="24"/>
                <w:highlight w:val="none"/>
              </w:rPr>
              <w:t>分；未出现不良行为的得</w:t>
            </w:r>
            <w:r>
              <w:rPr>
                <w:rFonts w:hint="eastAsia"/>
                <w:snapToGrid w:val="0"/>
                <w:sz w:val="24"/>
                <w:szCs w:val="24"/>
                <w:highlight w:val="none"/>
                <w:lang w:val="en-US" w:eastAsia="zh-CN"/>
              </w:rPr>
              <w:t>5</w:t>
            </w:r>
            <w:r>
              <w:rPr>
                <w:rFonts w:hint="eastAsia"/>
                <w:snapToGrid w:val="0"/>
                <w:sz w:val="24"/>
                <w:szCs w:val="24"/>
                <w:highlight w:val="none"/>
              </w:rPr>
              <w:t>分。（见《供应商市场行为信誉（信用）情况承诺书（声明书）》）</w:t>
            </w:r>
          </w:p>
        </w:tc>
        <w:tc>
          <w:tcPr>
            <w:tcW w:w="971" w:type="dxa"/>
            <w:tcBorders>
              <w:top w:val="single" w:color="auto" w:sz="4" w:space="0"/>
              <w:left w:val="single" w:color="auto" w:sz="4" w:space="0"/>
              <w:bottom w:val="single" w:color="auto" w:sz="4" w:space="0"/>
              <w:right w:val="single" w:color="auto" w:sz="4" w:space="0"/>
            </w:tcBorders>
            <w:vAlign w:val="center"/>
          </w:tcPr>
          <w:p>
            <w:pPr>
              <w:pStyle w:val="26"/>
              <w:spacing w:line="47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9</w:t>
            </w:r>
          </w:p>
        </w:tc>
        <w:tc>
          <w:tcPr>
            <w:tcW w:w="182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售后服务</w:t>
            </w:r>
          </w:p>
        </w:tc>
        <w:tc>
          <w:tcPr>
            <w:tcW w:w="6454"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投标人已在项目实施地建立分支机构或办事处或承诺中标后15个工作日内在项目实施地建立分支机构或办事处的得5分，不提供承诺不得分。（0-5分）</w:t>
            </w:r>
          </w:p>
        </w:tc>
        <w:tc>
          <w:tcPr>
            <w:tcW w:w="971" w:type="dxa"/>
            <w:tcBorders>
              <w:top w:val="single" w:color="auto" w:sz="4" w:space="0"/>
              <w:left w:val="single" w:color="auto" w:sz="4" w:space="0"/>
              <w:bottom w:val="single" w:color="auto" w:sz="4" w:space="0"/>
              <w:right w:val="single" w:color="auto" w:sz="4" w:space="0"/>
            </w:tcBorders>
            <w:vAlign w:val="center"/>
          </w:tcPr>
          <w:p>
            <w:pPr>
              <w:bidi w:val="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5"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10</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标书质量</w:t>
            </w:r>
          </w:p>
        </w:tc>
        <w:tc>
          <w:tcPr>
            <w:tcW w:w="64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投标</w:t>
            </w:r>
            <w:r>
              <w:rPr>
                <w:rFonts w:hint="eastAsia" w:asciiTheme="minorEastAsia" w:hAnsiTheme="minorEastAsia" w:eastAsiaTheme="minorEastAsia" w:cstheme="minorEastAsia"/>
                <w:kern w:val="0"/>
                <w:sz w:val="24"/>
                <w:szCs w:val="24"/>
                <w:lang w:val="en-US"/>
              </w:rPr>
              <w:t>文件编制完整，格式规范、符合招标文件要求的，得2分；</w:t>
            </w:r>
            <w:r>
              <w:rPr>
                <w:rFonts w:hint="eastAsia" w:asciiTheme="minorEastAsia" w:hAnsiTheme="minorEastAsia" w:eastAsiaTheme="minorEastAsia" w:cstheme="minorEastAsia"/>
                <w:kern w:val="0"/>
                <w:sz w:val="24"/>
                <w:szCs w:val="24"/>
                <w:lang w:val="en-US" w:eastAsia="zh-CN"/>
              </w:rPr>
              <w:t>投标</w:t>
            </w:r>
            <w:r>
              <w:rPr>
                <w:rFonts w:hint="eastAsia" w:asciiTheme="minorEastAsia" w:hAnsiTheme="minorEastAsia" w:eastAsiaTheme="minorEastAsia" w:cstheme="minorEastAsia"/>
                <w:kern w:val="0"/>
                <w:sz w:val="24"/>
                <w:szCs w:val="24"/>
                <w:lang w:val="en-US"/>
              </w:rPr>
              <w:t>文件有关内容前后矛盾、与</w:t>
            </w:r>
            <w:r>
              <w:rPr>
                <w:rFonts w:hint="eastAsia" w:asciiTheme="minorEastAsia" w:hAnsiTheme="minorEastAsia" w:eastAsiaTheme="minorEastAsia" w:cstheme="minorEastAsia"/>
                <w:kern w:val="0"/>
                <w:sz w:val="24"/>
                <w:szCs w:val="24"/>
                <w:lang w:val="en-US" w:eastAsia="zh-CN"/>
              </w:rPr>
              <w:t>招标</w:t>
            </w:r>
            <w:r>
              <w:rPr>
                <w:rFonts w:hint="eastAsia" w:asciiTheme="minorEastAsia" w:hAnsiTheme="minorEastAsia" w:eastAsiaTheme="minorEastAsia" w:cstheme="minorEastAsia"/>
                <w:kern w:val="0"/>
                <w:sz w:val="24"/>
                <w:szCs w:val="24"/>
                <w:lang w:val="en-US"/>
              </w:rPr>
              <w:t>文件要求不一致等，评标委员会允许且需要通过询标等程序进行澄清的，该项不得分；</w:t>
            </w:r>
            <w:r>
              <w:rPr>
                <w:rFonts w:hint="eastAsia" w:asciiTheme="minorEastAsia" w:hAnsiTheme="minorEastAsia" w:eastAsiaTheme="minorEastAsia" w:cstheme="minorEastAsia"/>
                <w:kern w:val="0"/>
                <w:sz w:val="24"/>
                <w:szCs w:val="24"/>
                <w:lang w:val="en-US" w:eastAsia="zh-CN"/>
              </w:rPr>
              <w:t>投标</w:t>
            </w:r>
            <w:r>
              <w:rPr>
                <w:rFonts w:hint="eastAsia" w:asciiTheme="minorEastAsia" w:hAnsiTheme="minorEastAsia" w:eastAsiaTheme="minorEastAsia" w:cstheme="minorEastAsia"/>
                <w:kern w:val="0"/>
                <w:sz w:val="24"/>
                <w:szCs w:val="24"/>
                <w:lang w:val="en-US"/>
              </w:rPr>
              <w:t>文件存在其他错漏的，每项（次）扣 0.5 分，扣完该项得分为止。</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0-2分</w:t>
            </w:r>
          </w:p>
        </w:tc>
      </w:tr>
    </w:tbl>
    <w:p>
      <w:pPr>
        <w:spacing w:line="360" w:lineRule="auto"/>
        <w:jc w:val="left"/>
        <w:rPr>
          <w:rFonts w:ascii="宋体" w:hAnsi="宋体" w:cs="仿宋"/>
          <w:sz w:val="24"/>
        </w:rPr>
      </w:pPr>
      <w:r>
        <w:rPr>
          <w:rFonts w:hint="eastAsia" w:ascii="宋体" w:hAnsi="宋体" w:cs="宋体"/>
          <w:sz w:val="24"/>
        </w:rPr>
        <w:br w:type="page"/>
      </w:r>
      <w:bookmarkStart w:id="31" w:name="_Toc16549"/>
      <w:r>
        <w:rPr>
          <w:rFonts w:hint="eastAsia" w:ascii="宋体" w:hAnsi="宋体" w:cs="宋体"/>
          <w:sz w:val="24"/>
        </w:rPr>
        <w:t xml:space="preserve">                      </w:t>
      </w:r>
      <w:r>
        <w:rPr>
          <w:rFonts w:hint="eastAsia" w:ascii="宋体" w:hAnsi="宋体" w:cs="仿宋"/>
          <w:b/>
          <w:sz w:val="36"/>
          <w:szCs w:val="36"/>
        </w:rPr>
        <w:t>第五章  合同主要条款</w:t>
      </w:r>
      <w:bookmarkEnd w:id="31"/>
    </w:p>
    <w:p>
      <w:pPr>
        <w:spacing w:line="360" w:lineRule="auto"/>
        <w:rPr>
          <w:rFonts w:ascii="宋体" w:hAnsi="宋体" w:cs="宋体"/>
          <w:sz w:val="24"/>
        </w:rPr>
      </w:pPr>
      <w:r>
        <w:rPr>
          <w:rFonts w:hint="eastAsia" w:ascii="宋体" w:hAnsi="宋体" w:cs="宋体"/>
          <w:sz w:val="24"/>
        </w:rPr>
        <w:t>财政审批编号:                    招标文件编号: XXCG(2020)-</w:t>
      </w:r>
      <w:r>
        <w:rPr>
          <w:rFonts w:hint="eastAsia" w:ascii="宋体" w:hAnsi="宋体" w:cs="宋体"/>
          <w:sz w:val="24"/>
          <w:lang w:val="en-US" w:eastAsia="zh-CN"/>
        </w:rPr>
        <w:t>037</w:t>
      </w:r>
      <w:r>
        <w:rPr>
          <w:rFonts w:hint="eastAsia" w:ascii="宋体" w:hAnsi="宋体" w:cs="宋体"/>
          <w:sz w:val="24"/>
        </w:rPr>
        <w:t xml:space="preserve"> </w:t>
      </w:r>
    </w:p>
    <w:p>
      <w:pPr>
        <w:spacing w:line="360" w:lineRule="auto"/>
        <w:rPr>
          <w:rFonts w:ascii="宋体" w:hAnsi="宋体" w:cs="宋体"/>
          <w:b/>
          <w:bCs/>
          <w:sz w:val="24"/>
        </w:rPr>
      </w:pPr>
      <w:r>
        <w:rPr>
          <w:rFonts w:hint="eastAsia" w:ascii="宋体" w:hAnsi="宋体" w:cs="宋体"/>
          <w:b/>
          <w:bCs/>
          <w:sz w:val="24"/>
        </w:rPr>
        <w:t>1.定义</w:t>
      </w:r>
    </w:p>
    <w:p>
      <w:pPr>
        <w:spacing w:line="360" w:lineRule="auto"/>
        <w:ind w:firstLine="480" w:firstLineChars="200"/>
        <w:rPr>
          <w:rFonts w:ascii="宋体" w:hAnsi="宋体" w:cs="宋体"/>
          <w:sz w:val="24"/>
        </w:rPr>
      </w:pPr>
      <w:r>
        <w:rPr>
          <w:rFonts w:hint="eastAsia" w:ascii="宋体" w:hAnsi="宋体" w:cs="宋体"/>
          <w:sz w:val="24"/>
        </w:rPr>
        <w:t>本合同中的下列术语应解释为：</w:t>
      </w:r>
    </w:p>
    <w:p>
      <w:pPr>
        <w:spacing w:line="360" w:lineRule="auto"/>
        <w:ind w:firstLine="480" w:firstLineChars="200"/>
        <w:rPr>
          <w:rFonts w:ascii="宋体" w:hAnsi="宋体" w:cs="宋体"/>
          <w:sz w:val="24"/>
        </w:rPr>
      </w:pPr>
      <w:r>
        <w:rPr>
          <w:rFonts w:hint="eastAsia" w:ascii="宋体" w:hAnsi="宋体" w:cs="宋体"/>
          <w:sz w:val="24"/>
        </w:rPr>
        <w:t>1.1“合同”系指供需双方签署的、合同格式中载明的供需双方所达成的协议，包括所有的附件、附录和构成合同的所有文件；</w:t>
      </w:r>
    </w:p>
    <w:p>
      <w:pPr>
        <w:spacing w:line="360" w:lineRule="auto"/>
        <w:ind w:firstLine="480" w:firstLineChars="200"/>
        <w:rPr>
          <w:rFonts w:ascii="宋体" w:hAnsi="宋体" w:cs="宋体"/>
          <w:sz w:val="24"/>
        </w:rPr>
      </w:pPr>
      <w:r>
        <w:rPr>
          <w:rFonts w:hint="eastAsia" w:ascii="宋体" w:hAnsi="宋体" w:cs="宋体"/>
          <w:sz w:val="24"/>
        </w:rPr>
        <w:t>1.2“合同价”系指根据合同规定，采购人在供应商完全履行合同义务后应付给的价格；</w:t>
      </w:r>
    </w:p>
    <w:p>
      <w:pPr>
        <w:spacing w:line="360" w:lineRule="auto"/>
        <w:ind w:firstLine="480" w:firstLineChars="200"/>
        <w:rPr>
          <w:rFonts w:ascii="宋体" w:hAnsi="宋体" w:cs="宋体"/>
          <w:sz w:val="24"/>
        </w:rPr>
      </w:pPr>
      <w:r>
        <w:rPr>
          <w:rFonts w:hint="eastAsia" w:ascii="宋体" w:hAnsi="宋体" w:cs="宋体"/>
          <w:sz w:val="24"/>
        </w:rPr>
        <w:t>1.3“货物”系指供应商根据合同规定向采购人提供的一切货物、质量保证书和其他技术资料及技术参数；</w:t>
      </w:r>
    </w:p>
    <w:p>
      <w:pPr>
        <w:spacing w:line="360" w:lineRule="auto"/>
        <w:ind w:firstLine="480" w:firstLineChars="200"/>
        <w:rPr>
          <w:rFonts w:ascii="宋体" w:hAnsi="宋体" w:cs="宋体"/>
          <w:sz w:val="24"/>
        </w:rPr>
      </w:pPr>
      <w:r>
        <w:rPr>
          <w:rFonts w:hint="eastAsia" w:ascii="宋体" w:hAnsi="宋体" w:cs="宋体"/>
          <w:sz w:val="24"/>
        </w:rPr>
        <w:t>1.4“服务”系指根据合同规定供应商承担与供货有关的辅助服务，如运输、装卸、安装、保险以及其他的服务，例如安装、调试提供技术援助、培训和其他类似的义务；</w:t>
      </w:r>
    </w:p>
    <w:p>
      <w:pPr>
        <w:spacing w:line="360" w:lineRule="auto"/>
        <w:ind w:firstLine="480" w:firstLineChars="200"/>
        <w:rPr>
          <w:rFonts w:ascii="宋体" w:hAnsi="宋体" w:cs="宋体"/>
          <w:sz w:val="24"/>
        </w:rPr>
      </w:pPr>
      <w:r>
        <w:rPr>
          <w:rFonts w:hint="eastAsia" w:ascii="宋体" w:hAnsi="宋体" w:cs="宋体"/>
          <w:sz w:val="24"/>
        </w:rPr>
        <w:t>1.5“采购人”系指</w:t>
      </w:r>
      <w:r>
        <w:rPr>
          <w:rFonts w:hint="eastAsia" w:ascii="宋体" w:hAnsi="宋体" w:cs="宋体"/>
          <w:bCs/>
          <w:sz w:val="24"/>
        </w:rPr>
        <w:t>具体使用货物和接受服务的使用单位；</w:t>
      </w:r>
    </w:p>
    <w:p>
      <w:pPr>
        <w:spacing w:line="360" w:lineRule="auto"/>
        <w:ind w:firstLine="480" w:firstLineChars="200"/>
        <w:rPr>
          <w:rFonts w:ascii="宋体" w:hAnsi="宋体" w:cs="宋体"/>
          <w:sz w:val="24"/>
        </w:rPr>
      </w:pPr>
      <w:r>
        <w:rPr>
          <w:rFonts w:hint="eastAsia" w:ascii="宋体" w:hAnsi="宋体" w:cs="宋体"/>
          <w:sz w:val="24"/>
        </w:rPr>
        <w:t>1.6“投标供应商”系指根据合同规定提供采购项目货物和服务的具有法人资格的公司、企业或实体；</w:t>
      </w:r>
    </w:p>
    <w:p>
      <w:pPr>
        <w:spacing w:line="360" w:lineRule="auto"/>
        <w:ind w:firstLine="480" w:firstLineChars="200"/>
        <w:rPr>
          <w:rFonts w:ascii="宋体" w:hAnsi="宋体" w:cs="宋体"/>
          <w:sz w:val="24"/>
        </w:rPr>
      </w:pPr>
      <w:r>
        <w:rPr>
          <w:rFonts w:hint="eastAsia" w:ascii="宋体" w:hAnsi="宋体" w:cs="宋体"/>
          <w:sz w:val="24"/>
        </w:rPr>
        <w:t>1.7“财政审批编号”系指</w:t>
      </w:r>
      <w:r>
        <w:rPr>
          <w:rFonts w:hint="eastAsia" w:ascii="宋体" w:hAnsi="宋体" w:cs="宋体"/>
          <w:sz w:val="24"/>
          <w:lang w:eastAsia="zh-CN"/>
        </w:rPr>
        <w:t>区</w:t>
      </w:r>
      <w:r>
        <w:rPr>
          <w:rFonts w:hint="eastAsia" w:ascii="宋体" w:hAnsi="宋体" w:cs="宋体"/>
          <w:sz w:val="24"/>
        </w:rPr>
        <w:t>财政局审批编号。</w:t>
      </w:r>
    </w:p>
    <w:p>
      <w:pPr>
        <w:spacing w:line="360" w:lineRule="auto"/>
        <w:rPr>
          <w:rFonts w:ascii="宋体" w:hAnsi="宋体" w:cs="宋体"/>
          <w:b/>
          <w:bCs/>
          <w:sz w:val="24"/>
        </w:rPr>
      </w:pPr>
      <w:r>
        <w:rPr>
          <w:rFonts w:hint="eastAsia" w:ascii="宋体" w:hAnsi="宋体" w:cs="宋体"/>
          <w:b/>
          <w:bCs/>
          <w:sz w:val="24"/>
        </w:rPr>
        <w:t>2.合同项目与内容</w:t>
      </w:r>
    </w:p>
    <w:p>
      <w:pPr>
        <w:spacing w:line="360" w:lineRule="auto"/>
        <w:rPr>
          <w:rFonts w:hint="eastAsia" w:ascii="宋体" w:hAnsi="宋体" w:eastAsia="宋体" w:cs="宋体"/>
          <w:bCs/>
          <w:snapToGrid w:val="0"/>
          <w:sz w:val="24"/>
          <w:lang w:eastAsia="zh-CN"/>
        </w:rPr>
      </w:pPr>
      <w:r>
        <w:rPr>
          <w:rFonts w:hint="eastAsia" w:ascii="宋体" w:hAnsi="宋体" w:cs="宋体"/>
          <w:bCs/>
          <w:snapToGrid w:val="0"/>
          <w:sz w:val="24"/>
          <w:lang w:eastAsia="zh-CN"/>
        </w:rPr>
        <w:t xml:space="preserve">织里镇智慧红绿灯建设监理项目 </w:t>
      </w:r>
    </w:p>
    <w:p>
      <w:pPr>
        <w:spacing w:line="360" w:lineRule="auto"/>
        <w:rPr>
          <w:rFonts w:ascii="宋体" w:hAnsi="宋体" w:cs="宋体"/>
          <w:b/>
          <w:bCs/>
          <w:sz w:val="24"/>
        </w:rPr>
      </w:pPr>
      <w:r>
        <w:rPr>
          <w:rFonts w:hint="eastAsia" w:ascii="宋体" w:hAnsi="宋体" w:cs="宋体"/>
          <w:b/>
          <w:bCs/>
          <w:sz w:val="24"/>
        </w:rPr>
        <w:t>3.服务时间与服务地点</w:t>
      </w:r>
    </w:p>
    <w:p>
      <w:pPr>
        <w:spacing w:line="360" w:lineRule="auto"/>
        <w:ind w:firstLine="480" w:firstLineChars="200"/>
        <w:rPr>
          <w:rFonts w:ascii="宋体" w:hAnsi="宋体" w:cs="宋体"/>
          <w:sz w:val="24"/>
        </w:rPr>
      </w:pPr>
      <w:r>
        <w:rPr>
          <w:rFonts w:hint="eastAsia" w:ascii="宋体" w:hAnsi="宋体" w:cs="宋体"/>
          <w:sz w:val="24"/>
        </w:rPr>
        <w:t>服务时间：详见招标文件要求；</w:t>
      </w:r>
    </w:p>
    <w:p>
      <w:pPr>
        <w:spacing w:line="360" w:lineRule="auto"/>
        <w:ind w:firstLine="480" w:firstLineChars="200"/>
        <w:rPr>
          <w:rFonts w:ascii="宋体" w:hAnsi="宋体" w:cs="宋体"/>
          <w:sz w:val="24"/>
        </w:rPr>
      </w:pPr>
      <w:r>
        <w:rPr>
          <w:rFonts w:hint="eastAsia" w:ascii="宋体" w:hAnsi="宋体" w:cs="宋体"/>
          <w:sz w:val="24"/>
        </w:rPr>
        <w:t>服务地点：由采购人指定。</w:t>
      </w:r>
    </w:p>
    <w:p>
      <w:pPr>
        <w:spacing w:line="360" w:lineRule="auto"/>
        <w:rPr>
          <w:rFonts w:ascii="宋体" w:hAnsi="宋体" w:cs="宋体"/>
          <w:b/>
          <w:bCs/>
          <w:sz w:val="24"/>
        </w:rPr>
      </w:pPr>
      <w:r>
        <w:rPr>
          <w:rFonts w:hint="eastAsia" w:ascii="宋体" w:hAnsi="宋体" w:cs="宋体"/>
          <w:b/>
          <w:bCs/>
          <w:sz w:val="24"/>
        </w:rPr>
        <w:t>4.签署合同的要求</w:t>
      </w:r>
    </w:p>
    <w:p>
      <w:pPr>
        <w:spacing w:line="360" w:lineRule="auto"/>
        <w:ind w:firstLine="480" w:firstLineChars="200"/>
        <w:rPr>
          <w:rFonts w:ascii="宋体" w:hAnsi="宋体" w:cs="宋体"/>
          <w:bCs/>
          <w:sz w:val="24"/>
        </w:rPr>
      </w:pPr>
      <w:r>
        <w:rPr>
          <w:rFonts w:hint="eastAsia" w:ascii="宋体" w:hAnsi="宋体" w:cs="宋体"/>
          <w:bCs/>
          <w:sz w:val="24"/>
        </w:rPr>
        <w:t>4.1、供应商必须按照投标文件和询标过程中承诺的条款以及中标通知书中规定的时间、地点与采购人签订合同；</w:t>
      </w:r>
    </w:p>
    <w:p>
      <w:pPr>
        <w:spacing w:line="360" w:lineRule="auto"/>
        <w:ind w:firstLine="480" w:firstLineChars="200"/>
        <w:rPr>
          <w:rFonts w:ascii="宋体" w:hAnsi="宋体" w:cs="宋体"/>
          <w:bCs/>
          <w:sz w:val="24"/>
        </w:rPr>
      </w:pPr>
      <w:r>
        <w:rPr>
          <w:rFonts w:hint="eastAsia" w:ascii="宋体" w:hAnsi="宋体" w:cs="宋体"/>
          <w:bCs/>
          <w:sz w:val="24"/>
        </w:rPr>
        <w:t>4.2、所签订的合同内容不得对招标文件和供应商的投标文件作实质性修改；</w:t>
      </w:r>
    </w:p>
    <w:p>
      <w:pPr>
        <w:spacing w:line="360" w:lineRule="auto"/>
        <w:ind w:firstLine="480" w:firstLineChars="200"/>
        <w:rPr>
          <w:rFonts w:ascii="宋体" w:hAnsi="宋体" w:cs="宋体"/>
          <w:bCs/>
          <w:sz w:val="24"/>
        </w:rPr>
      </w:pPr>
      <w:r>
        <w:rPr>
          <w:rFonts w:hint="eastAsia" w:ascii="宋体" w:hAnsi="宋体" w:cs="宋体"/>
          <w:bCs/>
          <w:sz w:val="24"/>
        </w:rPr>
        <w:t>4.3、采购人不得向供应商提出任何不合理的要求，作为签订合同的条件，不得与供应商私下订立背离合同实质性内容的协议；</w:t>
      </w:r>
    </w:p>
    <w:p>
      <w:pPr>
        <w:spacing w:line="360" w:lineRule="auto"/>
        <w:ind w:firstLine="480" w:firstLineChars="200"/>
        <w:rPr>
          <w:rFonts w:ascii="宋体" w:hAnsi="宋体" w:cs="宋体"/>
          <w:bCs/>
          <w:sz w:val="24"/>
        </w:rPr>
      </w:pPr>
      <w:r>
        <w:rPr>
          <w:rFonts w:hint="eastAsia" w:ascii="宋体" w:hAnsi="宋体" w:cs="宋体"/>
          <w:bCs/>
          <w:sz w:val="24"/>
        </w:rPr>
        <w:t>4.4、自采购合同签订之日起 7个工作日内，将采购合同副本 2份送本项目招标代理机构、同级人民政府财政部门备案。</w:t>
      </w:r>
    </w:p>
    <w:p>
      <w:pPr>
        <w:spacing w:line="360" w:lineRule="auto"/>
        <w:rPr>
          <w:rFonts w:ascii="宋体" w:hAnsi="宋体" w:cs="宋体"/>
          <w:b/>
          <w:bCs/>
          <w:sz w:val="24"/>
        </w:rPr>
      </w:pPr>
      <w:r>
        <w:rPr>
          <w:rFonts w:hint="eastAsia" w:ascii="宋体" w:hAnsi="宋体" w:cs="宋体"/>
          <w:b/>
          <w:bCs/>
          <w:sz w:val="24"/>
        </w:rPr>
        <w:t>5.技术规范</w:t>
      </w:r>
    </w:p>
    <w:p>
      <w:pPr>
        <w:spacing w:line="360" w:lineRule="auto"/>
        <w:ind w:firstLine="480" w:firstLineChars="200"/>
        <w:rPr>
          <w:rFonts w:ascii="宋体" w:hAnsi="宋体" w:cs="宋体"/>
          <w:sz w:val="24"/>
          <w:lang w:val="zh-CN"/>
        </w:rPr>
      </w:pPr>
      <w:r>
        <w:rPr>
          <w:rFonts w:hint="eastAsia" w:ascii="宋体" w:hAnsi="宋体" w:cs="宋体"/>
          <w:sz w:val="24"/>
          <w:lang w:val="zh-CN"/>
        </w:rPr>
        <w:t>本合同执行国家及本省、市现行项目实施及验收规范及有关条例、实施办法等。</w:t>
      </w:r>
    </w:p>
    <w:p>
      <w:pPr>
        <w:spacing w:line="360" w:lineRule="auto"/>
        <w:ind w:firstLine="480" w:firstLineChars="200"/>
        <w:rPr>
          <w:rFonts w:ascii="宋体" w:hAnsi="宋体" w:cs="宋体"/>
          <w:sz w:val="24"/>
        </w:rPr>
      </w:pPr>
      <w:r>
        <w:rPr>
          <w:rFonts w:hint="eastAsia" w:ascii="宋体" w:hAnsi="宋体" w:cs="宋体"/>
          <w:sz w:val="24"/>
        </w:rPr>
        <w:t>提供和交付的服务技术规范应与招标文件规定的技术规范相一致。</w:t>
      </w:r>
    </w:p>
    <w:p>
      <w:pPr>
        <w:spacing w:line="360" w:lineRule="auto"/>
        <w:rPr>
          <w:rFonts w:ascii="宋体" w:hAnsi="宋体" w:cs="宋体"/>
          <w:b/>
          <w:bCs/>
          <w:sz w:val="24"/>
        </w:rPr>
      </w:pPr>
      <w:r>
        <w:rPr>
          <w:rFonts w:hint="eastAsia" w:ascii="宋体" w:hAnsi="宋体" w:cs="宋体"/>
          <w:b/>
          <w:bCs/>
          <w:sz w:val="24"/>
        </w:rPr>
        <w:t>6.知识产权</w:t>
      </w:r>
    </w:p>
    <w:p>
      <w:pPr>
        <w:spacing w:line="360" w:lineRule="auto"/>
        <w:ind w:firstLine="480" w:firstLineChars="200"/>
        <w:rPr>
          <w:rFonts w:ascii="宋体" w:hAnsi="宋体" w:cs="宋体"/>
          <w:sz w:val="24"/>
        </w:rPr>
      </w:pPr>
      <w:r>
        <w:rPr>
          <w:rFonts w:hint="eastAsia" w:ascii="宋体" w:hAnsi="宋体" w:cs="宋体"/>
          <w:sz w:val="24"/>
        </w:rPr>
        <w:t>供应商保证所提供的服务及货物均不存在知识产权纠纷。供应商应保证采购人在使用时不受第三方提出侵犯其专利权、商标权等知识产权的诉讼。</w:t>
      </w:r>
    </w:p>
    <w:p>
      <w:pPr>
        <w:spacing w:line="360" w:lineRule="auto"/>
        <w:rPr>
          <w:rFonts w:ascii="宋体" w:hAnsi="宋体" w:cs="宋体"/>
          <w:b/>
          <w:bCs/>
          <w:color w:val="auto"/>
          <w:sz w:val="24"/>
        </w:rPr>
      </w:pPr>
      <w:r>
        <w:rPr>
          <w:rFonts w:hint="eastAsia" w:ascii="宋体" w:hAnsi="宋体" w:cs="宋体"/>
          <w:b/>
          <w:bCs/>
          <w:color w:val="auto"/>
          <w:sz w:val="24"/>
        </w:rPr>
        <w:t>7.付款方式：</w:t>
      </w:r>
    </w:p>
    <w:p>
      <w:pPr>
        <w:spacing w:line="360" w:lineRule="auto"/>
        <w:ind w:firstLine="480" w:firstLineChars="200"/>
        <w:rPr>
          <w:rFonts w:hint="eastAsia" w:ascii="宋体" w:hAnsi="宋体" w:cs="宋体"/>
          <w:sz w:val="24"/>
        </w:rPr>
      </w:pPr>
      <w:r>
        <w:rPr>
          <w:rFonts w:hint="eastAsia" w:ascii="宋体" w:hAnsi="宋体" w:cs="宋体"/>
          <w:sz w:val="24"/>
        </w:rPr>
        <w:t xml:space="preserve">  采购人自采购合同生效及具备实施条件后15日内支付预付款，也即为合同总价的30%；项目通过初验后15日内支付至合同总价的60% ；项目通过终验后15日内支付至合同总价的90%； 项目建设完成后15日内支付合同总价的10%。</w:t>
      </w:r>
    </w:p>
    <w:p>
      <w:pPr>
        <w:spacing w:line="360" w:lineRule="auto"/>
        <w:ind w:firstLine="480" w:firstLineChars="200"/>
        <w:rPr>
          <w:rFonts w:hint="eastAsia" w:ascii="宋体" w:hAnsi="宋体" w:cs="宋体"/>
          <w:sz w:val="24"/>
        </w:rPr>
      </w:pPr>
      <w:r>
        <w:rPr>
          <w:rFonts w:hint="eastAsia" w:ascii="宋体" w:hAnsi="宋体" w:cs="宋体"/>
          <w:sz w:val="24"/>
        </w:rPr>
        <w:t>采购人应自收到供应商开具的发票后15日内将上述相关款项支付到合同约定的供应商账户。</w:t>
      </w:r>
    </w:p>
    <w:p>
      <w:pPr>
        <w:spacing w:line="360" w:lineRule="auto"/>
        <w:ind w:firstLine="480" w:firstLineChars="200"/>
        <w:rPr>
          <w:rFonts w:hint="eastAsia" w:ascii="宋体" w:hAnsi="宋体" w:cs="宋体"/>
          <w:sz w:val="24"/>
        </w:rPr>
      </w:pPr>
      <w:r>
        <w:rPr>
          <w:rFonts w:hint="eastAsia" w:ascii="宋体" w:hAnsi="宋体" w:cs="宋体"/>
          <w:sz w:val="24"/>
        </w:rPr>
        <w:t>采购人在向供应商支付预付款之前，有权要求供应商向采购人提供与预付款金额相对应的担保措施，担保措施可以是银行、保险公司等金融机构出具的预付款保函或其他担保措施。</w:t>
      </w:r>
    </w:p>
    <w:p>
      <w:pPr>
        <w:spacing w:line="360" w:lineRule="auto"/>
        <w:ind w:firstLine="480" w:firstLineChars="200"/>
        <w:rPr>
          <w:rFonts w:hint="eastAsia" w:ascii="宋体" w:hAnsi="宋体" w:cs="宋体"/>
          <w:sz w:val="24"/>
        </w:rPr>
      </w:pPr>
      <w:r>
        <w:rPr>
          <w:rFonts w:hint="eastAsia" w:ascii="宋体" w:hAnsi="宋体" w:cs="宋体"/>
          <w:sz w:val="24"/>
        </w:rPr>
        <w:t>在签订合同时，供应商明确表示无需预付款或者主动要求降低预付款比例的，采购单位可不适用前述规定。</w:t>
      </w:r>
    </w:p>
    <w:p>
      <w:pPr>
        <w:spacing w:line="360" w:lineRule="auto"/>
        <w:rPr>
          <w:rFonts w:ascii="宋体" w:hAnsi="宋体" w:cs="宋体"/>
          <w:sz w:val="24"/>
        </w:rPr>
      </w:pPr>
      <w:r>
        <w:rPr>
          <w:rFonts w:hint="eastAsia" w:ascii="宋体" w:hAnsi="宋体" w:cs="宋体"/>
          <w:b/>
          <w:bCs/>
          <w:sz w:val="24"/>
        </w:rPr>
        <w:t>8.支付</w:t>
      </w:r>
      <w:r>
        <w:rPr>
          <w:rFonts w:hint="eastAsia" w:ascii="宋体" w:hAnsi="宋体" w:cs="宋体"/>
          <w:sz w:val="24"/>
        </w:rPr>
        <w:t>：支付应使用人民币；</w:t>
      </w:r>
    </w:p>
    <w:p>
      <w:pPr>
        <w:spacing w:line="360" w:lineRule="auto"/>
        <w:rPr>
          <w:rFonts w:ascii="宋体" w:hAnsi="宋体" w:cs="宋体"/>
          <w:b/>
          <w:bCs/>
          <w:sz w:val="24"/>
        </w:rPr>
      </w:pPr>
      <w:r>
        <w:rPr>
          <w:rFonts w:hint="eastAsia" w:ascii="宋体" w:hAnsi="宋体" w:cs="宋体"/>
          <w:b/>
          <w:bCs/>
          <w:sz w:val="24"/>
        </w:rPr>
        <w:t>9.技术服务</w:t>
      </w:r>
    </w:p>
    <w:p>
      <w:pPr>
        <w:spacing w:line="360" w:lineRule="auto"/>
        <w:ind w:firstLine="480" w:firstLineChars="200"/>
        <w:rPr>
          <w:rFonts w:ascii="宋体" w:hAnsi="宋体" w:cs="宋体"/>
          <w:sz w:val="24"/>
        </w:rPr>
      </w:pPr>
      <w:r>
        <w:rPr>
          <w:rFonts w:hint="eastAsia" w:ascii="宋体" w:hAnsi="宋体" w:cs="宋体"/>
          <w:sz w:val="24"/>
        </w:rPr>
        <w:t>供应商应负责安排采购人相关人员进行操作、维修的培训。具体时间及培训内容在投标时由供应商提出建议；</w:t>
      </w:r>
    </w:p>
    <w:p>
      <w:pPr>
        <w:spacing w:line="360" w:lineRule="auto"/>
        <w:rPr>
          <w:rFonts w:ascii="宋体" w:hAnsi="宋体" w:cs="宋体"/>
          <w:b/>
          <w:bCs/>
          <w:sz w:val="24"/>
        </w:rPr>
      </w:pPr>
      <w:r>
        <w:rPr>
          <w:rFonts w:hint="eastAsia" w:ascii="宋体" w:hAnsi="宋体" w:cs="宋体"/>
          <w:b/>
          <w:bCs/>
          <w:sz w:val="24"/>
        </w:rPr>
        <w:t>10.售后服务及承诺</w:t>
      </w:r>
    </w:p>
    <w:p>
      <w:pPr>
        <w:spacing w:line="360" w:lineRule="auto"/>
        <w:ind w:firstLine="480" w:firstLineChars="200"/>
        <w:rPr>
          <w:rFonts w:ascii="宋体" w:hAnsi="宋体" w:cs="宋体"/>
          <w:sz w:val="24"/>
        </w:rPr>
      </w:pPr>
      <w:r>
        <w:rPr>
          <w:rFonts w:hint="eastAsia" w:ascii="宋体" w:hAnsi="宋体" w:cs="宋体"/>
          <w:bCs/>
          <w:sz w:val="24"/>
        </w:rPr>
        <w:t>10.1供应商应明确承诺售后服务各项内容和措施，提供详细的服务地点、联系人、</w:t>
      </w:r>
      <w:r>
        <w:rPr>
          <w:rFonts w:hint="eastAsia" w:ascii="宋体" w:hAnsi="宋体" w:cs="宋体"/>
          <w:sz w:val="24"/>
        </w:rPr>
        <w:t>电话等有关资料；</w:t>
      </w:r>
    </w:p>
    <w:p>
      <w:pPr>
        <w:spacing w:line="360" w:lineRule="auto"/>
        <w:ind w:firstLine="480" w:firstLineChars="200"/>
        <w:rPr>
          <w:rFonts w:ascii="宋体" w:hAnsi="宋体" w:cs="宋体"/>
          <w:sz w:val="24"/>
        </w:rPr>
      </w:pPr>
      <w:r>
        <w:rPr>
          <w:rFonts w:hint="eastAsia" w:ascii="宋体" w:hAnsi="宋体" w:cs="宋体"/>
          <w:sz w:val="24"/>
        </w:rPr>
        <w:t>10.2交货期：详见招标文件要求。</w:t>
      </w:r>
    </w:p>
    <w:p>
      <w:pPr>
        <w:spacing w:line="360" w:lineRule="auto"/>
        <w:ind w:firstLine="480" w:firstLineChars="200"/>
        <w:rPr>
          <w:rFonts w:ascii="宋体" w:hAnsi="宋体" w:cs="宋体"/>
          <w:sz w:val="24"/>
        </w:rPr>
      </w:pPr>
      <w:r>
        <w:rPr>
          <w:rFonts w:hint="eastAsia" w:ascii="宋体" w:hAnsi="宋体" w:cs="宋体"/>
          <w:sz w:val="24"/>
        </w:rPr>
        <w:t>10.3服务期：详见招标文件要求。在服务期内，因服务质量所发生的一切费用均由供应商承担；</w:t>
      </w:r>
    </w:p>
    <w:p>
      <w:pPr>
        <w:spacing w:line="360" w:lineRule="auto"/>
        <w:ind w:firstLine="480" w:firstLineChars="200"/>
        <w:rPr>
          <w:rFonts w:ascii="宋体" w:hAnsi="宋体" w:cs="宋体"/>
          <w:sz w:val="24"/>
        </w:rPr>
      </w:pPr>
      <w:r>
        <w:rPr>
          <w:rFonts w:hint="eastAsia" w:ascii="宋体" w:hAnsi="宋体" w:cs="宋体"/>
          <w:sz w:val="24"/>
        </w:rPr>
        <w:t>10.4质保期：详见招标文件要求。</w:t>
      </w:r>
    </w:p>
    <w:p>
      <w:pPr>
        <w:spacing w:line="360" w:lineRule="auto"/>
        <w:rPr>
          <w:rFonts w:ascii="宋体" w:hAnsi="宋体" w:cs="宋体"/>
          <w:b/>
          <w:bCs/>
          <w:sz w:val="24"/>
        </w:rPr>
      </w:pPr>
      <w:r>
        <w:rPr>
          <w:rFonts w:hint="eastAsia" w:ascii="宋体" w:hAnsi="宋体" w:cs="宋体"/>
          <w:b/>
          <w:bCs/>
          <w:sz w:val="24"/>
        </w:rPr>
        <w:t>11.履约保证及后续服务</w:t>
      </w:r>
    </w:p>
    <w:p>
      <w:pPr>
        <w:spacing w:line="360" w:lineRule="auto"/>
        <w:ind w:firstLine="482" w:firstLineChars="200"/>
        <w:rPr>
          <w:rFonts w:ascii="宋体" w:hAnsi="宋体" w:cs="宋体"/>
          <w:b/>
          <w:bCs/>
          <w:sz w:val="24"/>
        </w:rPr>
      </w:pPr>
      <w:r>
        <w:rPr>
          <w:rFonts w:hint="eastAsia" w:ascii="宋体" w:hAnsi="宋体" w:cs="宋体"/>
          <w:b/>
          <w:bCs/>
          <w:sz w:val="24"/>
        </w:rPr>
        <w:t>11.1 本项目不缴纳保证金</w:t>
      </w:r>
    </w:p>
    <w:p>
      <w:pPr>
        <w:spacing w:line="360" w:lineRule="auto"/>
        <w:ind w:firstLine="480" w:firstLineChars="200"/>
        <w:rPr>
          <w:rFonts w:ascii="宋体" w:hAnsi="宋体" w:cs="宋体"/>
          <w:bCs/>
          <w:sz w:val="24"/>
        </w:rPr>
      </w:pPr>
      <w:r>
        <w:rPr>
          <w:rFonts w:hint="eastAsia" w:ascii="宋体" w:hAnsi="宋体" w:cs="宋体"/>
          <w:bCs/>
          <w:sz w:val="24"/>
        </w:rPr>
        <w:t>11.2 供应商应按招标文件规定的服务标准向采购人提供服务。</w:t>
      </w:r>
    </w:p>
    <w:p>
      <w:pPr>
        <w:spacing w:line="360" w:lineRule="auto"/>
        <w:ind w:firstLine="480" w:firstLineChars="200"/>
        <w:rPr>
          <w:rFonts w:ascii="宋体" w:hAnsi="宋体" w:cs="宋体"/>
          <w:bCs/>
          <w:sz w:val="24"/>
        </w:rPr>
      </w:pPr>
      <w:r>
        <w:rPr>
          <w:rFonts w:hint="eastAsia" w:ascii="宋体" w:hAnsi="宋体" w:cs="宋体"/>
          <w:bCs/>
          <w:sz w:val="24"/>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360" w:lineRule="auto"/>
        <w:ind w:firstLine="480" w:firstLineChars="200"/>
        <w:rPr>
          <w:rFonts w:ascii="宋体" w:hAnsi="宋体" w:cs="宋体"/>
          <w:bCs/>
          <w:sz w:val="24"/>
        </w:rPr>
      </w:pPr>
      <w:r>
        <w:rPr>
          <w:rFonts w:hint="eastAsia" w:ascii="宋体" w:hAnsi="宋体" w:cs="宋体"/>
          <w:bCs/>
          <w:sz w:val="24"/>
        </w:rPr>
        <w:t>11.4 供应商提供的服务人员不符合本合同约定的数额，供应商应当自接到采购人通知之日起2日内予以补足，采购人有权按照缺岗天数及缺岗人数扣除相应的履约保证金。</w:t>
      </w:r>
    </w:p>
    <w:p>
      <w:pPr>
        <w:spacing w:line="360" w:lineRule="auto"/>
        <w:ind w:firstLine="480" w:firstLineChars="200"/>
        <w:rPr>
          <w:rFonts w:ascii="宋体" w:hAnsi="宋体" w:cs="宋体"/>
          <w:bCs/>
          <w:sz w:val="24"/>
        </w:rPr>
      </w:pPr>
      <w:r>
        <w:rPr>
          <w:rFonts w:hint="eastAsia" w:ascii="宋体" w:hAnsi="宋体" w:cs="宋体"/>
          <w:bCs/>
          <w:sz w:val="24"/>
        </w:rPr>
        <w:t>11.5 由于供应商服务人员原因在服务工作中给采购人的设施、材料造成损失，供应商应负责赔偿。</w:t>
      </w:r>
    </w:p>
    <w:p>
      <w:pPr>
        <w:spacing w:line="360" w:lineRule="auto"/>
        <w:ind w:firstLine="480" w:firstLineChars="200"/>
        <w:rPr>
          <w:rFonts w:ascii="宋体" w:hAnsi="宋体" w:cs="宋体"/>
          <w:bCs/>
          <w:sz w:val="24"/>
        </w:rPr>
      </w:pPr>
      <w:r>
        <w:rPr>
          <w:rFonts w:hint="eastAsia" w:ascii="宋体" w:hAnsi="宋体" w:cs="宋体"/>
          <w:bCs/>
          <w:sz w:val="24"/>
        </w:rPr>
        <w:t>11.6 在使用过程中发生问题，供应商在接到采购人通知后在    小时内到达采购人现场。</w:t>
      </w:r>
    </w:p>
    <w:p>
      <w:pPr>
        <w:spacing w:line="360" w:lineRule="auto"/>
        <w:ind w:firstLine="480" w:firstLineChars="200"/>
        <w:rPr>
          <w:rFonts w:ascii="宋体" w:hAnsi="宋体" w:cs="宋体"/>
          <w:bCs/>
          <w:sz w:val="24"/>
        </w:rPr>
      </w:pPr>
      <w:r>
        <w:rPr>
          <w:rFonts w:hint="eastAsia" w:ascii="宋体" w:hAnsi="宋体" w:cs="宋体"/>
          <w:bCs/>
          <w:sz w:val="24"/>
        </w:rPr>
        <w:t>11.7 在服务质量保证期内，供应商应对出现的服务质量及安全问题负责处理解决并承担一切费用。</w:t>
      </w:r>
    </w:p>
    <w:p>
      <w:pPr>
        <w:spacing w:line="360" w:lineRule="auto"/>
        <w:rPr>
          <w:rFonts w:ascii="宋体" w:hAnsi="宋体" w:cs="宋体"/>
          <w:b/>
          <w:bCs/>
          <w:sz w:val="24"/>
        </w:rPr>
      </w:pPr>
      <w:r>
        <w:rPr>
          <w:rFonts w:hint="eastAsia" w:ascii="宋体" w:hAnsi="宋体" w:cs="宋体"/>
          <w:b/>
          <w:bCs/>
          <w:sz w:val="24"/>
        </w:rPr>
        <w:t>12.违约责任</w:t>
      </w:r>
    </w:p>
    <w:p>
      <w:pPr>
        <w:spacing w:line="360" w:lineRule="auto"/>
        <w:ind w:firstLine="480" w:firstLineChars="200"/>
        <w:rPr>
          <w:rFonts w:ascii="宋体" w:hAnsi="宋体" w:cs="宋体"/>
          <w:bCs/>
          <w:sz w:val="24"/>
        </w:rPr>
      </w:pPr>
      <w:r>
        <w:rPr>
          <w:rFonts w:hint="eastAsia" w:ascii="宋体" w:hAnsi="宋体" w:cs="宋体"/>
          <w:bCs/>
          <w:sz w:val="24"/>
        </w:rPr>
        <w:t>12.1 采购人无正当理由拒收接受服务的，采购人向供应商偿付合同款项百分之五作为违约金。</w:t>
      </w:r>
    </w:p>
    <w:p>
      <w:pPr>
        <w:spacing w:line="360" w:lineRule="auto"/>
        <w:ind w:firstLine="480" w:firstLineChars="200"/>
        <w:rPr>
          <w:rFonts w:ascii="宋体" w:hAnsi="宋体" w:cs="宋体"/>
          <w:bCs/>
          <w:sz w:val="24"/>
        </w:rPr>
      </w:pPr>
      <w:r>
        <w:rPr>
          <w:rFonts w:hint="eastAsia" w:ascii="宋体" w:hAnsi="宋体" w:cs="宋体"/>
          <w:bCs/>
          <w:sz w:val="24"/>
        </w:rPr>
        <w:t>12.2 采购人无故逾期验收和办理款项支付手续的,采购人应按逾期付款总额每日万分之五向供应商支付违约金。</w:t>
      </w:r>
    </w:p>
    <w:p>
      <w:pPr>
        <w:spacing w:line="360" w:lineRule="auto"/>
        <w:ind w:firstLine="480" w:firstLineChars="200"/>
        <w:rPr>
          <w:rFonts w:ascii="宋体" w:hAnsi="宋体" w:cs="宋体"/>
          <w:bCs/>
          <w:sz w:val="24"/>
        </w:rPr>
      </w:pPr>
      <w:r>
        <w:rPr>
          <w:rFonts w:hint="eastAsia" w:ascii="宋体" w:hAnsi="宋体" w:cs="宋体"/>
          <w:bCs/>
          <w:sz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360" w:lineRule="auto"/>
        <w:ind w:firstLine="480" w:firstLineChars="200"/>
        <w:rPr>
          <w:rFonts w:ascii="宋体" w:hAnsi="宋体" w:cs="宋体"/>
          <w:bCs/>
          <w:sz w:val="24"/>
        </w:rPr>
      </w:pPr>
      <w:r>
        <w:rPr>
          <w:rFonts w:hint="eastAsia" w:ascii="宋体" w:hAnsi="宋体" w:cs="宋体"/>
          <w:bCs/>
          <w:sz w:val="24"/>
        </w:rPr>
        <w:t>12.4</w:t>
      </w:r>
      <w:r>
        <w:rPr>
          <w:rFonts w:hint="eastAsia" w:ascii="宋体" w:hAnsi="宋体" w:cs="宋体"/>
          <w:sz w:val="24"/>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r>
        <w:rPr>
          <w:rFonts w:hint="eastAsia" w:ascii="宋体" w:hAnsi="宋体" w:cs="宋体"/>
          <w:bCs/>
          <w:sz w:val="24"/>
        </w:rPr>
        <w:t xml:space="preserve"> </w:t>
      </w:r>
    </w:p>
    <w:p>
      <w:pPr>
        <w:spacing w:line="360" w:lineRule="auto"/>
        <w:rPr>
          <w:rFonts w:ascii="宋体" w:hAnsi="宋体" w:cs="宋体"/>
          <w:b/>
          <w:bCs/>
          <w:sz w:val="24"/>
        </w:rPr>
      </w:pPr>
      <w:r>
        <w:rPr>
          <w:rFonts w:hint="eastAsia" w:ascii="宋体" w:hAnsi="宋体" w:cs="宋体"/>
          <w:b/>
          <w:bCs/>
          <w:sz w:val="24"/>
        </w:rPr>
        <w:t>13.不可抗力事件处理</w:t>
      </w:r>
    </w:p>
    <w:p>
      <w:pPr>
        <w:spacing w:line="360" w:lineRule="auto"/>
        <w:ind w:firstLine="480" w:firstLineChars="200"/>
        <w:rPr>
          <w:rFonts w:ascii="宋体" w:hAnsi="宋体" w:cs="宋体"/>
          <w:bCs/>
          <w:sz w:val="24"/>
        </w:rPr>
      </w:pPr>
      <w:r>
        <w:rPr>
          <w:rFonts w:hint="eastAsia" w:ascii="宋体" w:hAnsi="宋体" w:cs="宋体"/>
          <w:bCs/>
          <w:sz w:val="24"/>
        </w:rPr>
        <w:t>13.1 在合同有效期内，任何一方因不可抗力事件导致不能履行合同，则合同履行期可延长，其延长期与不可抗力影响期相同。</w:t>
      </w:r>
    </w:p>
    <w:p>
      <w:pPr>
        <w:spacing w:line="360" w:lineRule="auto"/>
        <w:ind w:firstLine="480" w:firstLineChars="200"/>
        <w:rPr>
          <w:rFonts w:ascii="宋体" w:hAnsi="宋体" w:cs="宋体"/>
          <w:bCs/>
          <w:sz w:val="24"/>
        </w:rPr>
      </w:pPr>
      <w:r>
        <w:rPr>
          <w:rFonts w:hint="eastAsia" w:ascii="宋体" w:hAnsi="宋体" w:cs="宋体"/>
          <w:bCs/>
          <w:sz w:val="24"/>
        </w:rPr>
        <w:t>13.2 不可抗力事件发生后，应立即通知对方，并寄送有关权威机构出具的证明。</w:t>
      </w:r>
    </w:p>
    <w:p>
      <w:pPr>
        <w:spacing w:line="360" w:lineRule="auto"/>
        <w:ind w:firstLine="480" w:firstLineChars="200"/>
        <w:rPr>
          <w:rFonts w:ascii="宋体" w:hAnsi="宋体" w:cs="宋体"/>
          <w:bCs/>
          <w:sz w:val="24"/>
        </w:rPr>
      </w:pPr>
      <w:r>
        <w:rPr>
          <w:rFonts w:hint="eastAsia" w:ascii="宋体" w:hAnsi="宋体" w:cs="宋体"/>
          <w:bCs/>
          <w:sz w:val="24"/>
        </w:rPr>
        <w:t>13.3 不可抗力事件延续120天以上，双方应通过友好协商，确定是否继续履行合同。</w:t>
      </w:r>
    </w:p>
    <w:p>
      <w:pPr>
        <w:spacing w:line="360" w:lineRule="auto"/>
        <w:rPr>
          <w:rFonts w:ascii="宋体" w:hAnsi="宋体" w:cs="宋体"/>
          <w:bCs/>
          <w:sz w:val="24"/>
        </w:rPr>
      </w:pPr>
      <w:r>
        <w:rPr>
          <w:rFonts w:hint="eastAsia" w:ascii="宋体" w:hAnsi="宋体" w:cs="宋体"/>
          <w:b/>
          <w:bCs/>
          <w:sz w:val="24"/>
        </w:rPr>
        <w:t>14.</w:t>
      </w:r>
      <w:r>
        <w:rPr>
          <w:rFonts w:hint="eastAsia" w:ascii="宋体" w:hAnsi="宋体" w:cs="宋体"/>
          <w:bCs/>
          <w:sz w:val="24"/>
        </w:rPr>
        <w:t xml:space="preserve"> </w:t>
      </w:r>
      <w:r>
        <w:rPr>
          <w:rFonts w:hint="eastAsia" w:ascii="宋体" w:hAnsi="宋体" w:cs="宋体"/>
          <w:b/>
          <w:bCs/>
          <w:sz w:val="24"/>
        </w:rPr>
        <w:t>争议解决</w:t>
      </w:r>
    </w:p>
    <w:p>
      <w:pPr>
        <w:spacing w:line="360" w:lineRule="auto"/>
        <w:ind w:firstLine="480" w:firstLineChars="200"/>
        <w:rPr>
          <w:rFonts w:ascii="宋体" w:hAnsi="宋体" w:cs="宋体"/>
          <w:sz w:val="24"/>
        </w:rPr>
      </w:pPr>
      <w:r>
        <w:rPr>
          <w:rFonts w:hint="eastAsia" w:ascii="宋体" w:hAnsi="宋体" w:cs="宋体"/>
          <w:sz w:val="24"/>
        </w:rPr>
        <w:t>14.1在执行本合同中所发生的或与本合同有关的一切争端，合同双方应通过友好协商解决，经过协商仍不能解决，双方选择通过下列第x种方式解决：</w:t>
      </w:r>
    </w:p>
    <w:p>
      <w:pPr>
        <w:spacing w:line="360" w:lineRule="auto"/>
        <w:ind w:firstLine="480" w:firstLineChars="200"/>
        <w:rPr>
          <w:rFonts w:ascii="宋体" w:hAnsi="宋体" w:cs="宋体"/>
          <w:sz w:val="24"/>
        </w:rPr>
      </w:pPr>
      <w:r>
        <w:rPr>
          <w:rFonts w:hint="eastAsia" w:ascii="宋体" w:hAnsi="宋体" w:cs="宋体"/>
          <w:sz w:val="24"/>
        </w:rPr>
        <w:t>（1）将争端提交湖州仲裁委员会仲裁</w:t>
      </w:r>
    </w:p>
    <w:p>
      <w:pPr>
        <w:spacing w:line="360" w:lineRule="auto"/>
        <w:ind w:firstLine="480" w:firstLineChars="200"/>
        <w:rPr>
          <w:rFonts w:ascii="宋体" w:hAnsi="宋体" w:cs="宋体"/>
          <w:sz w:val="24"/>
        </w:rPr>
      </w:pPr>
      <w:r>
        <w:rPr>
          <w:rFonts w:hint="eastAsia" w:ascii="宋体" w:hAnsi="宋体" w:cs="宋体"/>
          <w:sz w:val="24"/>
        </w:rPr>
        <w:t>（2）直接向采购人所在地有管辖权的人民法院起诉。</w:t>
      </w:r>
    </w:p>
    <w:p>
      <w:pPr>
        <w:spacing w:line="360" w:lineRule="auto"/>
        <w:ind w:firstLine="480" w:firstLineChars="200"/>
        <w:rPr>
          <w:rFonts w:ascii="宋体" w:hAnsi="宋体" w:cs="宋体"/>
          <w:sz w:val="24"/>
        </w:rPr>
      </w:pPr>
      <w:r>
        <w:rPr>
          <w:rFonts w:hint="eastAsia" w:ascii="宋体" w:hAnsi="宋体" w:cs="宋体"/>
          <w:sz w:val="24"/>
        </w:rPr>
        <w:t>14.2仲裁费用或诉讼费用应由败诉方负担。</w:t>
      </w:r>
    </w:p>
    <w:p>
      <w:pPr>
        <w:spacing w:line="360" w:lineRule="auto"/>
        <w:ind w:firstLine="480" w:firstLineChars="200"/>
        <w:rPr>
          <w:rFonts w:ascii="宋体" w:hAnsi="宋体" w:cs="宋体"/>
          <w:sz w:val="24"/>
        </w:rPr>
      </w:pPr>
      <w:r>
        <w:rPr>
          <w:rFonts w:hint="eastAsia" w:ascii="宋体" w:hAnsi="宋体" w:cs="宋体"/>
          <w:sz w:val="24"/>
        </w:rPr>
        <w:t>14.3在仲裁或诉讼期间，除进行仲裁或诉讼的部分外，本合同其它部分应继续执行。</w:t>
      </w:r>
    </w:p>
    <w:p>
      <w:pPr>
        <w:spacing w:line="360" w:lineRule="auto"/>
        <w:rPr>
          <w:rFonts w:ascii="宋体" w:hAnsi="宋体" w:cs="宋体"/>
          <w:b/>
          <w:bCs/>
          <w:sz w:val="24"/>
        </w:rPr>
      </w:pPr>
      <w:r>
        <w:rPr>
          <w:rFonts w:hint="eastAsia" w:ascii="宋体" w:hAnsi="宋体" w:cs="宋体"/>
          <w:b/>
          <w:bCs/>
          <w:sz w:val="24"/>
        </w:rPr>
        <w:t>15.转让或分包</w:t>
      </w:r>
    </w:p>
    <w:p>
      <w:pPr>
        <w:spacing w:line="360" w:lineRule="auto"/>
        <w:ind w:firstLine="480" w:firstLineChars="200"/>
        <w:rPr>
          <w:rFonts w:ascii="宋体" w:hAnsi="宋体" w:cs="宋体"/>
          <w:sz w:val="24"/>
        </w:rPr>
      </w:pPr>
      <w:r>
        <w:rPr>
          <w:rFonts w:hint="eastAsia" w:ascii="宋体" w:hAnsi="宋体" w:cs="宋体"/>
          <w:sz w:val="24"/>
        </w:rPr>
        <w:t>15.1本合同范围的服务，应由供应商提供，不得转让他人供应；</w:t>
      </w:r>
    </w:p>
    <w:p>
      <w:pPr>
        <w:spacing w:line="360" w:lineRule="auto"/>
        <w:ind w:firstLine="480" w:firstLineChars="200"/>
        <w:rPr>
          <w:rFonts w:ascii="宋体" w:hAnsi="宋体" w:cs="宋体"/>
          <w:sz w:val="24"/>
        </w:rPr>
      </w:pPr>
      <w:r>
        <w:rPr>
          <w:rFonts w:hint="eastAsia" w:ascii="宋体" w:hAnsi="宋体" w:cs="宋体"/>
          <w:sz w:val="24"/>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360" w:lineRule="auto"/>
        <w:ind w:firstLine="480" w:firstLineChars="200"/>
        <w:rPr>
          <w:rFonts w:ascii="宋体" w:hAnsi="宋体" w:cs="宋体"/>
          <w:sz w:val="24"/>
        </w:rPr>
      </w:pPr>
      <w:r>
        <w:rPr>
          <w:rFonts w:hint="eastAsia" w:ascii="宋体" w:hAnsi="宋体" w:cs="宋体"/>
          <w:sz w:val="24"/>
        </w:rPr>
        <w:t>15.3本合同全部或部分的分包不能减轻供应商承担的责任，供应商仍须将分包人的任何行动、错误或疏忽当作是自己完成的并负全责；</w:t>
      </w:r>
    </w:p>
    <w:p>
      <w:pPr>
        <w:spacing w:line="360" w:lineRule="auto"/>
        <w:ind w:firstLine="480" w:firstLineChars="200"/>
        <w:rPr>
          <w:rFonts w:ascii="宋体" w:hAnsi="宋体" w:cs="宋体"/>
          <w:sz w:val="24"/>
        </w:rPr>
      </w:pPr>
      <w:r>
        <w:rPr>
          <w:rFonts w:hint="eastAsia" w:ascii="宋体" w:hAnsi="宋体" w:cs="宋体"/>
          <w:sz w:val="24"/>
        </w:rPr>
        <w:t>15.4在任何分包合同中，须注明分包人按分包合同的范围履行，在供应商按本合同的履行终止时（不论任何原因），亦同时一并终止；</w:t>
      </w:r>
    </w:p>
    <w:p>
      <w:pPr>
        <w:spacing w:line="360" w:lineRule="auto"/>
        <w:ind w:firstLine="480" w:firstLineChars="200"/>
        <w:rPr>
          <w:rFonts w:ascii="宋体" w:hAnsi="宋体" w:cs="宋体"/>
          <w:sz w:val="24"/>
        </w:rPr>
      </w:pPr>
      <w:r>
        <w:rPr>
          <w:rFonts w:hint="eastAsia" w:ascii="宋体" w:hAnsi="宋体" w:cs="宋体"/>
          <w:sz w:val="24"/>
        </w:rPr>
        <w:t>15.5如有转让和未经采购人同意的分包行为，采购人有权给予终止合同。</w:t>
      </w:r>
    </w:p>
    <w:p>
      <w:pPr>
        <w:spacing w:line="360" w:lineRule="auto"/>
        <w:rPr>
          <w:rFonts w:ascii="宋体" w:hAnsi="宋体" w:cs="宋体"/>
          <w:b/>
          <w:bCs/>
          <w:sz w:val="24"/>
        </w:rPr>
      </w:pPr>
      <w:r>
        <w:rPr>
          <w:rFonts w:hint="eastAsia" w:ascii="宋体" w:hAnsi="宋体" w:cs="宋体"/>
          <w:b/>
          <w:bCs/>
          <w:sz w:val="24"/>
        </w:rPr>
        <w:t>16.适用法律</w:t>
      </w:r>
    </w:p>
    <w:p>
      <w:pPr>
        <w:spacing w:line="360" w:lineRule="auto"/>
        <w:ind w:firstLine="480" w:firstLineChars="200"/>
        <w:rPr>
          <w:rFonts w:ascii="宋体" w:hAnsi="宋体" w:cs="宋体"/>
          <w:bCs/>
          <w:sz w:val="24"/>
        </w:rPr>
      </w:pPr>
      <w:r>
        <w:rPr>
          <w:rFonts w:hint="eastAsia" w:ascii="宋体" w:hAnsi="宋体" w:cs="宋体"/>
          <w:sz w:val="24"/>
        </w:rPr>
        <w:t>合同适用法律有《中华人民共和国政府采购法》、《中华人民共和国合同法》、《中华人民共和国产品质量法》和浙江省有关条例等。</w:t>
      </w:r>
    </w:p>
    <w:p>
      <w:pPr>
        <w:spacing w:line="360" w:lineRule="auto"/>
        <w:rPr>
          <w:rFonts w:ascii="宋体" w:hAnsi="宋体" w:cs="宋体"/>
          <w:b/>
          <w:bCs/>
          <w:sz w:val="24"/>
        </w:rPr>
      </w:pPr>
      <w:r>
        <w:rPr>
          <w:rFonts w:hint="eastAsia" w:ascii="宋体" w:hAnsi="宋体" w:cs="宋体"/>
          <w:b/>
          <w:bCs/>
          <w:sz w:val="24"/>
        </w:rPr>
        <w:t>17.合同生效及其他</w:t>
      </w:r>
    </w:p>
    <w:p>
      <w:pPr>
        <w:spacing w:line="360" w:lineRule="auto"/>
        <w:ind w:firstLine="480" w:firstLineChars="200"/>
        <w:rPr>
          <w:rFonts w:ascii="宋体" w:hAnsi="宋体" w:cs="宋体"/>
          <w:bCs/>
          <w:sz w:val="24"/>
        </w:rPr>
      </w:pPr>
      <w:r>
        <w:rPr>
          <w:rFonts w:hint="eastAsia" w:ascii="宋体" w:hAnsi="宋体" w:cs="宋体"/>
          <w:bCs/>
          <w:sz w:val="24"/>
        </w:rPr>
        <w:t>17.1本合同经双方法人及法定代表人签字盖章生效；</w:t>
      </w:r>
    </w:p>
    <w:p>
      <w:pPr>
        <w:spacing w:line="360" w:lineRule="auto"/>
        <w:ind w:firstLine="480" w:firstLineChars="200"/>
        <w:rPr>
          <w:rFonts w:ascii="宋体" w:hAnsi="宋体" w:cs="宋体"/>
          <w:b/>
          <w:bCs/>
          <w:sz w:val="24"/>
        </w:rPr>
      </w:pPr>
      <w:r>
        <w:rPr>
          <w:rFonts w:hint="eastAsia" w:ascii="宋体" w:hAnsi="宋体" w:cs="宋体"/>
          <w:bCs/>
          <w:sz w:val="24"/>
        </w:rPr>
        <w:t>17.2本合同一式六份，供应商、采购人各执二份；吴兴区财政局、采购代理机构各一份。</w:t>
      </w:r>
    </w:p>
    <w:p>
      <w:pPr>
        <w:spacing w:line="360" w:lineRule="auto"/>
        <w:rPr>
          <w:rFonts w:ascii="宋体" w:hAnsi="宋体" w:cs="宋体"/>
          <w:bCs/>
          <w:sz w:val="24"/>
        </w:rPr>
      </w:pPr>
      <w:r>
        <w:rPr>
          <w:rFonts w:hint="eastAsia" w:ascii="宋体" w:hAnsi="宋体" w:cs="宋体"/>
          <w:bCs/>
          <w:sz w:val="24"/>
        </w:rPr>
        <w:t xml:space="preserve">采购人：                                  供应商： </w:t>
      </w:r>
    </w:p>
    <w:p>
      <w:pPr>
        <w:autoSpaceDE w:val="0"/>
        <w:autoSpaceDN w:val="0"/>
        <w:spacing w:line="360" w:lineRule="auto"/>
        <w:textAlignment w:val="bottom"/>
        <w:rPr>
          <w:rFonts w:ascii="宋体" w:hAnsi="宋体" w:cs="宋体"/>
          <w:sz w:val="24"/>
        </w:rPr>
      </w:pPr>
      <w:r>
        <w:rPr>
          <w:rFonts w:hint="eastAsia" w:ascii="宋体" w:hAnsi="宋体" w:cs="宋体"/>
          <w:sz w:val="24"/>
        </w:rPr>
        <w:t>法定代表人或                               法定代表人或</w:t>
      </w:r>
    </w:p>
    <w:p>
      <w:pPr>
        <w:autoSpaceDE w:val="0"/>
        <w:autoSpaceDN w:val="0"/>
        <w:spacing w:line="360" w:lineRule="auto"/>
        <w:textAlignment w:val="bottom"/>
        <w:rPr>
          <w:rFonts w:ascii="宋体" w:hAnsi="宋体" w:cs="宋体"/>
          <w:sz w:val="24"/>
        </w:rPr>
      </w:pPr>
      <w:r>
        <w:rPr>
          <w:rFonts w:hint="eastAsia" w:ascii="宋体" w:hAnsi="宋体" w:cs="宋体"/>
          <w:sz w:val="24"/>
        </w:rPr>
        <w:t xml:space="preserve">受委托人（签字）：                         受委托人（签字）：                                    </w:t>
      </w:r>
    </w:p>
    <w:p>
      <w:pPr>
        <w:autoSpaceDE w:val="0"/>
        <w:autoSpaceDN w:val="0"/>
        <w:spacing w:line="360" w:lineRule="auto"/>
        <w:textAlignment w:val="bottom"/>
        <w:rPr>
          <w:rFonts w:ascii="宋体" w:hAnsi="宋体" w:cs="宋体"/>
          <w:sz w:val="24"/>
        </w:rPr>
      </w:pPr>
      <w:r>
        <w:rPr>
          <w:rFonts w:hint="eastAsia" w:ascii="宋体" w:hAnsi="宋体" w:cs="宋体"/>
          <w:sz w:val="24"/>
        </w:rPr>
        <w:t>地 址：                                    地 址：</w:t>
      </w:r>
    </w:p>
    <w:p>
      <w:pPr>
        <w:autoSpaceDE w:val="0"/>
        <w:autoSpaceDN w:val="0"/>
        <w:spacing w:line="360" w:lineRule="auto"/>
        <w:textAlignment w:val="bottom"/>
        <w:rPr>
          <w:rFonts w:ascii="宋体" w:hAnsi="宋体" w:cs="宋体"/>
          <w:sz w:val="24"/>
        </w:rPr>
      </w:pPr>
      <w:r>
        <w:rPr>
          <w:rFonts w:hint="eastAsia" w:ascii="宋体" w:hAnsi="宋体" w:cs="宋体"/>
          <w:sz w:val="24"/>
        </w:rPr>
        <w:t>邮 编：                                    邮 编：</w:t>
      </w:r>
    </w:p>
    <w:p>
      <w:pPr>
        <w:autoSpaceDE w:val="0"/>
        <w:autoSpaceDN w:val="0"/>
        <w:spacing w:line="360" w:lineRule="auto"/>
        <w:textAlignment w:val="bottom"/>
        <w:rPr>
          <w:rFonts w:ascii="宋体" w:hAnsi="宋体" w:cs="宋体"/>
          <w:sz w:val="24"/>
        </w:rPr>
      </w:pPr>
      <w:r>
        <w:rPr>
          <w:rFonts w:hint="eastAsia" w:ascii="宋体" w:hAnsi="宋体" w:cs="宋体"/>
          <w:sz w:val="24"/>
        </w:rPr>
        <w:t>电 话：                                    电 话：</w:t>
      </w:r>
    </w:p>
    <w:p>
      <w:pPr>
        <w:autoSpaceDE w:val="0"/>
        <w:autoSpaceDN w:val="0"/>
        <w:spacing w:line="360" w:lineRule="auto"/>
        <w:textAlignment w:val="bottom"/>
        <w:rPr>
          <w:rFonts w:ascii="宋体" w:hAnsi="宋体" w:cs="宋体"/>
          <w:sz w:val="24"/>
        </w:rPr>
      </w:pPr>
      <w:r>
        <w:rPr>
          <w:rFonts w:hint="eastAsia" w:ascii="宋体" w:hAnsi="宋体" w:cs="宋体"/>
          <w:sz w:val="24"/>
        </w:rPr>
        <w:t>传 真：                                    传 真：</w:t>
      </w:r>
    </w:p>
    <w:p>
      <w:pPr>
        <w:autoSpaceDE w:val="0"/>
        <w:autoSpaceDN w:val="0"/>
        <w:spacing w:line="360" w:lineRule="auto"/>
        <w:textAlignment w:val="bottom"/>
        <w:rPr>
          <w:rFonts w:ascii="宋体" w:hAnsi="宋体" w:cs="宋体"/>
          <w:sz w:val="24"/>
        </w:rPr>
      </w:pPr>
      <w:r>
        <w:rPr>
          <w:rFonts w:hint="eastAsia" w:ascii="宋体" w:hAnsi="宋体" w:cs="宋体"/>
          <w:sz w:val="24"/>
        </w:rPr>
        <w:t>开户银行：                                 开户银行：</w:t>
      </w:r>
    </w:p>
    <w:p>
      <w:pPr>
        <w:autoSpaceDE w:val="0"/>
        <w:autoSpaceDN w:val="0"/>
        <w:spacing w:line="360" w:lineRule="auto"/>
        <w:textAlignment w:val="bottom"/>
        <w:rPr>
          <w:rFonts w:ascii="宋体" w:hAnsi="宋体" w:cs="宋体"/>
          <w:sz w:val="24"/>
        </w:rPr>
      </w:pPr>
      <w:r>
        <w:rPr>
          <w:rFonts w:hint="eastAsia" w:ascii="宋体" w:hAnsi="宋体" w:cs="宋体"/>
          <w:sz w:val="24"/>
        </w:rPr>
        <w:t>账 号：                                    账  号：</w:t>
      </w:r>
    </w:p>
    <w:p>
      <w:pPr>
        <w:autoSpaceDE w:val="0"/>
        <w:autoSpaceDN w:val="0"/>
        <w:spacing w:line="360" w:lineRule="auto"/>
        <w:textAlignment w:val="bottom"/>
        <w:rPr>
          <w:rFonts w:hint="eastAsia" w:ascii="宋体" w:hAnsi="宋体" w:cs="仿宋"/>
          <w:b/>
          <w:sz w:val="44"/>
          <w:szCs w:val="44"/>
          <w:lang w:eastAsia="zh-CN"/>
        </w:rPr>
      </w:pPr>
      <w:r>
        <w:rPr>
          <w:rFonts w:hint="eastAsia" w:ascii="宋体" w:hAnsi="宋体" w:cs="宋体"/>
          <w:sz w:val="24"/>
        </w:rPr>
        <w:t>签字日期：      年  月  日                 签字日期：      年  月  日</w:t>
      </w:r>
      <w:bookmarkStart w:id="32" w:name="_Toc11931"/>
    </w:p>
    <w:p>
      <w:pPr>
        <w:rPr>
          <w:rFonts w:hint="eastAsia" w:ascii="宋体" w:hAnsi="宋体" w:cs="仿宋"/>
          <w:b/>
          <w:sz w:val="44"/>
          <w:szCs w:val="44"/>
          <w:lang w:eastAsia="zh-CN"/>
        </w:rPr>
      </w:pPr>
      <w:r>
        <w:rPr>
          <w:rFonts w:hint="eastAsia" w:ascii="宋体" w:hAnsi="宋体" w:cs="仿宋"/>
          <w:b/>
          <w:sz w:val="44"/>
          <w:szCs w:val="44"/>
          <w:lang w:eastAsia="zh-CN"/>
        </w:rPr>
        <w:br w:type="page"/>
      </w:r>
    </w:p>
    <w:p>
      <w:pPr>
        <w:numPr>
          <w:ilvl w:val="0"/>
          <w:numId w:val="0"/>
        </w:numPr>
        <w:snapToGrid w:val="0"/>
        <w:spacing w:before="50" w:after="50" w:line="360" w:lineRule="auto"/>
        <w:jc w:val="center"/>
        <w:rPr>
          <w:rFonts w:ascii="宋体" w:hAnsi="宋体" w:cs="仿宋"/>
          <w:b/>
          <w:sz w:val="44"/>
          <w:szCs w:val="44"/>
        </w:rPr>
      </w:pPr>
      <w:r>
        <w:rPr>
          <w:rFonts w:hint="eastAsia" w:ascii="宋体" w:hAnsi="宋体" w:cs="仿宋"/>
          <w:b/>
          <w:sz w:val="44"/>
          <w:szCs w:val="44"/>
          <w:lang w:eastAsia="zh-CN"/>
        </w:rPr>
        <w:t>第六章</w:t>
      </w:r>
      <w:r>
        <w:rPr>
          <w:rFonts w:hint="eastAsia" w:ascii="宋体" w:hAnsi="宋体" w:cs="仿宋"/>
          <w:b/>
          <w:sz w:val="44"/>
          <w:szCs w:val="44"/>
          <w:lang w:val="en-US" w:eastAsia="zh-CN"/>
        </w:rPr>
        <w:t xml:space="preserve"> </w:t>
      </w:r>
      <w:r>
        <w:rPr>
          <w:rFonts w:hint="eastAsia" w:ascii="宋体" w:hAnsi="宋体" w:cs="仿宋"/>
          <w:b/>
          <w:sz w:val="44"/>
          <w:szCs w:val="44"/>
        </w:rPr>
        <w:t>投标文件格式</w:t>
      </w:r>
      <w:bookmarkEnd w:id="32"/>
    </w:p>
    <w:p>
      <w:pPr>
        <w:snapToGrid w:val="0"/>
        <w:spacing w:beforeLines="50" w:after="50"/>
        <w:rPr>
          <w:rFonts w:ascii="宋体" w:hAnsi="宋体" w:cs="宋体"/>
          <w:b/>
          <w:sz w:val="24"/>
          <w:szCs w:val="20"/>
        </w:rPr>
      </w:pPr>
      <w:r>
        <w:rPr>
          <w:rFonts w:hint="eastAsia" w:ascii="宋体" w:hAnsi="宋体" w:cs="宋体"/>
          <w:b/>
          <w:sz w:val="24"/>
        </w:rPr>
        <w:t>1、资格文件（或</w:t>
      </w:r>
      <w:r>
        <w:rPr>
          <w:rFonts w:hint="eastAsia" w:ascii="宋体" w:hAnsi="宋体" w:cs="宋体"/>
          <w:b/>
          <w:bCs/>
          <w:sz w:val="24"/>
        </w:rPr>
        <w:t>商务技术文件）格式</w:t>
      </w:r>
    </w:p>
    <w:p>
      <w:pPr>
        <w:snapToGrid w:val="0"/>
        <w:spacing w:beforeLines="50" w:after="50"/>
        <w:jc w:val="right"/>
        <w:rPr>
          <w:rFonts w:ascii="宋体" w:hAnsi="宋体" w:cs="宋体"/>
          <w:b/>
          <w:bCs/>
          <w:sz w:val="32"/>
          <w:szCs w:val="20"/>
        </w:rPr>
      </w:pPr>
      <w:r>
        <w:rPr>
          <w:rFonts w:hint="eastAsia" w:ascii="宋体" w:hAnsi="宋体" w:cs="宋体"/>
          <w:b/>
          <w:bCs/>
        </w:rPr>
        <w:t>正本/或副本</w:t>
      </w:r>
    </w:p>
    <w:p>
      <w:pPr>
        <w:snapToGrid w:val="0"/>
        <w:spacing w:beforeLines="50" w:after="50"/>
        <w:rPr>
          <w:rFonts w:ascii="宋体" w:hAnsi="宋体" w:cs="宋体"/>
          <w:sz w:val="24"/>
          <w:szCs w:val="20"/>
        </w:rPr>
      </w:pPr>
    </w:p>
    <w:p>
      <w:pPr>
        <w:snapToGrid w:val="0"/>
        <w:spacing w:beforeLines="50" w:after="50"/>
        <w:jc w:val="center"/>
        <w:rPr>
          <w:rFonts w:ascii="宋体" w:hAnsi="宋体" w:cs="宋体"/>
          <w:bCs/>
          <w:sz w:val="24"/>
          <w:szCs w:val="20"/>
        </w:rPr>
      </w:pPr>
    </w:p>
    <w:p>
      <w:pPr>
        <w:snapToGrid w:val="0"/>
        <w:spacing w:beforeLines="50" w:after="50"/>
        <w:jc w:val="center"/>
        <w:rPr>
          <w:rFonts w:ascii="宋体" w:hAnsi="宋体" w:cs="宋体"/>
          <w:bCs/>
          <w:sz w:val="24"/>
          <w:szCs w:val="20"/>
        </w:rPr>
      </w:pPr>
      <w:r>
        <w:rPr>
          <w:rFonts w:hint="eastAsia" w:ascii="宋体" w:hAnsi="宋体" w:cs="宋体"/>
          <w:bCs/>
          <w:sz w:val="24"/>
        </w:rPr>
        <w:t>资格文件（或商务技术文件）</w:t>
      </w:r>
    </w:p>
    <w:p>
      <w:pPr>
        <w:snapToGrid w:val="0"/>
        <w:spacing w:beforeLines="50" w:after="50"/>
        <w:rPr>
          <w:rFonts w:ascii="宋体" w:hAnsi="宋体" w:cs="宋体"/>
          <w:bCs/>
          <w:sz w:val="24"/>
          <w:szCs w:val="20"/>
        </w:rPr>
      </w:pPr>
    </w:p>
    <w:p>
      <w:pPr>
        <w:snapToGrid w:val="0"/>
        <w:spacing w:beforeLines="50" w:after="50"/>
        <w:ind w:firstLine="1068" w:firstLineChars="445"/>
        <w:rPr>
          <w:rFonts w:ascii="宋体" w:hAnsi="宋体" w:cs="宋体"/>
          <w:bCs/>
          <w:sz w:val="24"/>
        </w:rPr>
      </w:pPr>
      <w:r>
        <w:rPr>
          <w:rFonts w:hint="eastAsia" w:ascii="宋体" w:hAnsi="宋体" w:cs="宋体"/>
          <w:bCs/>
          <w:sz w:val="24"/>
        </w:rPr>
        <w:t>项目名称：</w:t>
      </w:r>
    </w:p>
    <w:p>
      <w:pPr>
        <w:snapToGrid w:val="0"/>
        <w:spacing w:beforeLines="50" w:after="50"/>
        <w:ind w:firstLine="1068" w:firstLineChars="445"/>
        <w:rPr>
          <w:rFonts w:ascii="宋体" w:hAnsi="宋体" w:cs="宋体"/>
          <w:bCs/>
          <w:sz w:val="24"/>
        </w:rPr>
      </w:pPr>
      <w:r>
        <w:rPr>
          <w:rFonts w:hint="eastAsia" w:ascii="宋体" w:hAnsi="宋体" w:cs="宋体"/>
          <w:bCs/>
          <w:sz w:val="24"/>
        </w:rPr>
        <w:t>项目编号：</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投标人名称：</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投标人地址：</w:t>
      </w:r>
    </w:p>
    <w:p>
      <w:pPr>
        <w:snapToGrid w:val="0"/>
        <w:spacing w:beforeLines="50" w:after="50"/>
        <w:ind w:firstLine="1068" w:firstLineChars="445"/>
        <w:rPr>
          <w:rFonts w:ascii="宋体" w:hAnsi="宋体" w:cs="宋体"/>
          <w:bCs/>
          <w:sz w:val="24"/>
        </w:rPr>
      </w:pPr>
      <w:r>
        <w:rPr>
          <w:rFonts w:hint="eastAsia" w:ascii="宋体" w:hAnsi="宋体" w:cs="宋体"/>
          <w:bCs/>
          <w:sz w:val="24"/>
        </w:rPr>
        <w:t>在   年  月  日  时  分之前不得启封</w:t>
      </w:r>
    </w:p>
    <w:p>
      <w:pPr>
        <w:pStyle w:val="14"/>
        <w:snapToGrid w:val="0"/>
        <w:spacing w:before="50" w:after="50"/>
        <w:ind w:firstLine="960" w:firstLineChars="400"/>
        <w:rPr>
          <w:rFonts w:ascii="宋体" w:hAnsi="宋体" w:cs="宋体"/>
          <w:bCs/>
          <w:sz w:val="24"/>
        </w:rPr>
      </w:pPr>
    </w:p>
    <w:p>
      <w:pPr>
        <w:snapToGrid w:val="0"/>
        <w:spacing w:beforeLines="50" w:after="50"/>
        <w:ind w:firstLine="4080" w:firstLineChars="1700"/>
        <w:rPr>
          <w:rFonts w:ascii="宋体" w:hAnsi="宋体" w:cs="宋体"/>
          <w:sz w:val="24"/>
          <w:szCs w:val="20"/>
        </w:rPr>
      </w:pPr>
    </w:p>
    <w:p>
      <w:pPr>
        <w:snapToGrid w:val="0"/>
        <w:spacing w:beforeLines="50" w:after="50"/>
        <w:ind w:firstLine="645"/>
        <w:jc w:val="right"/>
        <w:rPr>
          <w:rFonts w:ascii="宋体" w:hAnsi="宋体" w:cs="宋体"/>
          <w:sz w:val="24"/>
          <w:szCs w:val="20"/>
        </w:rPr>
      </w:pPr>
      <w:r>
        <w:rPr>
          <w:rFonts w:hint="eastAsia" w:ascii="宋体" w:hAnsi="宋体" w:cs="宋体"/>
          <w:sz w:val="24"/>
        </w:rPr>
        <w:t>年  月  日</w:t>
      </w:r>
    </w:p>
    <w:p>
      <w:pPr>
        <w:snapToGrid w:val="0"/>
        <w:spacing w:beforeLines="50" w:after="50"/>
        <w:rPr>
          <w:rFonts w:ascii="宋体" w:hAnsi="宋体" w:cs="宋体"/>
          <w:sz w:val="24"/>
          <w:szCs w:val="20"/>
        </w:rPr>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snapToGrid w:val="0"/>
        <w:spacing w:beforeLines="50" w:after="50"/>
        <w:rPr>
          <w:rFonts w:ascii="宋体" w:hAnsi="宋体"/>
          <w:b/>
          <w:sz w:val="24"/>
        </w:rPr>
      </w:pPr>
      <w:r>
        <w:rPr>
          <w:rFonts w:hint="eastAsia" w:ascii="宋体" w:hAnsi="宋体"/>
          <w:b/>
          <w:sz w:val="24"/>
        </w:rPr>
        <w:t>资格文件目录</w:t>
      </w:r>
    </w:p>
    <w:p>
      <w:pPr>
        <w:pStyle w:val="57"/>
        <w:spacing w:line="360" w:lineRule="auto"/>
        <w:rPr>
          <w:rFonts w:ascii="宋体" w:hAnsi="Courier New" w:cs="Courier New"/>
          <w:kern w:val="2"/>
          <w:sz w:val="24"/>
          <w:szCs w:val="21"/>
        </w:rPr>
      </w:pPr>
      <w:r>
        <w:rPr>
          <w:rFonts w:hint="eastAsia" w:ascii="宋体" w:hAnsi="Courier New" w:cs="Courier New"/>
          <w:kern w:val="2"/>
          <w:sz w:val="24"/>
          <w:szCs w:val="21"/>
        </w:rPr>
        <w:t xml:space="preserve">   </w:t>
      </w:r>
      <w:r>
        <w:rPr>
          <w:rFonts w:hint="eastAsia" w:ascii="宋体" w:hAnsi="宋体" w:eastAsia="宋体" w:cs="宋体"/>
          <w:kern w:val="2"/>
          <w:sz w:val="24"/>
          <w:szCs w:val="21"/>
        </w:rPr>
        <w:t xml:space="preserve"> （1）投标单位情况表；</w:t>
      </w:r>
    </w:p>
    <w:p>
      <w:pPr>
        <w:pStyle w:val="26"/>
        <w:spacing w:line="360" w:lineRule="auto"/>
        <w:ind w:firstLine="480" w:firstLineChars="200"/>
        <w:rPr>
          <w:sz w:val="24"/>
        </w:rPr>
      </w:pPr>
      <w:r>
        <w:rPr>
          <w:rFonts w:hint="eastAsia"/>
          <w:sz w:val="24"/>
        </w:rPr>
        <w:t>（2）有效的营业执照、税务登记证、组织机构代码证或“三证合一”的营业执照或“五证合一”的营业执照；</w:t>
      </w:r>
    </w:p>
    <w:p>
      <w:pPr>
        <w:snapToGrid w:val="0"/>
        <w:spacing w:line="360" w:lineRule="auto"/>
        <w:ind w:firstLine="480" w:firstLineChars="200"/>
        <w:rPr>
          <w:rFonts w:ascii="宋体" w:hAnsi="宋体" w:cs="宋体"/>
          <w:sz w:val="24"/>
        </w:rPr>
      </w:pPr>
      <w:r>
        <w:rPr>
          <w:rFonts w:hint="eastAsia" w:ascii="宋体" w:hAnsi="宋体" w:cs="宋体"/>
          <w:sz w:val="24"/>
        </w:rPr>
        <w:t>（3）法定代表人或其授权代理人的授权证书及身份证明</w:t>
      </w:r>
    </w:p>
    <w:p>
      <w:pPr>
        <w:snapToGrid w:val="0"/>
        <w:spacing w:line="360" w:lineRule="auto"/>
        <w:ind w:firstLine="480" w:firstLineChars="200"/>
        <w:rPr>
          <w:rFonts w:ascii="宋体" w:hAnsi="宋体" w:cs="宋体"/>
          <w:kern w:val="0"/>
          <w:sz w:val="24"/>
        </w:rPr>
      </w:pPr>
      <w:r>
        <w:rPr>
          <w:rFonts w:hint="eastAsia" w:ascii="宋体" w:hAnsi="宋体" w:cs="宋体"/>
          <w:sz w:val="24"/>
        </w:rPr>
        <w:t>（4</w:t>
      </w:r>
      <w:r>
        <w:rPr>
          <w:rFonts w:hint="eastAsia" w:hAnsi="宋体" w:cs="Arial"/>
          <w:sz w:val="24"/>
        </w:rPr>
        <w:t>）</w:t>
      </w:r>
      <w:r>
        <w:rPr>
          <w:rFonts w:hint="eastAsia" w:ascii="宋体" w:hAnsi="宋体" w:cs="宋体"/>
          <w:sz w:val="24"/>
        </w:rPr>
        <w:t>授权代理人提供近三个月中任意一个月的社保证明；</w:t>
      </w:r>
    </w:p>
    <w:p>
      <w:pPr>
        <w:pStyle w:val="26"/>
        <w:spacing w:line="360" w:lineRule="auto"/>
        <w:ind w:firstLine="480" w:firstLineChars="200"/>
        <w:rPr>
          <w:rFonts w:hAnsi="宋体"/>
          <w:sz w:val="24"/>
        </w:rPr>
      </w:pPr>
      <w:r>
        <w:rPr>
          <w:rFonts w:hint="eastAsia" w:hAnsi="宋体"/>
          <w:sz w:val="24"/>
        </w:rPr>
        <w:t>（5</w:t>
      </w:r>
      <w:r>
        <w:rPr>
          <w:rFonts w:hAnsi="宋体"/>
          <w:sz w:val="24"/>
        </w:rPr>
        <w:t>）</w:t>
      </w:r>
      <w:r>
        <w:rPr>
          <w:rFonts w:hint="eastAsia" w:hAnsi="宋体"/>
          <w:sz w:val="24"/>
        </w:rPr>
        <w:t>最近一个季度供应商依法缴纳税收和社保费的证明[税费凭证复印件，或者依法缴纳税费或依法免缴税费的证明]</w:t>
      </w:r>
    </w:p>
    <w:p>
      <w:pPr>
        <w:pStyle w:val="26"/>
        <w:spacing w:line="360" w:lineRule="auto"/>
        <w:ind w:firstLine="480" w:firstLineChars="200"/>
        <w:rPr>
          <w:sz w:val="24"/>
        </w:rPr>
      </w:pPr>
      <w:r>
        <w:rPr>
          <w:rFonts w:hint="eastAsia" w:hAnsi="宋体"/>
          <w:sz w:val="24"/>
        </w:rPr>
        <w:t>（6）</w:t>
      </w:r>
      <w:r>
        <w:rPr>
          <w:rFonts w:hint="eastAsia"/>
          <w:sz w:val="24"/>
        </w:rPr>
        <w:t>提供自招标公告发布之日起至投标截止日前任意时间的“信用中国”网站（www.creditchina.gov.cn）、中国政府采购网（www.ccgp.gov.cn）供应商信用查询网页截图；</w:t>
      </w:r>
    </w:p>
    <w:p>
      <w:pPr>
        <w:pStyle w:val="26"/>
        <w:spacing w:line="360" w:lineRule="auto"/>
        <w:ind w:firstLine="480" w:firstLineChars="200"/>
        <w:rPr>
          <w:rFonts w:hint="eastAsia" w:ascii="宋体" w:hAnsi="宋体" w:eastAsia="宋体"/>
          <w:sz w:val="24"/>
        </w:rPr>
      </w:pPr>
      <w:r>
        <w:rPr>
          <w:rFonts w:hint="eastAsia" w:ascii="宋体" w:hAnsi="宋体" w:eastAsia="宋体"/>
          <w:sz w:val="24"/>
          <w:lang w:val="en-US" w:eastAsia="zh-CN"/>
        </w:rPr>
        <w:t>（7）</w:t>
      </w:r>
      <w:r>
        <w:rPr>
          <w:rFonts w:hint="eastAsia" w:ascii="宋体" w:hAnsi="宋体" w:eastAsia="宋体"/>
          <w:sz w:val="24"/>
        </w:rPr>
        <w:t>本项目专门面向中小企业采购,供应商应为中小企业，同时需提供《中小企业声明函》、网页证明资料</w:t>
      </w:r>
    </w:p>
    <w:p>
      <w:pPr>
        <w:pStyle w:val="26"/>
        <w:spacing w:line="360" w:lineRule="auto"/>
        <w:ind w:firstLine="480" w:firstLineChars="200"/>
        <w:rPr>
          <w:rFonts w:hint="eastAsia" w:ascii="宋体" w:hAnsi="宋体" w:eastAsia="宋体"/>
          <w:sz w:val="24"/>
        </w:rPr>
      </w:pPr>
      <w:r>
        <w:rPr>
          <w:rFonts w:hint="eastAsia" w:ascii="宋体" w:hAnsi="宋体" w:eastAsia="宋体"/>
          <w:sz w:val="24"/>
        </w:rPr>
        <w:t>（</w:t>
      </w:r>
      <w:r>
        <w:rPr>
          <w:rFonts w:hint="eastAsia" w:ascii="宋体" w:hAnsi="宋体" w:eastAsia="宋体"/>
          <w:sz w:val="24"/>
          <w:lang w:val="en-US" w:eastAsia="zh-CN"/>
        </w:rPr>
        <w:t>8</w:t>
      </w:r>
      <w:r>
        <w:rPr>
          <w:rFonts w:hint="eastAsia" w:ascii="宋体" w:hAnsi="宋体" w:eastAsia="宋体"/>
          <w:sz w:val="24"/>
        </w:rPr>
        <w:t>）信用承诺书。</w:t>
      </w:r>
    </w:p>
    <w:p>
      <w:pPr>
        <w:pStyle w:val="26"/>
        <w:spacing w:line="360" w:lineRule="auto"/>
        <w:ind w:firstLine="480" w:firstLineChars="200"/>
        <w:rPr>
          <w:sz w:val="24"/>
        </w:rPr>
      </w:pPr>
    </w:p>
    <w:p>
      <w:pPr>
        <w:snapToGrid w:val="0"/>
        <w:spacing w:beforeLines="50" w:after="50" w:line="276" w:lineRule="auto"/>
        <w:rPr>
          <w:rFonts w:ascii="宋体" w:hAnsi="宋体"/>
          <w:b/>
          <w:sz w:val="30"/>
        </w:rPr>
      </w:pPr>
    </w:p>
    <w:p>
      <w:pPr>
        <w:snapToGrid w:val="0"/>
        <w:spacing w:beforeLines="50" w:after="50" w:line="276" w:lineRule="auto"/>
        <w:rPr>
          <w:rFonts w:ascii="宋体" w:hAnsi="宋体"/>
          <w:b/>
          <w:sz w:val="30"/>
        </w:rPr>
      </w:pPr>
    </w:p>
    <w:p>
      <w:pPr>
        <w:pStyle w:val="21"/>
        <w:ind w:firstLine="240"/>
        <w:rPr>
          <w:sz w:val="24"/>
        </w:rPr>
      </w:pPr>
    </w:p>
    <w:p>
      <w:pPr>
        <w:snapToGrid w:val="0"/>
        <w:spacing w:beforeLines="50" w:after="50" w:line="276" w:lineRule="auto"/>
        <w:rPr>
          <w:rFonts w:ascii="宋体" w:hAnsi="宋体"/>
          <w:b/>
          <w:sz w:val="30"/>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
      <w:pPr>
        <w:pStyle w:val="3"/>
      </w:pPr>
    </w:p>
    <w:p>
      <w:pPr>
        <w:pStyle w:val="3"/>
      </w:pPr>
    </w:p>
    <w:p>
      <w:pPr>
        <w:pStyle w:val="21"/>
        <w:ind w:firstLine="240"/>
        <w:rPr>
          <w:sz w:val="24"/>
        </w:rPr>
      </w:pPr>
    </w:p>
    <w:p>
      <w:pPr>
        <w:numPr>
          <w:ilvl w:val="0"/>
          <w:numId w:val="7"/>
        </w:numPr>
        <w:spacing w:line="480" w:lineRule="exact"/>
        <w:ind w:firstLine="560"/>
        <w:jc w:val="center"/>
        <w:rPr>
          <w:rFonts w:ascii="微软雅黑" w:hAnsi="微软雅黑" w:cs="微软雅黑"/>
          <w:sz w:val="24"/>
        </w:rPr>
      </w:pPr>
      <w:r>
        <w:rPr>
          <w:rFonts w:hint="eastAsia" w:ascii="微软雅黑" w:hAnsi="微软雅黑" w:cs="微软雅黑"/>
          <w:b/>
          <w:bCs/>
          <w:sz w:val="24"/>
        </w:rPr>
        <w:t>投标单位情况介绍</w:t>
      </w:r>
    </w:p>
    <w:tbl>
      <w:tblPr>
        <w:tblStyle w:val="39"/>
        <w:tblW w:w="909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00"/>
        <w:gridCol w:w="1135"/>
        <w:gridCol w:w="918"/>
        <w:gridCol w:w="218"/>
        <w:gridCol w:w="1136"/>
        <w:gridCol w:w="174"/>
        <w:gridCol w:w="961"/>
        <w:gridCol w:w="943"/>
        <w:gridCol w:w="11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098" w:type="dxa"/>
            <w:gridSpan w:val="11"/>
            <w:vAlign w:val="center"/>
          </w:tcPr>
          <w:p>
            <w:pPr>
              <w:spacing w:line="240" w:lineRule="exact"/>
              <w:jc w:val="center"/>
              <w:rPr>
                <w:rFonts w:ascii="宋体" w:hAnsi="宋体"/>
                <w:sz w:val="24"/>
              </w:rPr>
            </w:pPr>
            <w:r>
              <w:rPr>
                <w:rFonts w:hint="eastAsia"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单位名称</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地  址</w:t>
            </w:r>
          </w:p>
        </w:tc>
        <w:tc>
          <w:tcPr>
            <w:tcW w:w="4481" w:type="dxa"/>
            <w:gridSpan w:val="6"/>
            <w:vAlign w:val="center"/>
          </w:tcPr>
          <w:p>
            <w:pPr>
              <w:spacing w:line="240" w:lineRule="exact"/>
              <w:jc w:val="center"/>
              <w:rPr>
                <w:rFonts w:ascii="宋体" w:hAnsi="宋体"/>
                <w:sz w:val="24"/>
              </w:rPr>
            </w:pPr>
          </w:p>
        </w:tc>
        <w:tc>
          <w:tcPr>
            <w:tcW w:w="1904" w:type="dxa"/>
            <w:gridSpan w:val="2"/>
            <w:vAlign w:val="center"/>
          </w:tcPr>
          <w:p>
            <w:pPr>
              <w:spacing w:line="240" w:lineRule="exact"/>
              <w:jc w:val="center"/>
              <w:rPr>
                <w:rFonts w:ascii="宋体" w:hAnsi="宋体"/>
                <w:sz w:val="24"/>
              </w:rPr>
            </w:pPr>
            <w:r>
              <w:rPr>
                <w:rFonts w:hint="eastAsia" w:ascii="宋体" w:hAnsi="宋体"/>
                <w:sz w:val="24"/>
              </w:rPr>
              <w:t>法定代表人</w:t>
            </w:r>
          </w:p>
        </w:tc>
        <w:tc>
          <w:tcPr>
            <w:tcW w:w="913" w:type="dxa"/>
            <w:gridSpan w:val="2"/>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成立时间</w:t>
            </w:r>
          </w:p>
        </w:tc>
        <w:tc>
          <w:tcPr>
            <w:tcW w:w="4481" w:type="dxa"/>
            <w:gridSpan w:val="6"/>
            <w:vAlign w:val="center"/>
          </w:tcPr>
          <w:p>
            <w:pPr>
              <w:spacing w:line="240" w:lineRule="exact"/>
              <w:jc w:val="center"/>
              <w:rPr>
                <w:rFonts w:ascii="宋体" w:hAnsi="宋体"/>
                <w:sz w:val="24"/>
              </w:rPr>
            </w:pPr>
          </w:p>
        </w:tc>
        <w:tc>
          <w:tcPr>
            <w:tcW w:w="1904" w:type="dxa"/>
            <w:gridSpan w:val="2"/>
            <w:vAlign w:val="center"/>
          </w:tcPr>
          <w:p>
            <w:pPr>
              <w:spacing w:line="240" w:lineRule="exact"/>
              <w:jc w:val="center"/>
              <w:rPr>
                <w:rFonts w:ascii="宋体" w:hAnsi="宋体"/>
                <w:sz w:val="24"/>
              </w:rPr>
            </w:pPr>
            <w:r>
              <w:rPr>
                <w:rFonts w:hint="eastAsia" w:ascii="宋体" w:hAnsi="宋体"/>
                <w:sz w:val="24"/>
              </w:rPr>
              <w:t>注册资本</w:t>
            </w:r>
          </w:p>
        </w:tc>
        <w:tc>
          <w:tcPr>
            <w:tcW w:w="913" w:type="dxa"/>
            <w:gridSpan w:val="2"/>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开户银行</w:t>
            </w:r>
          </w:p>
        </w:tc>
        <w:tc>
          <w:tcPr>
            <w:tcW w:w="2953" w:type="dxa"/>
            <w:gridSpan w:val="3"/>
            <w:vAlign w:val="center"/>
          </w:tcPr>
          <w:p>
            <w:pPr>
              <w:spacing w:line="240" w:lineRule="exact"/>
              <w:jc w:val="center"/>
              <w:rPr>
                <w:rFonts w:ascii="宋体" w:hAnsi="宋体"/>
                <w:sz w:val="24"/>
              </w:rPr>
            </w:pPr>
          </w:p>
        </w:tc>
        <w:tc>
          <w:tcPr>
            <w:tcW w:w="1528" w:type="dxa"/>
            <w:gridSpan w:val="3"/>
            <w:vAlign w:val="center"/>
          </w:tcPr>
          <w:p>
            <w:pPr>
              <w:spacing w:line="240" w:lineRule="exact"/>
              <w:jc w:val="center"/>
              <w:rPr>
                <w:rFonts w:ascii="宋体" w:hAnsi="宋体"/>
                <w:sz w:val="24"/>
              </w:rPr>
            </w:pPr>
            <w:r>
              <w:rPr>
                <w:rFonts w:hint="eastAsia" w:ascii="宋体" w:hAnsi="宋体"/>
                <w:sz w:val="24"/>
              </w:rPr>
              <w:t>帐  号</w:t>
            </w:r>
          </w:p>
        </w:tc>
        <w:tc>
          <w:tcPr>
            <w:tcW w:w="2817" w:type="dxa"/>
            <w:gridSpan w:val="4"/>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联系电话</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企业总人数</w:t>
            </w:r>
          </w:p>
        </w:tc>
        <w:tc>
          <w:tcPr>
            <w:tcW w:w="900" w:type="dxa"/>
            <w:vAlign w:val="center"/>
          </w:tcPr>
          <w:p>
            <w:pPr>
              <w:spacing w:line="240" w:lineRule="exact"/>
              <w:jc w:val="center"/>
              <w:rPr>
                <w:rFonts w:ascii="宋体" w:hAnsi="宋体"/>
                <w:sz w:val="24"/>
              </w:rPr>
            </w:pPr>
          </w:p>
        </w:tc>
        <w:tc>
          <w:tcPr>
            <w:tcW w:w="1135" w:type="dxa"/>
            <w:vAlign w:val="center"/>
          </w:tcPr>
          <w:p>
            <w:pPr>
              <w:spacing w:line="240" w:lineRule="exact"/>
              <w:jc w:val="center"/>
              <w:rPr>
                <w:rFonts w:ascii="宋体" w:hAnsi="宋体"/>
                <w:sz w:val="24"/>
              </w:rPr>
            </w:pPr>
            <w:r>
              <w:rPr>
                <w:rFonts w:hint="eastAsia" w:ascii="宋体" w:hAnsi="宋体"/>
                <w:sz w:val="24"/>
              </w:rPr>
              <w:t>管理</w:t>
            </w:r>
          </w:p>
          <w:p>
            <w:pPr>
              <w:spacing w:line="240" w:lineRule="exact"/>
              <w:jc w:val="center"/>
              <w:rPr>
                <w:rFonts w:ascii="宋体" w:hAnsi="宋体"/>
                <w:sz w:val="24"/>
              </w:rPr>
            </w:pPr>
            <w:r>
              <w:rPr>
                <w:rFonts w:hint="eastAsia" w:ascii="宋体" w:hAnsi="宋体"/>
                <w:sz w:val="24"/>
              </w:rPr>
              <w:t>人员</w:t>
            </w:r>
          </w:p>
        </w:tc>
        <w:tc>
          <w:tcPr>
            <w:tcW w:w="1136" w:type="dxa"/>
            <w:gridSpan w:val="2"/>
            <w:vAlign w:val="center"/>
          </w:tcPr>
          <w:p>
            <w:pPr>
              <w:spacing w:line="240" w:lineRule="exact"/>
              <w:jc w:val="center"/>
              <w:rPr>
                <w:rFonts w:ascii="宋体" w:hAnsi="宋体"/>
                <w:sz w:val="24"/>
              </w:rPr>
            </w:pPr>
          </w:p>
        </w:tc>
        <w:tc>
          <w:tcPr>
            <w:tcW w:w="1136" w:type="dxa"/>
            <w:vAlign w:val="center"/>
          </w:tcPr>
          <w:p>
            <w:pPr>
              <w:spacing w:line="240" w:lineRule="exact"/>
              <w:jc w:val="center"/>
              <w:rPr>
                <w:rFonts w:ascii="宋体" w:hAnsi="宋体"/>
                <w:sz w:val="24"/>
              </w:rPr>
            </w:pPr>
            <w:r>
              <w:rPr>
                <w:rFonts w:hint="eastAsia" w:ascii="宋体" w:hAnsi="宋体"/>
                <w:sz w:val="24"/>
              </w:rPr>
              <w:t>技术</w:t>
            </w:r>
          </w:p>
          <w:p>
            <w:pPr>
              <w:spacing w:line="240" w:lineRule="exact"/>
              <w:jc w:val="center"/>
              <w:rPr>
                <w:rFonts w:ascii="宋体" w:hAnsi="宋体"/>
                <w:sz w:val="24"/>
              </w:rPr>
            </w:pPr>
            <w:r>
              <w:rPr>
                <w:rFonts w:hint="eastAsia" w:ascii="宋体" w:hAnsi="宋体"/>
                <w:sz w:val="24"/>
              </w:rPr>
              <w:t>人员</w:t>
            </w:r>
          </w:p>
        </w:tc>
        <w:tc>
          <w:tcPr>
            <w:tcW w:w="1135" w:type="dxa"/>
            <w:gridSpan w:val="2"/>
            <w:vAlign w:val="center"/>
          </w:tcPr>
          <w:p>
            <w:pPr>
              <w:spacing w:line="240" w:lineRule="exact"/>
              <w:jc w:val="center"/>
              <w:rPr>
                <w:rFonts w:ascii="宋体" w:hAnsi="宋体"/>
                <w:sz w:val="24"/>
              </w:rPr>
            </w:pPr>
          </w:p>
        </w:tc>
        <w:tc>
          <w:tcPr>
            <w:tcW w:w="1057" w:type="dxa"/>
            <w:gridSpan w:val="2"/>
            <w:vAlign w:val="center"/>
          </w:tcPr>
          <w:p>
            <w:pPr>
              <w:spacing w:line="240" w:lineRule="exact"/>
              <w:jc w:val="center"/>
              <w:rPr>
                <w:rFonts w:ascii="宋体" w:hAnsi="宋体"/>
                <w:sz w:val="24"/>
              </w:rPr>
            </w:pPr>
            <w:r>
              <w:rPr>
                <w:rFonts w:hint="eastAsia" w:ascii="宋体" w:hAnsi="宋体"/>
                <w:sz w:val="24"/>
              </w:rPr>
              <w:t>职工</w:t>
            </w:r>
          </w:p>
          <w:p>
            <w:pPr>
              <w:spacing w:line="240" w:lineRule="exact"/>
              <w:jc w:val="center"/>
              <w:rPr>
                <w:rFonts w:ascii="宋体" w:hAnsi="宋体"/>
                <w:sz w:val="24"/>
              </w:rPr>
            </w:pPr>
            <w:r>
              <w:rPr>
                <w:rFonts w:hint="eastAsia" w:ascii="宋体" w:hAnsi="宋体"/>
                <w:sz w:val="24"/>
              </w:rPr>
              <w:t>人员</w:t>
            </w:r>
          </w:p>
        </w:tc>
        <w:tc>
          <w:tcPr>
            <w:tcW w:w="799" w:type="dxa"/>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经营范围</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800" w:type="dxa"/>
            <w:tcBorders>
              <w:bottom w:val="single" w:color="auto" w:sz="4" w:space="0"/>
            </w:tcBorders>
            <w:vAlign w:val="center"/>
          </w:tcPr>
          <w:p>
            <w:pPr>
              <w:spacing w:line="240" w:lineRule="exact"/>
              <w:jc w:val="center"/>
              <w:rPr>
                <w:rFonts w:ascii="宋体" w:hAnsi="宋体"/>
                <w:sz w:val="24"/>
              </w:rPr>
            </w:pPr>
            <w:r>
              <w:rPr>
                <w:rFonts w:hint="eastAsia" w:ascii="宋体" w:hAnsi="宋体"/>
                <w:sz w:val="24"/>
              </w:rPr>
              <w:t>企业现有的资质证书</w:t>
            </w:r>
          </w:p>
        </w:tc>
        <w:tc>
          <w:tcPr>
            <w:tcW w:w="7298" w:type="dxa"/>
            <w:gridSpan w:val="10"/>
            <w:tcBorders>
              <w:bottom w:val="single" w:color="auto" w:sz="4" w:space="0"/>
            </w:tcBorders>
            <w:vAlign w:val="center"/>
          </w:tcPr>
          <w:p>
            <w:pPr>
              <w:spacing w:line="240" w:lineRule="exact"/>
              <w:jc w:val="center"/>
              <w:rPr>
                <w:rFonts w:ascii="宋体" w:hAnsi="宋体"/>
                <w:sz w:val="24"/>
              </w:rPr>
            </w:pPr>
          </w:p>
        </w:tc>
      </w:tr>
    </w:tbl>
    <w:p>
      <w:pPr>
        <w:spacing w:line="480" w:lineRule="exact"/>
        <w:ind w:firstLine="480"/>
        <w:rPr>
          <w:rFonts w:ascii="宋体" w:hAnsi="宋体"/>
          <w:sz w:val="24"/>
        </w:rPr>
      </w:pPr>
      <w:r>
        <w:rPr>
          <w:rFonts w:hint="eastAsia" w:ascii="宋体" w:hAnsi="宋体"/>
          <w:sz w:val="24"/>
        </w:rPr>
        <w:t>注：表格不能满足时可自行增加。</w:t>
      </w:r>
    </w:p>
    <w:p>
      <w:pPr>
        <w:snapToGrid w:val="0"/>
        <w:spacing w:beforeLines="50"/>
        <w:ind w:firstLine="640"/>
        <w:rPr>
          <w:rFonts w:ascii="宋体" w:hAnsi="宋体"/>
          <w:b/>
          <w:bCs/>
          <w:sz w:val="24"/>
        </w:rPr>
      </w:pPr>
    </w:p>
    <w:p>
      <w:pPr>
        <w:snapToGrid w:val="0"/>
        <w:spacing w:beforeLines="50"/>
        <w:ind w:firstLine="640"/>
        <w:rPr>
          <w:rFonts w:ascii="宋体" w:hAnsi="宋体"/>
          <w:b/>
          <w:bCs/>
          <w:sz w:val="24"/>
        </w:rPr>
      </w:pPr>
    </w:p>
    <w:p>
      <w:pPr>
        <w:snapToGrid w:val="0"/>
        <w:spacing w:beforeLines="50"/>
        <w:ind w:firstLine="480"/>
        <w:rPr>
          <w:rFonts w:ascii="宋体" w:hAnsi="宋体"/>
          <w:sz w:val="24"/>
          <w:u w:val="single"/>
        </w:rPr>
      </w:pPr>
      <w:r>
        <w:rPr>
          <w:rFonts w:hint="eastAsia" w:ascii="微软雅黑" w:hAnsi="微软雅黑"/>
          <w:sz w:val="24"/>
        </w:rPr>
        <w:t>法定代表人或其授权代理人签名或盖章</w:t>
      </w:r>
      <w:r>
        <w:rPr>
          <w:rFonts w:hint="eastAsia" w:ascii="宋体" w:hAnsi="宋体"/>
          <w:sz w:val="24"/>
        </w:rPr>
        <w:t>：</w:t>
      </w:r>
      <w:r>
        <w:rPr>
          <w:rFonts w:ascii="宋体" w:hAnsi="宋体"/>
          <w:sz w:val="24"/>
          <w:u w:val="single"/>
        </w:rPr>
        <w:t xml:space="preserve">             </w:t>
      </w:r>
    </w:p>
    <w:p>
      <w:pPr>
        <w:snapToGrid w:val="0"/>
        <w:spacing w:beforeLines="50" w:after="50"/>
        <w:ind w:firstLine="480"/>
        <w:rPr>
          <w:rFonts w:ascii="宋体" w:hAnsi="宋体"/>
          <w:sz w:val="24"/>
        </w:rPr>
      </w:pPr>
      <w:r>
        <w:rPr>
          <w:rFonts w:hint="eastAsia" w:ascii="宋体" w:hAnsi="宋体"/>
          <w:sz w:val="24"/>
        </w:rPr>
        <w:t>供应商公章：</w:t>
      </w:r>
      <w:r>
        <w:rPr>
          <w:rFonts w:ascii="宋体" w:hAnsi="宋体"/>
          <w:sz w:val="24"/>
          <w:u w:val="single"/>
        </w:rPr>
        <w:t xml:space="preserve">               </w:t>
      </w:r>
      <w:r>
        <w:rPr>
          <w:rFonts w:ascii="宋体" w:hAnsi="宋体"/>
          <w:sz w:val="24"/>
        </w:rPr>
        <w:t xml:space="preserve">                      </w:t>
      </w:r>
    </w:p>
    <w:p>
      <w:pPr>
        <w:snapToGrid w:val="0"/>
        <w:spacing w:beforeLines="50" w:after="50"/>
        <w:ind w:firstLine="6240" w:firstLineChars="2600"/>
        <w:rPr>
          <w:rFonts w:ascii="宋体" w:hAnsi="宋体"/>
          <w:sz w:val="24"/>
        </w:rPr>
      </w:pPr>
    </w:p>
    <w:p>
      <w:pPr>
        <w:snapToGrid w:val="0"/>
        <w:spacing w:before="50" w:afterLines="50"/>
        <w:ind w:firstLine="480"/>
        <w:jc w:val="right"/>
        <w:rPr>
          <w:rFonts w:ascii="宋体" w:hAnsi="宋体" w:cs="宋体"/>
          <w:sz w:val="24"/>
        </w:rPr>
      </w:pPr>
      <w:r>
        <w:rPr>
          <w:rFonts w:ascii="宋体" w:hAnsi="宋体"/>
          <w:sz w:val="24"/>
        </w:rPr>
        <w:t>年    月    日</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pStyle w:val="3"/>
        <w:rPr>
          <w:rFonts w:hAnsi="宋体" w:cs="宋体"/>
          <w:b/>
          <w:sz w:val="24"/>
          <w:szCs w:val="24"/>
        </w:rPr>
      </w:pPr>
    </w:p>
    <w:p>
      <w:pPr>
        <w:pStyle w:val="3"/>
        <w:rPr>
          <w:rFonts w:hAnsi="宋体" w:cs="宋体"/>
          <w:b/>
          <w:sz w:val="24"/>
          <w:szCs w:val="24"/>
        </w:rPr>
      </w:pPr>
    </w:p>
    <w:p>
      <w:pPr>
        <w:pStyle w:val="14"/>
        <w:ind w:firstLine="0"/>
        <w:rPr>
          <w:rFonts w:ascii="宋体" w:hAnsi="宋体"/>
          <w:b/>
          <w:sz w:val="24"/>
        </w:rPr>
      </w:pPr>
    </w:p>
    <w:p>
      <w:pPr>
        <w:snapToGrid w:val="0"/>
        <w:spacing w:line="360" w:lineRule="auto"/>
        <w:jc w:val="center"/>
        <w:rPr>
          <w:b/>
          <w:sz w:val="24"/>
        </w:rPr>
      </w:pPr>
      <w:r>
        <w:rPr>
          <w:rFonts w:hint="eastAsia" w:ascii="宋体" w:hAnsi="宋体"/>
          <w:b/>
          <w:sz w:val="24"/>
        </w:rPr>
        <w:t>二、</w:t>
      </w:r>
      <w:r>
        <w:rPr>
          <w:rFonts w:hint="eastAsia"/>
          <w:b/>
          <w:sz w:val="24"/>
        </w:rPr>
        <w:t>有效的营业执照、税务登记证、组织机构代码证或“三证合一”的营业执照或“五证合一”的营业执照</w:t>
      </w:r>
    </w:p>
    <w:p>
      <w:pPr>
        <w:snapToGrid w:val="0"/>
        <w:spacing w:line="360" w:lineRule="auto"/>
        <w:ind w:firstLine="482" w:firstLineChars="200"/>
        <w:jc w:val="center"/>
        <w:rPr>
          <w:b/>
          <w:sz w:val="24"/>
        </w:rPr>
      </w:pPr>
    </w:p>
    <w:p>
      <w:pPr>
        <w:snapToGrid w:val="0"/>
        <w:spacing w:line="360" w:lineRule="auto"/>
        <w:rPr>
          <w:sz w:val="24"/>
        </w:rPr>
      </w:pPr>
    </w:p>
    <w:p>
      <w:pPr>
        <w:snapToGrid w:val="0"/>
        <w:spacing w:line="360" w:lineRule="auto"/>
        <w:ind w:firstLine="482" w:firstLineChars="200"/>
        <w:jc w:val="center"/>
        <w:rPr>
          <w:rFonts w:ascii="宋体" w:hAnsi="宋体"/>
          <w:b/>
          <w:sz w:val="24"/>
        </w:rPr>
      </w:pPr>
    </w:p>
    <w:p>
      <w:pPr>
        <w:snapToGrid w:val="0"/>
        <w:spacing w:line="360" w:lineRule="auto"/>
        <w:ind w:firstLine="964" w:firstLineChars="400"/>
        <w:rPr>
          <w:rFonts w:ascii="宋体" w:hAnsi="宋体" w:cs="Arial"/>
          <w:b/>
          <w:sz w:val="24"/>
        </w:rPr>
      </w:pPr>
      <w:r>
        <w:rPr>
          <w:rFonts w:hint="eastAsia" w:ascii="宋体" w:hAnsi="宋体"/>
          <w:b/>
          <w:sz w:val="24"/>
        </w:rPr>
        <w:t>三、</w:t>
      </w:r>
      <w:r>
        <w:rPr>
          <w:rFonts w:hint="eastAsia" w:ascii="宋体" w:hAnsi="宋体" w:cs="宋体"/>
          <w:b/>
          <w:sz w:val="24"/>
        </w:rPr>
        <w:t>法定代表人或其授权代理人的授权证书及身份证明</w:t>
      </w:r>
    </w:p>
    <w:p>
      <w:pPr>
        <w:snapToGrid w:val="0"/>
        <w:spacing w:line="360" w:lineRule="auto"/>
        <w:ind w:firstLine="482" w:firstLineChars="200"/>
        <w:jc w:val="center"/>
        <w:rPr>
          <w:rFonts w:ascii="宋体" w:hAnsi="宋体" w:cs="Arial"/>
          <w:b/>
          <w:sz w:val="24"/>
        </w:rPr>
      </w:pPr>
    </w:p>
    <w:p>
      <w:pPr>
        <w:snapToGrid w:val="0"/>
        <w:spacing w:line="360" w:lineRule="auto"/>
        <w:ind w:firstLine="482" w:firstLineChars="200"/>
        <w:jc w:val="center"/>
        <w:rPr>
          <w:rFonts w:ascii="宋体" w:hAnsi="宋体"/>
          <w:b/>
          <w:sz w:val="24"/>
        </w:rPr>
      </w:pPr>
      <w:r>
        <w:rPr>
          <w:rFonts w:hint="eastAsia" w:ascii="宋体" w:hAnsi="宋体"/>
          <w:b/>
          <w:sz w:val="24"/>
        </w:rPr>
        <w:t>法定代表人有效身份证明书</w:t>
      </w:r>
    </w:p>
    <w:p>
      <w:pPr>
        <w:pStyle w:val="14"/>
        <w:spacing w:line="400" w:lineRule="exact"/>
        <w:ind w:firstLine="511" w:firstLineChars="156"/>
        <w:jc w:val="center"/>
        <w:rPr>
          <w:rFonts w:hAnsi="宋体"/>
          <w:bCs/>
          <w:spacing w:val="24"/>
          <w:sz w:val="28"/>
          <w:szCs w:val="28"/>
        </w:rPr>
      </w:pPr>
    </w:p>
    <w:p>
      <w:pPr>
        <w:pStyle w:val="14"/>
        <w:spacing w:line="400" w:lineRule="exact"/>
        <w:ind w:firstLine="449" w:firstLineChars="156"/>
        <w:jc w:val="center"/>
        <w:rPr>
          <w:rFonts w:hAnsi="宋体"/>
          <w:bCs/>
          <w:spacing w:val="24"/>
          <w:sz w:val="24"/>
          <w:szCs w:val="24"/>
        </w:rPr>
      </w:pPr>
    </w:p>
    <w:p>
      <w:pPr>
        <w:pStyle w:val="14"/>
        <w:spacing w:line="360" w:lineRule="auto"/>
        <w:ind w:firstLine="480" w:firstLineChars="200"/>
        <w:rPr>
          <w:rFonts w:hAnsi="宋体"/>
          <w:sz w:val="24"/>
          <w:szCs w:val="24"/>
        </w:rPr>
      </w:pPr>
      <w:r>
        <w:rPr>
          <w:rFonts w:hAnsi="宋体"/>
          <w:sz w:val="24"/>
          <w:szCs w:val="24"/>
        </w:rPr>
        <w:t>（姓名）是（单位全称）的法定代表人，身份证号码为。</w:t>
      </w: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r>
        <w:rPr>
          <w:rFonts w:hAnsi="宋体"/>
          <w:sz w:val="24"/>
          <w:szCs w:val="24"/>
        </w:rPr>
        <w:t xml:space="preserve">    特此证明</w:t>
      </w: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r>
        <w:rPr>
          <w:rFonts w:hAnsi="宋体"/>
          <w:sz w:val="24"/>
          <w:szCs w:val="24"/>
        </w:rPr>
        <w:t xml:space="preserve">                      投标供应商：（盖章）</w:t>
      </w:r>
    </w:p>
    <w:p>
      <w:pPr>
        <w:pStyle w:val="14"/>
        <w:spacing w:line="400" w:lineRule="exact"/>
        <w:ind w:firstLine="374" w:firstLineChars="156"/>
        <w:rPr>
          <w:rFonts w:hAnsi="宋体"/>
          <w:sz w:val="24"/>
          <w:szCs w:val="24"/>
        </w:rPr>
      </w:pPr>
    </w:p>
    <w:p>
      <w:pPr>
        <w:pStyle w:val="14"/>
        <w:spacing w:line="400" w:lineRule="exact"/>
        <w:ind w:firstLine="3012" w:firstLineChars="1255"/>
        <w:rPr>
          <w:rFonts w:hAnsi="宋体"/>
          <w:sz w:val="24"/>
          <w:szCs w:val="24"/>
        </w:rPr>
      </w:pPr>
      <w:r>
        <w:rPr>
          <w:rFonts w:hAnsi="宋体"/>
          <w:sz w:val="24"/>
          <w:szCs w:val="24"/>
        </w:rPr>
        <w:t>法定代表人或其授权代理人（盖章）</w:t>
      </w:r>
    </w:p>
    <w:p>
      <w:pPr>
        <w:pStyle w:val="14"/>
        <w:spacing w:line="400" w:lineRule="exact"/>
        <w:ind w:firstLine="374" w:firstLineChars="156"/>
        <w:jc w:val="center"/>
        <w:rPr>
          <w:rFonts w:hAnsi="宋体"/>
          <w:sz w:val="24"/>
          <w:szCs w:val="24"/>
        </w:rPr>
      </w:pPr>
    </w:p>
    <w:p>
      <w:pPr>
        <w:pStyle w:val="14"/>
        <w:spacing w:line="400" w:lineRule="exact"/>
        <w:ind w:firstLine="374" w:firstLineChars="156"/>
        <w:rPr>
          <w:rFonts w:hAnsi="宋体"/>
          <w:sz w:val="24"/>
          <w:szCs w:val="24"/>
        </w:rPr>
      </w:pPr>
      <w:r>
        <w:rPr>
          <w:rFonts w:hAnsi="宋体"/>
          <w:sz w:val="24"/>
          <w:szCs w:val="24"/>
        </w:rPr>
        <w:t xml:space="preserve">        日期：    年   月   日</w:t>
      </w:r>
    </w:p>
    <w:p>
      <w:pPr>
        <w:pStyle w:val="14"/>
        <w:spacing w:line="400" w:lineRule="exact"/>
        <w:ind w:firstLine="374" w:firstLineChars="156"/>
        <w:jc w:val="center"/>
        <w:rPr>
          <w:rFonts w:hAnsi="宋体"/>
          <w:sz w:val="24"/>
          <w:szCs w:val="24"/>
        </w:rPr>
      </w:pPr>
    </w:p>
    <w:p>
      <w:pPr>
        <w:pStyle w:val="14"/>
        <w:spacing w:line="400" w:lineRule="exact"/>
        <w:ind w:firstLine="0"/>
        <w:rPr>
          <w:rFonts w:hAnsi="宋体"/>
          <w:sz w:val="24"/>
          <w:szCs w:val="24"/>
        </w:rPr>
      </w:pPr>
    </w:p>
    <w:p>
      <w:pPr>
        <w:pStyle w:val="14"/>
        <w:spacing w:line="400" w:lineRule="exact"/>
        <w:ind w:firstLine="374" w:firstLineChars="156"/>
        <w:rPr>
          <w:rFonts w:hAnsi="宋体"/>
          <w:sz w:val="24"/>
          <w:szCs w:val="24"/>
        </w:rPr>
      </w:pPr>
      <w:r>
        <w:rPr>
          <w:rFonts w:hAnsi="宋体"/>
          <w:sz w:val="24"/>
          <w:szCs w:val="24"/>
        </w:rPr>
        <w:t>—————————————————————————————————</w:t>
      </w:r>
    </w:p>
    <w:p>
      <w:pPr>
        <w:pStyle w:val="14"/>
        <w:spacing w:line="400" w:lineRule="exact"/>
        <w:ind w:firstLine="0"/>
        <w:rPr>
          <w:rFonts w:hAnsi="宋体"/>
          <w:sz w:val="24"/>
          <w:szCs w:val="24"/>
        </w:rPr>
      </w:pPr>
    </w:p>
    <w:p>
      <w:pPr>
        <w:pStyle w:val="14"/>
        <w:spacing w:line="400" w:lineRule="exact"/>
        <w:ind w:firstLine="374" w:firstLineChars="156"/>
        <w:jc w:val="center"/>
        <w:rPr>
          <w:rFonts w:hAnsi="宋体"/>
          <w:sz w:val="24"/>
          <w:szCs w:val="24"/>
        </w:rPr>
      </w:pPr>
      <w:r>
        <w:rPr>
          <w:rFonts w:hAnsi="宋体"/>
          <w:sz w:val="24"/>
          <w:szCs w:val="24"/>
        </w:rPr>
        <w:t>有效身份证明</w:t>
      </w:r>
    </w:p>
    <w:p>
      <w:pPr>
        <w:widowControl/>
        <w:tabs>
          <w:tab w:val="left" w:pos="801"/>
        </w:tabs>
        <w:spacing w:line="460" w:lineRule="exact"/>
        <w:rPr>
          <w:b/>
          <w:sz w:val="24"/>
        </w:rPr>
      </w:pPr>
    </w:p>
    <w:p>
      <w:pPr>
        <w:pStyle w:val="14"/>
        <w:ind w:firstLine="0"/>
        <w:rPr>
          <w:b/>
          <w:sz w:val="24"/>
        </w:rPr>
      </w:pPr>
    </w:p>
    <w:p>
      <w:pPr>
        <w:pStyle w:val="14"/>
        <w:rPr>
          <w:b/>
          <w:sz w:val="24"/>
        </w:rPr>
      </w:pPr>
    </w:p>
    <w:p>
      <w:pPr>
        <w:pStyle w:val="14"/>
        <w:ind w:firstLine="0"/>
        <w:rPr>
          <w:b/>
          <w:sz w:val="24"/>
        </w:rPr>
      </w:pPr>
    </w:p>
    <w:p>
      <w:pPr>
        <w:widowControl/>
        <w:tabs>
          <w:tab w:val="left" w:pos="801"/>
        </w:tabs>
        <w:spacing w:line="460" w:lineRule="exact"/>
        <w:ind w:firstLine="482" w:firstLineChars="200"/>
        <w:jc w:val="center"/>
        <w:rPr>
          <w:b/>
          <w:sz w:val="24"/>
        </w:rPr>
      </w:pPr>
    </w:p>
    <w:p>
      <w:pPr>
        <w:pStyle w:val="3"/>
        <w:rPr>
          <w:b/>
          <w:sz w:val="24"/>
        </w:rPr>
      </w:pPr>
    </w:p>
    <w:p>
      <w:pPr>
        <w:pStyle w:val="3"/>
        <w:rPr>
          <w:b/>
          <w:sz w:val="24"/>
        </w:rPr>
      </w:pPr>
    </w:p>
    <w:p>
      <w:pPr>
        <w:widowControl/>
        <w:tabs>
          <w:tab w:val="left" w:pos="801"/>
        </w:tabs>
        <w:spacing w:line="460" w:lineRule="exact"/>
        <w:ind w:firstLine="482" w:firstLineChars="200"/>
        <w:jc w:val="center"/>
        <w:rPr>
          <w:rFonts w:ascii="宋体" w:hAnsi="宋体" w:cs="Arial"/>
          <w:b/>
          <w:color w:val="000000"/>
          <w:sz w:val="24"/>
        </w:rPr>
      </w:pPr>
      <w:r>
        <w:rPr>
          <w:rFonts w:hint="eastAsia"/>
          <w:b/>
          <w:sz w:val="24"/>
        </w:rPr>
        <w:t>法定代表人授权书及授权人身份证</w:t>
      </w:r>
    </w:p>
    <w:p>
      <w:pPr>
        <w:snapToGrid w:val="0"/>
        <w:spacing w:beforeLines="50" w:after="50"/>
        <w:rPr>
          <w:rFonts w:ascii="宋体" w:hAnsi="宋体"/>
          <w:bCs/>
          <w:sz w:val="24"/>
        </w:rPr>
      </w:pPr>
    </w:p>
    <w:p>
      <w:pPr>
        <w:snapToGrid w:val="0"/>
        <w:spacing w:beforeLines="50" w:after="50" w:line="360" w:lineRule="auto"/>
        <w:rPr>
          <w:rFonts w:ascii="宋体" w:hAnsi="宋体"/>
          <w:b/>
          <w:bCs/>
          <w:sz w:val="24"/>
          <w:szCs w:val="20"/>
        </w:rPr>
      </w:pPr>
      <w:r>
        <w:rPr>
          <w:rFonts w:hint="eastAsia" w:ascii="宋体" w:hAnsi="宋体"/>
          <w:bCs/>
          <w:sz w:val="24"/>
        </w:rPr>
        <w:t>致：</w:t>
      </w:r>
      <w:r>
        <w:rPr>
          <w:rFonts w:hint="eastAsia" w:ascii="宋体" w:hAnsi="宋体"/>
          <w:bCs/>
          <w:sz w:val="24"/>
          <w:u w:val="single"/>
        </w:rPr>
        <w:t xml:space="preserve">            </w:t>
      </w:r>
      <w:r>
        <w:rPr>
          <w:rFonts w:hint="eastAsia" w:ascii="宋体" w:hAnsi="宋体"/>
          <w:sz w:val="24"/>
        </w:rPr>
        <w:t>（采购人名称）</w:t>
      </w:r>
      <w:r>
        <w:rPr>
          <w:rFonts w:ascii="宋体" w:hAnsi="宋体"/>
          <w:b/>
          <w:bCs/>
          <w:sz w:val="24"/>
        </w:rPr>
        <w:t xml:space="preserve"> </w:t>
      </w:r>
      <w:r>
        <w:rPr>
          <w:rFonts w:hint="eastAsia" w:ascii="宋体" w:hAnsi="宋体"/>
          <w:sz w:val="24"/>
        </w:rPr>
        <w:t>：</w:t>
      </w:r>
    </w:p>
    <w:p>
      <w:pPr>
        <w:snapToGrid w:val="0"/>
        <w:spacing w:beforeLines="50" w:after="50" w:line="360" w:lineRule="auto"/>
        <w:ind w:firstLine="720" w:firstLineChars="300"/>
        <w:rPr>
          <w:rFonts w:ascii="宋体" w:hAnsi="宋体"/>
          <w:sz w:val="24"/>
          <w:szCs w:val="20"/>
        </w:rPr>
      </w:pPr>
      <w:r>
        <w:rPr>
          <w:rFonts w:hint="eastAsia" w:ascii="宋体" w:hAnsi="宋体"/>
          <w:sz w:val="24"/>
        </w:rPr>
        <w:t>我</w:t>
      </w:r>
      <w:r>
        <w:rPr>
          <w:rFonts w:hint="eastAsia" w:ascii="宋体" w:hAnsi="宋体"/>
          <w:bCs/>
          <w:sz w:val="24"/>
          <w:u w:val="single"/>
        </w:rPr>
        <w:t xml:space="preserve">            </w:t>
      </w:r>
      <w:r>
        <w:rPr>
          <w:rFonts w:hint="eastAsia" w:ascii="宋体" w:hAnsi="宋体"/>
          <w:sz w:val="24"/>
        </w:rPr>
        <w:t>（姓名）系</w:t>
      </w:r>
      <w:r>
        <w:rPr>
          <w:rFonts w:hint="eastAsia" w:ascii="宋体" w:hAnsi="宋体"/>
          <w:bCs/>
          <w:sz w:val="24"/>
        </w:rPr>
        <w:t>：</w:t>
      </w:r>
      <w:r>
        <w:rPr>
          <w:rFonts w:hint="eastAsia" w:ascii="宋体" w:hAnsi="宋体"/>
          <w:bCs/>
          <w:sz w:val="24"/>
          <w:u w:val="single"/>
        </w:rPr>
        <w:t xml:space="preserve">            </w:t>
      </w:r>
      <w:r>
        <w:rPr>
          <w:rFonts w:hint="eastAsia" w:ascii="宋体" w:hAnsi="宋体"/>
          <w:sz w:val="24"/>
        </w:rPr>
        <w:t>（投标供应商名称）的法定代表人，现授权委托本单位在职职工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rPr>
        <w:t>（姓名）以我方的名义参加</w:t>
      </w:r>
      <w:r>
        <w:rPr>
          <w:rFonts w:hint="eastAsia" w:ascii="宋体" w:hAnsi="宋体"/>
          <w:sz w:val="24"/>
          <w:u w:val="single"/>
          <w:lang w:eastAsia="zh-CN"/>
        </w:rPr>
        <w:t xml:space="preserve">织里镇智慧红绿灯建设监理项目 </w:t>
      </w:r>
      <w:r>
        <w:rPr>
          <w:rFonts w:hint="eastAsia" w:ascii="宋体" w:hAnsi="宋体"/>
          <w:sz w:val="24"/>
        </w:rPr>
        <w:t>的投标活动，并代表我方全权办理针对上述项目的投标、开标、评标、签约等具体事务和签署相关文件。</w:t>
      </w:r>
    </w:p>
    <w:p>
      <w:pPr>
        <w:snapToGrid w:val="0"/>
        <w:spacing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Lines="50" w:after="50" w:line="360" w:lineRule="auto"/>
        <w:rPr>
          <w:rFonts w:ascii="宋体" w:hAnsi="宋体"/>
          <w:sz w:val="24"/>
          <w:szCs w:val="20"/>
        </w:rPr>
      </w:pPr>
    </w:p>
    <w:p>
      <w:pPr>
        <w:snapToGrid w:val="0"/>
        <w:spacing w:beforeLines="50" w:after="50" w:line="360" w:lineRule="auto"/>
        <w:rPr>
          <w:rFonts w:ascii="宋体" w:hAnsi="宋体"/>
          <w:sz w:val="24"/>
          <w:szCs w:val="20"/>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法定代表人盖章：</w:t>
      </w:r>
      <w:r>
        <w:rPr>
          <w:rFonts w:ascii="宋体" w:hAnsi="宋体"/>
          <w:sz w:val="24"/>
          <w:u w:val="single"/>
        </w:rPr>
        <w:t xml:space="preserve">                    </w:t>
      </w:r>
    </w:p>
    <w:p>
      <w:pPr>
        <w:snapToGrid w:val="0"/>
        <w:spacing w:beforeLines="50" w:after="50" w:line="360" w:lineRule="auto"/>
        <w:ind w:firstLine="960" w:firstLineChars="400"/>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Lines="50" w:after="50" w:line="360" w:lineRule="auto"/>
        <w:rPr>
          <w:rFonts w:ascii="宋体" w:hAnsi="宋体"/>
          <w:sz w:val="24"/>
          <w:szCs w:val="20"/>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Lines="50" w:after="50" w:line="360" w:lineRule="auto"/>
        <w:rPr>
          <w:rFonts w:ascii="宋体" w:hAnsi="宋体"/>
          <w:sz w:val="24"/>
        </w:rPr>
      </w:pPr>
      <w:r>
        <w:rPr>
          <w:rFonts w:ascii="宋体" w:hAnsi="宋体"/>
          <w:sz w:val="24"/>
        </w:rPr>
        <w:t xml:space="preserve">                                     </w:t>
      </w:r>
      <w:r>
        <w:rPr>
          <w:rFonts w:hint="eastAsia" w:ascii="宋体" w:hAnsi="宋体"/>
          <w:sz w:val="24"/>
        </w:rPr>
        <w:t>投标供应商公章：</w:t>
      </w:r>
    </w:p>
    <w:p>
      <w:pPr>
        <w:pStyle w:val="14"/>
        <w:spacing w:line="360" w:lineRule="auto"/>
        <w:ind w:firstLine="374" w:firstLineChars="156"/>
        <w:jc w:val="center"/>
        <w:rPr>
          <w:rFonts w:hAnsi="宋体"/>
          <w:sz w:val="24"/>
          <w:szCs w:val="24"/>
        </w:rPr>
      </w:pPr>
      <w:r>
        <w:rPr>
          <w:rFonts w:hAnsi="宋体"/>
          <w:sz w:val="24"/>
          <w:szCs w:val="24"/>
        </w:rPr>
        <w:t>————————————————————</w:t>
      </w:r>
    </w:p>
    <w:p>
      <w:pPr>
        <w:pStyle w:val="14"/>
        <w:spacing w:line="360" w:lineRule="auto"/>
        <w:ind w:firstLine="374" w:firstLineChars="156"/>
        <w:jc w:val="center"/>
        <w:rPr>
          <w:rFonts w:hAnsi="宋体"/>
          <w:sz w:val="24"/>
          <w:szCs w:val="24"/>
        </w:rPr>
      </w:pPr>
    </w:p>
    <w:p>
      <w:pPr>
        <w:pStyle w:val="14"/>
        <w:spacing w:line="360" w:lineRule="auto"/>
        <w:ind w:firstLine="374" w:firstLineChars="156"/>
        <w:jc w:val="center"/>
        <w:rPr>
          <w:rFonts w:hAnsi="宋体"/>
          <w:sz w:val="24"/>
          <w:szCs w:val="24"/>
        </w:rPr>
      </w:pPr>
      <w:r>
        <w:rPr>
          <w:rFonts w:hAnsi="宋体"/>
          <w:sz w:val="24"/>
          <w:szCs w:val="24"/>
        </w:rPr>
        <w:t>授权代理人有效身份证明</w:t>
      </w: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line="360" w:lineRule="auto"/>
        <w:ind w:firstLine="482" w:firstLineChars="200"/>
        <w:jc w:val="center"/>
        <w:rPr>
          <w:rFonts w:ascii="宋体" w:hAnsi="宋体"/>
          <w:b/>
          <w:sz w:val="24"/>
        </w:rPr>
      </w:pPr>
    </w:p>
    <w:p>
      <w:pPr>
        <w:snapToGrid w:val="0"/>
        <w:spacing w:line="360" w:lineRule="auto"/>
        <w:ind w:firstLine="482" w:firstLineChars="200"/>
        <w:jc w:val="center"/>
        <w:rPr>
          <w:rFonts w:ascii="宋体" w:hAnsi="宋体"/>
          <w:b/>
          <w:sz w:val="24"/>
        </w:rPr>
      </w:pPr>
    </w:p>
    <w:p>
      <w:pPr>
        <w:snapToGrid w:val="0"/>
        <w:spacing w:line="360" w:lineRule="auto"/>
        <w:ind w:firstLine="482" w:firstLineChars="200"/>
        <w:rPr>
          <w:rFonts w:ascii="宋体" w:hAnsi="宋体" w:cs="宋体"/>
          <w:b/>
          <w:sz w:val="24"/>
        </w:rPr>
      </w:pPr>
      <w:r>
        <w:rPr>
          <w:rFonts w:hint="eastAsia" w:ascii="宋体" w:hAnsi="宋体" w:cs="宋体"/>
          <w:b/>
          <w:sz w:val="24"/>
        </w:rPr>
        <w:t xml:space="preserve">     </w:t>
      </w:r>
    </w:p>
    <w:p>
      <w:pPr>
        <w:pStyle w:val="14"/>
        <w:rPr>
          <w:rFonts w:ascii="宋体" w:hAnsi="宋体" w:cs="宋体"/>
          <w:b/>
          <w:sz w:val="24"/>
        </w:rPr>
      </w:pPr>
    </w:p>
    <w:p>
      <w:pPr>
        <w:pStyle w:val="14"/>
        <w:rPr>
          <w:rFonts w:ascii="宋体" w:hAnsi="宋体" w:cs="宋体"/>
          <w:b/>
          <w:sz w:val="24"/>
        </w:rPr>
      </w:pPr>
    </w:p>
    <w:p>
      <w:pPr>
        <w:pStyle w:val="14"/>
        <w:rPr>
          <w:rFonts w:ascii="宋体" w:hAnsi="宋体" w:cs="宋体"/>
          <w:b/>
          <w:sz w:val="24"/>
        </w:rPr>
      </w:pPr>
    </w:p>
    <w:p>
      <w:pPr>
        <w:pStyle w:val="14"/>
        <w:ind w:firstLine="0"/>
        <w:rPr>
          <w:rFonts w:ascii="宋体" w:hAnsi="宋体" w:cs="宋体"/>
          <w:b/>
          <w:sz w:val="24"/>
        </w:rPr>
      </w:pPr>
    </w:p>
    <w:p>
      <w:pPr>
        <w:pStyle w:val="14"/>
        <w:rPr>
          <w:rFonts w:ascii="宋体" w:hAnsi="宋体" w:cs="宋体"/>
          <w:b/>
          <w:sz w:val="24"/>
        </w:rPr>
      </w:pPr>
    </w:p>
    <w:p>
      <w:pPr>
        <w:snapToGrid w:val="0"/>
        <w:spacing w:line="360" w:lineRule="auto"/>
        <w:jc w:val="center"/>
        <w:rPr>
          <w:rFonts w:ascii="宋体" w:hAnsi="宋体" w:cs="宋体"/>
          <w:b/>
          <w:bCs/>
          <w:kern w:val="0"/>
          <w:sz w:val="24"/>
        </w:rPr>
      </w:pPr>
      <w:r>
        <w:rPr>
          <w:rFonts w:hint="eastAsia" w:hAnsi="宋体" w:cs="Arial"/>
          <w:b/>
          <w:bCs/>
          <w:sz w:val="24"/>
        </w:rPr>
        <w:t>四、</w:t>
      </w:r>
      <w:r>
        <w:rPr>
          <w:rFonts w:hint="eastAsia" w:ascii="宋体" w:hAnsi="宋体" w:cs="宋体"/>
          <w:b/>
          <w:bCs/>
          <w:sz w:val="24"/>
        </w:rPr>
        <w:t>授权代理人提供近三个月中任意一个月的社保证明；</w:t>
      </w:r>
    </w:p>
    <w:p>
      <w:pPr>
        <w:pStyle w:val="26"/>
        <w:spacing w:line="360" w:lineRule="auto"/>
        <w:ind w:firstLine="480" w:firstLineChars="200"/>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jc w:val="center"/>
        <w:rPr>
          <w:rFonts w:hAnsi="宋体"/>
          <w:b/>
          <w:bCs/>
          <w:sz w:val="24"/>
        </w:rPr>
      </w:pPr>
      <w:r>
        <w:rPr>
          <w:rFonts w:hint="eastAsia" w:hAnsi="宋体"/>
          <w:b/>
          <w:bCs/>
          <w:sz w:val="24"/>
        </w:rPr>
        <w:t>五、最近一个季度依法缴纳税收和社保费的证明[税费凭证复印件，或者依法缴纳税费或依法免缴税费的证明]</w:t>
      </w:r>
    </w:p>
    <w:p>
      <w:pPr>
        <w:snapToGrid w:val="0"/>
        <w:spacing w:line="360" w:lineRule="auto"/>
        <w:ind w:firstLine="480" w:firstLineChars="200"/>
        <w:rPr>
          <w:rFonts w:hAnsi="宋体"/>
          <w:sz w:val="24"/>
        </w:rPr>
      </w:pPr>
    </w:p>
    <w:p>
      <w:pPr>
        <w:snapToGrid w:val="0"/>
        <w:spacing w:line="360" w:lineRule="auto"/>
        <w:ind w:firstLine="480" w:firstLineChars="200"/>
        <w:rPr>
          <w:rFonts w:hAnsi="宋体"/>
          <w:sz w:val="24"/>
        </w:rPr>
      </w:pPr>
    </w:p>
    <w:p>
      <w:pPr>
        <w:snapToGrid w:val="0"/>
        <w:spacing w:line="360" w:lineRule="auto"/>
        <w:ind w:firstLine="480" w:firstLineChars="200"/>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snapToGrid w:val="0"/>
        <w:spacing w:line="360" w:lineRule="auto"/>
        <w:ind w:firstLine="480" w:firstLineChars="200"/>
        <w:rPr>
          <w:rFonts w:hAnsi="宋体"/>
          <w:sz w:val="24"/>
        </w:rPr>
      </w:pPr>
    </w:p>
    <w:p>
      <w:pPr>
        <w:snapToGrid w:val="0"/>
        <w:spacing w:line="360" w:lineRule="auto"/>
        <w:jc w:val="left"/>
        <w:rPr>
          <w:rFonts w:ascii="宋体" w:hAnsi="宋体" w:cs="宋体"/>
          <w:b/>
          <w:bCs/>
          <w:kern w:val="0"/>
          <w:sz w:val="24"/>
        </w:rPr>
      </w:pPr>
      <w:r>
        <w:rPr>
          <w:rFonts w:hint="eastAsia" w:hAnsi="宋体"/>
          <w:b/>
          <w:bCs/>
          <w:sz w:val="24"/>
        </w:rPr>
        <w:t>六、</w:t>
      </w:r>
      <w:r>
        <w:rPr>
          <w:rFonts w:hint="eastAsia"/>
          <w:b/>
          <w:bCs/>
          <w:sz w:val="24"/>
        </w:rPr>
        <w:t>提供自招标公告发布之日起至投标截止日前任意时间的“信用中国”网站（www.creditchina.gov.cn）、中国政府采购网（www.ccgp.gov.cn）供应商信用查询网页截图；</w:t>
      </w:r>
    </w:p>
    <w:p>
      <w:pPr>
        <w:snapToGrid w:val="0"/>
        <w:spacing w:line="360" w:lineRule="auto"/>
        <w:ind w:firstLine="482" w:firstLineChars="200"/>
        <w:jc w:val="center"/>
        <w:rPr>
          <w:rFonts w:ascii="宋体" w:hAnsi="宋体"/>
          <w:b/>
          <w:sz w:val="24"/>
        </w:rPr>
      </w:pPr>
    </w:p>
    <w:p>
      <w:pPr>
        <w:snapToGrid w:val="0"/>
        <w:spacing w:line="360" w:lineRule="auto"/>
        <w:ind w:firstLine="482" w:firstLineChars="200"/>
        <w:jc w:val="center"/>
        <w:rPr>
          <w:rFonts w:ascii="宋体" w:hAnsi="宋体"/>
          <w:b/>
          <w:sz w:val="24"/>
        </w:rPr>
      </w:pPr>
    </w:p>
    <w:p>
      <w:pPr>
        <w:pStyle w:val="3"/>
      </w:pPr>
    </w:p>
    <w:p>
      <w:pPr>
        <w:snapToGrid w:val="0"/>
        <w:spacing w:line="360" w:lineRule="auto"/>
        <w:jc w:val="center"/>
        <w:rPr>
          <w:rFonts w:hint="eastAsia" w:ascii="Times New Roman" w:hAnsi="Times New Roman" w:eastAsia="宋体" w:cs="Times New Roman"/>
          <w:b/>
          <w:bCs/>
          <w:sz w:val="24"/>
        </w:rPr>
      </w:pPr>
    </w:p>
    <w:p>
      <w:pPr>
        <w:snapToGrid w:val="0"/>
        <w:spacing w:line="360" w:lineRule="auto"/>
        <w:ind w:firstLine="241" w:firstLineChars="100"/>
        <w:jc w:val="left"/>
        <w:rPr>
          <w:rFonts w:hint="eastAsia" w:ascii="Times New Roman" w:hAnsi="Times New Roman" w:eastAsia="宋体" w:cs="Times New Roman"/>
          <w:b/>
          <w:bCs/>
          <w:sz w:val="24"/>
        </w:rPr>
      </w:pPr>
      <w:r>
        <w:rPr>
          <w:rFonts w:hint="eastAsia" w:ascii="Times New Roman" w:hAnsi="Times New Roman" w:eastAsia="宋体" w:cs="Times New Roman"/>
          <w:b/>
          <w:bCs/>
          <w:sz w:val="24"/>
          <w:lang w:val="en-US" w:eastAsia="zh-CN"/>
        </w:rPr>
        <w:t>七、</w:t>
      </w:r>
      <w:r>
        <w:rPr>
          <w:rFonts w:hint="eastAsia" w:ascii="Times New Roman" w:hAnsi="Times New Roman" w:eastAsia="宋体" w:cs="Times New Roman"/>
          <w:b/>
          <w:bCs/>
          <w:sz w:val="24"/>
        </w:rPr>
        <w:t>本项目专门面向中小企业采购,供应商应为中小企业，同时需提供《中小企业声明函》、网页证明资料</w:t>
      </w:r>
    </w:p>
    <w:p>
      <w:pPr>
        <w:pStyle w:val="3"/>
      </w:pPr>
    </w:p>
    <w:p>
      <w:pPr>
        <w:widowControl/>
        <w:jc w:val="center"/>
        <w:rPr>
          <w:rFonts w:ascii="宋体" w:hAnsi="宋体" w:cs="宋体"/>
          <w:b/>
          <w:bCs/>
          <w:kern w:val="0"/>
          <w:sz w:val="24"/>
        </w:rPr>
      </w:pPr>
    </w:p>
    <w:p>
      <w:pPr>
        <w:widowControl/>
        <w:jc w:val="center"/>
        <w:rPr>
          <w:rFonts w:ascii="宋体" w:hAnsi="宋体" w:cs="宋体"/>
          <w:b/>
          <w:bCs/>
          <w:kern w:val="0"/>
          <w:sz w:val="24"/>
        </w:rPr>
      </w:pPr>
    </w:p>
    <w:p>
      <w:pPr>
        <w:widowControl/>
        <w:jc w:val="center"/>
      </w:pPr>
      <w:r>
        <w:rPr>
          <w:rFonts w:hint="eastAsia" w:ascii="宋体" w:hAnsi="宋体" w:cs="宋体"/>
          <w:b/>
          <w:bCs/>
          <w:kern w:val="0"/>
          <w:sz w:val="24"/>
          <w:lang w:eastAsia="zh-CN"/>
        </w:rPr>
        <w:t>八</w:t>
      </w:r>
      <w:r>
        <w:rPr>
          <w:rFonts w:hint="eastAsia" w:ascii="宋体" w:hAnsi="宋体" w:cs="宋体"/>
          <w:b/>
          <w:bCs/>
          <w:kern w:val="0"/>
          <w:sz w:val="24"/>
        </w:rPr>
        <w:t>、</w:t>
      </w:r>
      <w:r>
        <w:rPr>
          <w:rFonts w:hint="eastAsia" w:ascii="宋体" w:hAnsi="宋体" w:cs="宋体"/>
          <w:b/>
          <w:kern w:val="0"/>
          <w:sz w:val="24"/>
        </w:rPr>
        <w:t>信用承诺书</w:t>
      </w:r>
    </w:p>
    <w:p>
      <w:pPr>
        <w:tabs>
          <w:tab w:val="left" w:pos="1650"/>
        </w:tabs>
        <w:spacing w:line="560" w:lineRule="exact"/>
        <w:ind w:firstLine="480"/>
        <w:rPr>
          <w:rFonts w:ascii="宋体" w:hAnsi="宋体" w:cs="宋体"/>
        </w:rPr>
      </w:pPr>
    </w:p>
    <w:p>
      <w:pPr>
        <w:tabs>
          <w:tab w:val="left" w:pos="1650"/>
        </w:tabs>
        <w:spacing w:line="360" w:lineRule="auto"/>
        <w:ind w:firstLine="1400" w:firstLineChars="500"/>
        <w:jc w:val="left"/>
        <w:rPr>
          <w:rFonts w:ascii="宋体" w:hAnsi="宋体" w:cs="宋体"/>
          <w:sz w:val="24"/>
        </w:rPr>
      </w:pPr>
      <w:r>
        <w:rPr>
          <w:rFonts w:hint="eastAsia" w:ascii="宋体" w:hAnsi="宋体" w:cs="宋体"/>
          <w:u w:val="single"/>
        </w:rPr>
        <w:t xml:space="preserve"> </w:t>
      </w:r>
      <w:r>
        <w:rPr>
          <w:rFonts w:hint="eastAsia" w:ascii="宋体" w:hAnsi="宋体" w:cs="宋体"/>
          <w:sz w:val="24"/>
          <w:u w:val="single"/>
        </w:rPr>
        <w:t xml:space="preserve">                </w:t>
      </w:r>
      <w:r>
        <w:rPr>
          <w:rFonts w:hint="eastAsia" w:ascii="宋体" w:hAnsi="宋体" w:cs="宋体"/>
          <w:sz w:val="24"/>
        </w:rPr>
        <w:t>（投标单位）现参加</w:t>
      </w:r>
      <w:r>
        <w:rPr>
          <w:rFonts w:hint="eastAsia" w:ascii="宋体" w:hAnsi="宋体" w:cs="宋体"/>
          <w:sz w:val="24"/>
          <w:u w:val="single"/>
        </w:rPr>
        <w:t xml:space="preserve">               </w:t>
      </w:r>
      <w:r>
        <w:rPr>
          <w:rFonts w:hint="eastAsia" w:ascii="宋体" w:hAnsi="宋体" w:cs="宋体"/>
          <w:sz w:val="24"/>
        </w:rPr>
        <w:t>（采购项目）政府采购活动，郑重承诺如下：</w:t>
      </w:r>
    </w:p>
    <w:p>
      <w:pPr>
        <w:tabs>
          <w:tab w:val="left" w:pos="1650"/>
        </w:tabs>
        <w:spacing w:line="560" w:lineRule="exact"/>
        <w:ind w:firstLine="480"/>
        <w:rPr>
          <w:rFonts w:ascii="宋体" w:hAnsi="宋体" w:cs="宋体"/>
          <w:sz w:val="24"/>
        </w:rPr>
      </w:pPr>
      <w:r>
        <w:rPr>
          <w:rFonts w:hint="eastAsia" w:ascii="宋体" w:hAnsi="宋体" w:cs="宋体"/>
          <w:sz w:val="24"/>
        </w:rPr>
        <w:t>对所提供的资料合法性、真实性、准确性和有效性负责；</w:t>
      </w:r>
    </w:p>
    <w:p>
      <w:pPr>
        <w:tabs>
          <w:tab w:val="left" w:pos="1650"/>
        </w:tabs>
        <w:spacing w:line="560" w:lineRule="exact"/>
        <w:ind w:firstLine="480"/>
        <w:rPr>
          <w:rFonts w:ascii="宋体" w:hAnsi="宋体" w:cs="宋体"/>
          <w:sz w:val="24"/>
        </w:rPr>
      </w:pPr>
      <w:r>
        <w:rPr>
          <w:rFonts w:hint="eastAsia" w:ascii="宋体" w:hAnsi="宋体" w:cs="宋体"/>
          <w:sz w:val="24"/>
        </w:rPr>
        <w:t>严格按照国家法律、法规和规章，依法开展相关经济活动，全面履行应尽的责任和义务；</w:t>
      </w:r>
    </w:p>
    <w:p>
      <w:pPr>
        <w:tabs>
          <w:tab w:val="left" w:pos="1650"/>
        </w:tabs>
        <w:spacing w:line="560" w:lineRule="exact"/>
        <w:ind w:firstLine="480"/>
        <w:rPr>
          <w:rFonts w:ascii="宋体" w:hAnsi="宋体" w:cs="宋体"/>
          <w:sz w:val="24"/>
        </w:rPr>
      </w:pPr>
      <w:r>
        <w:rPr>
          <w:rFonts w:hint="eastAsia" w:ascii="宋体" w:hAnsi="宋体" w:cs="宋体"/>
          <w:sz w:val="24"/>
        </w:rPr>
        <w:t>加强自我约束、自我规范、自我管理，不制假售假、不虚假宣传、不违约毁约、不恶意逃债、不偷税漏税，诚信依法经营；</w:t>
      </w:r>
    </w:p>
    <w:p>
      <w:pPr>
        <w:tabs>
          <w:tab w:val="left" w:pos="1650"/>
        </w:tabs>
        <w:spacing w:line="560" w:lineRule="exact"/>
        <w:ind w:firstLine="480"/>
        <w:rPr>
          <w:rFonts w:ascii="宋体" w:hAnsi="宋体" w:cs="宋体"/>
          <w:sz w:val="24"/>
        </w:rPr>
      </w:pPr>
      <w:r>
        <w:rPr>
          <w:rFonts w:hint="eastAsia" w:ascii="宋体" w:hAnsi="宋体" w:cs="宋体"/>
          <w:sz w:val="24"/>
        </w:rPr>
        <w:t>自愿接受行政主管部门的依法检查、违背承诺约定将自愿承担违约责任，并接受法律法规和相关部门规章制度的惩戒和约束；</w:t>
      </w:r>
    </w:p>
    <w:p>
      <w:pPr>
        <w:tabs>
          <w:tab w:val="left" w:pos="1650"/>
        </w:tabs>
        <w:spacing w:line="560" w:lineRule="exact"/>
        <w:ind w:firstLine="480"/>
        <w:rPr>
          <w:rFonts w:ascii="宋体" w:hAnsi="宋体" w:cs="宋体"/>
          <w:sz w:val="24"/>
        </w:rPr>
      </w:pPr>
      <w:r>
        <w:rPr>
          <w:rFonts w:hint="eastAsia" w:ascii="宋体" w:hAnsi="宋体" w:cs="宋体"/>
          <w:color w:val="333333"/>
          <w:kern w:val="0"/>
          <w:sz w:val="24"/>
        </w:rPr>
        <w:t>按照信用信息管理有关要求，本单位（个人）同意将以上承诺在信用湖州网站公示，若违背以上承诺，依据相关规定记入企业（个人）信用</w:t>
      </w:r>
      <w:r>
        <w:rPr>
          <w:rFonts w:hint="eastAsia" w:ascii="宋体" w:hAnsi="宋体" w:cs="宋体"/>
          <w:color w:val="000000"/>
          <w:kern w:val="0"/>
          <w:sz w:val="24"/>
        </w:rPr>
        <w:t>档案；性质严重的，承担相应法律后果和责任，并依法依规列入严重失信名单。</w:t>
      </w:r>
    </w:p>
    <w:p>
      <w:pPr>
        <w:tabs>
          <w:tab w:val="left" w:pos="1650"/>
        </w:tabs>
        <w:spacing w:line="560" w:lineRule="exact"/>
        <w:ind w:firstLine="480"/>
        <w:rPr>
          <w:rFonts w:ascii="宋体" w:hAnsi="宋体" w:cs="宋体"/>
          <w:sz w:val="24"/>
          <w:u w:val="single"/>
        </w:rPr>
      </w:pPr>
    </w:p>
    <w:p>
      <w:pPr>
        <w:tabs>
          <w:tab w:val="left" w:pos="1650"/>
        </w:tabs>
        <w:spacing w:line="560" w:lineRule="exact"/>
        <w:ind w:firstLine="480"/>
        <w:rPr>
          <w:rFonts w:ascii="宋体" w:hAnsi="宋体" w:cs="宋体"/>
          <w:sz w:val="24"/>
          <w:u w:val="single"/>
        </w:rPr>
      </w:pPr>
    </w:p>
    <w:p>
      <w:pPr>
        <w:pStyle w:val="126"/>
        <w:spacing w:before="0" w:beforeAutospacing="0" w:after="0" w:afterAutospacing="0" w:line="560" w:lineRule="exact"/>
        <w:ind w:firstLine="600" w:firstLineChars="250"/>
        <w:rPr>
          <w:color w:val="000000"/>
          <w:spacing w:val="-7"/>
        </w:rPr>
      </w:pPr>
      <w:r>
        <w:rPr>
          <w:rFonts w:hint="eastAsia"/>
          <w:kern w:val="2"/>
        </w:rPr>
        <w:t>统一社会信用代码：</w:t>
      </w:r>
      <w:r>
        <w:rPr>
          <w:rFonts w:hint="eastAsia"/>
          <w:color w:val="000000"/>
          <w:spacing w:val="-7"/>
          <w:u w:val="single"/>
        </w:rPr>
        <w:t xml:space="preserve">                      </w:t>
      </w:r>
      <w:r>
        <w:rPr>
          <w:rFonts w:hint="eastAsia"/>
          <w:color w:val="000000"/>
          <w:spacing w:val="-7"/>
        </w:rPr>
        <w:t xml:space="preserve"> </w:t>
      </w:r>
    </w:p>
    <w:p>
      <w:pPr>
        <w:pStyle w:val="126"/>
        <w:spacing w:before="0" w:beforeAutospacing="0" w:after="0" w:afterAutospacing="0" w:line="560" w:lineRule="exact"/>
        <w:ind w:firstLine="480"/>
        <w:jc w:val="right"/>
        <w:rPr>
          <w:color w:val="000000"/>
        </w:rPr>
      </w:pPr>
      <w:r>
        <w:rPr>
          <w:rFonts w:hint="eastAsia"/>
          <w:color w:val="000000"/>
        </w:rPr>
        <w:t xml:space="preserve">    </w:t>
      </w:r>
    </w:p>
    <w:p>
      <w:pPr>
        <w:pStyle w:val="126"/>
        <w:spacing w:before="0" w:beforeAutospacing="0" w:after="0" w:afterAutospacing="0" w:line="560" w:lineRule="exact"/>
        <w:ind w:firstLine="3240" w:firstLineChars="1350"/>
        <w:jc w:val="right"/>
        <w:rPr>
          <w:kern w:val="2"/>
        </w:rPr>
      </w:pPr>
      <w:r>
        <w:rPr>
          <w:rFonts w:hint="eastAsia"/>
          <w:kern w:val="2"/>
        </w:rPr>
        <w:t>承诺单位/个人（盖章/签名）</w:t>
      </w:r>
    </w:p>
    <w:p>
      <w:pPr>
        <w:spacing w:line="560" w:lineRule="exact"/>
        <w:ind w:firstLine="480"/>
        <w:jc w:val="right"/>
        <w:rPr>
          <w:rFonts w:ascii="宋体" w:hAnsi="宋体" w:cs="宋体"/>
          <w:sz w:val="24"/>
        </w:rPr>
      </w:pPr>
      <w:r>
        <w:rPr>
          <w:rFonts w:hint="eastAsia" w:ascii="宋体" w:hAnsi="宋体" w:cs="宋体"/>
          <w:sz w:val="24"/>
        </w:rPr>
        <w:t xml:space="preserve">                         时间：</w:t>
      </w:r>
      <w:r>
        <w:rPr>
          <w:rFonts w:hint="eastAsia" w:cs="宋体"/>
          <w:sz w:val="24"/>
        </w:rPr>
        <w:t xml:space="preserve">  </w:t>
      </w:r>
      <w:r>
        <w:rPr>
          <w:rFonts w:hint="eastAsia" w:ascii="宋体" w:hAnsi="宋体" w:cs="宋体"/>
          <w:sz w:val="24"/>
        </w:rPr>
        <w:t>年</w:t>
      </w:r>
      <w:r>
        <w:rPr>
          <w:rFonts w:hint="eastAsia" w:cs="宋体"/>
          <w:sz w:val="24"/>
        </w:rPr>
        <w:t xml:space="preserve">  </w:t>
      </w:r>
      <w:r>
        <w:rPr>
          <w:rFonts w:hint="eastAsia" w:ascii="宋体" w:hAnsi="宋体" w:cs="宋体"/>
          <w:sz w:val="24"/>
        </w:rPr>
        <w:t>月</w:t>
      </w:r>
      <w:r>
        <w:rPr>
          <w:rFonts w:hint="eastAsia" w:cs="宋体"/>
          <w:sz w:val="24"/>
        </w:rPr>
        <w:t xml:space="preserve">  </w:t>
      </w:r>
      <w:r>
        <w:rPr>
          <w:rFonts w:hint="eastAsia" w:ascii="宋体" w:hAnsi="宋体" w:cs="宋体"/>
          <w:sz w:val="24"/>
        </w:rPr>
        <w:t>日</w:t>
      </w:r>
    </w:p>
    <w:p>
      <w:pPr>
        <w:pStyle w:val="21"/>
        <w:ind w:firstLine="240"/>
        <w:rPr>
          <w:sz w:val="24"/>
        </w:rPr>
      </w:pPr>
    </w:p>
    <w:p>
      <w:pPr>
        <w:pStyle w:val="21"/>
        <w:ind w:firstLine="0" w:firstLineChars="0"/>
        <w:rPr>
          <w:sz w:val="24"/>
        </w:rPr>
      </w:pPr>
    </w:p>
    <w:p>
      <w:pPr>
        <w:pStyle w:val="21"/>
        <w:ind w:firstLine="0" w:firstLineChars="0"/>
        <w:rPr>
          <w:sz w:val="24"/>
        </w:rPr>
      </w:pPr>
    </w:p>
    <w:p>
      <w:pPr>
        <w:pStyle w:val="21"/>
        <w:ind w:firstLine="0" w:firstLineChars="0"/>
        <w:rPr>
          <w:sz w:val="24"/>
        </w:rPr>
      </w:pPr>
    </w:p>
    <w:p>
      <w:pPr>
        <w:pStyle w:val="21"/>
        <w:ind w:firstLine="0" w:firstLineChars="0"/>
        <w:rPr>
          <w:sz w:val="24"/>
        </w:rPr>
      </w:pPr>
    </w:p>
    <w:p>
      <w:pPr>
        <w:snapToGrid w:val="0"/>
        <w:spacing w:line="360" w:lineRule="auto"/>
        <w:jc w:val="left"/>
        <w:rPr>
          <w:rFonts w:ascii="宋体" w:hAnsi="宋体"/>
          <w:b/>
          <w:bCs/>
          <w:sz w:val="30"/>
          <w:szCs w:val="30"/>
        </w:rPr>
      </w:pPr>
      <w:r>
        <w:rPr>
          <w:rFonts w:ascii="宋体" w:hAnsi="宋体"/>
          <w:b/>
          <w:bCs/>
          <w:sz w:val="30"/>
          <w:szCs w:val="30"/>
        </w:rPr>
        <w:br w:type="page"/>
      </w:r>
    </w:p>
    <w:p>
      <w:pPr>
        <w:snapToGrid w:val="0"/>
        <w:spacing w:line="360" w:lineRule="auto"/>
        <w:jc w:val="left"/>
        <w:rPr>
          <w:rFonts w:ascii="宋体" w:hAnsi="宋体"/>
          <w:b/>
          <w:bCs/>
          <w:sz w:val="30"/>
          <w:szCs w:val="30"/>
        </w:rPr>
      </w:pPr>
    </w:p>
    <w:p>
      <w:pPr>
        <w:snapToGrid w:val="0"/>
        <w:spacing w:line="360" w:lineRule="auto"/>
        <w:jc w:val="left"/>
        <w:rPr>
          <w:rFonts w:ascii="宋体"/>
          <w:sz w:val="30"/>
          <w:szCs w:val="30"/>
        </w:rPr>
      </w:pPr>
      <w:r>
        <w:rPr>
          <w:rFonts w:ascii="宋体" w:hAnsi="宋体"/>
          <w:b/>
          <w:bCs/>
          <w:sz w:val="24"/>
        </w:rPr>
        <w:t>技术文件</w:t>
      </w:r>
      <w:r>
        <w:rPr>
          <w:rFonts w:hint="eastAsia" w:ascii="宋体" w:hAnsi="宋体"/>
          <w:b/>
          <w:bCs/>
          <w:sz w:val="24"/>
        </w:rPr>
        <w:t>目录</w:t>
      </w:r>
    </w:p>
    <w:p>
      <w:pPr>
        <w:spacing w:line="360" w:lineRule="auto"/>
        <w:ind w:firstLine="480" w:firstLineChars="200"/>
        <w:rPr>
          <w:rFonts w:ascii="宋体" w:hAnsi="宋体" w:cs="宋体"/>
          <w:b/>
          <w:sz w:val="24"/>
        </w:rPr>
      </w:pPr>
      <w:r>
        <w:rPr>
          <w:rFonts w:hint="eastAsia" w:ascii="宋体" w:hAnsi="宋体" w:cs="宋体"/>
          <w:sz w:val="24"/>
        </w:rPr>
        <w:t>（1）评分索引表（格式见附件，主要用于评审委员会对应评分内容，包括商务部分、技术部分）</w:t>
      </w:r>
      <w:r>
        <w:rPr>
          <w:rFonts w:hint="eastAsia" w:ascii="宋体" w:hAnsi="宋体" w:cs="宋体"/>
          <w:b/>
          <w:sz w:val="24"/>
        </w:rPr>
        <w:t>；</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（2）项目整体实施方案；</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3</w:t>
      </w:r>
      <w:r>
        <w:rPr>
          <w:rFonts w:hint="eastAsia" w:asciiTheme="minorEastAsia" w:hAnsiTheme="minorEastAsia" w:eastAsiaTheme="minorEastAsia" w:cstheme="minorEastAsia"/>
          <w:b w:val="0"/>
          <w:bCs w:val="0"/>
          <w:kern w:val="0"/>
          <w:sz w:val="24"/>
          <w:szCs w:val="24"/>
          <w:lang w:eastAsia="zh-CN"/>
        </w:rPr>
        <w:t>）合理化建议；</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4</w:t>
      </w:r>
      <w:r>
        <w:rPr>
          <w:rFonts w:hint="eastAsia" w:asciiTheme="minorEastAsia" w:hAnsiTheme="minorEastAsia" w:eastAsiaTheme="minorEastAsia" w:cstheme="minorEastAsia"/>
          <w:b w:val="0"/>
          <w:bCs w:val="0"/>
          <w:kern w:val="0"/>
          <w:sz w:val="24"/>
          <w:szCs w:val="24"/>
          <w:lang w:eastAsia="zh-CN"/>
        </w:rPr>
        <w:t>）培训方案；</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5</w:t>
      </w:r>
      <w:r>
        <w:rPr>
          <w:rFonts w:hint="eastAsia" w:asciiTheme="minorEastAsia" w:hAnsiTheme="minorEastAsia" w:eastAsiaTheme="minorEastAsia" w:cstheme="minorEastAsia"/>
          <w:b w:val="0"/>
          <w:bCs w:val="0"/>
          <w:kern w:val="0"/>
          <w:sz w:val="24"/>
          <w:szCs w:val="24"/>
          <w:lang w:eastAsia="zh-CN"/>
        </w:rPr>
        <w:t>）投标声明书；</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6</w:t>
      </w:r>
      <w:r>
        <w:rPr>
          <w:rFonts w:hint="eastAsia" w:asciiTheme="minorEastAsia" w:hAnsiTheme="minorEastAsia" w:eastAsiaTheme="minorEastAsia" w:cstheme="minorEastAsia"/>
          <w:b w:val="0"/>
          <w:bCs w:val="0"/>
          <w:kern w:val="0"/>
          <w:sz w:val="24"/>
          <w:szCs w:val="24"/>
          <w:lang w:eastAsia="zh-CN"/>
        </w:rPr>
        <w:t>）企业业绩；</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7</w:t>
      </w:r>
      <w:r>
        <w:rPr>
          <w:rFonts w:hint="eastAsia" w:asciiTheme="minorEastAsia" w:hAnsiTheme="minorEastAsia" w:eastAsiaTheme="minorEastAsia" w:cstheme="minorEastAsia"/>
          <w:b w:val="0"/>
          <w:bCs w:val="0"/>
          <w:kern w:val="0"/>
          <w:sz w:val="24"/>
          <w:szCs w:val="24"/>
          <w:lang w:eastAsia="zh-CN"/>
        </w:rPr>
        <w:t>）企业综合实力；</w:t>
      </w:r>
    </w:p>
    <w:p>
      <w:pPr>
        <w:pStyle w:val="57"/>
        <w:spacing w:line="360" w:lineRule="auto"/>
        <w:ind w:firstLine="480" w:firstLineChars="200"/>
        <w:rPr>
          <w:rFonts w:hint="eastAsia" w:ascii="宋体" w:hAnsi="宋体" w:cs="宋体" w:eastAsiaTheme="minorEastAsia"/>
          <w:kern w:val="2"/>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8</w:t>
      </w:r>
      <w:r>
        <w:rPr>
          <w:rFonts w:hint="eastAsia" w:asciiTheme="minorEastAsia" w:hAnsiTheme="minorEastAsia" w:eastAsiaTheme="minorEastAsia" w:cstheme="minorEastAsia"/>
          <w:b w:val="0"/>
          <w:bCs w:val="0"/>
          <w:kern w:val="0"/>
          <w:sz w:val="24"/>
          <w:szCs w:val="24"/>
          <w:lang w:eastAsia="zh-CN"/>
        </w:rPr>
        <w:t>）项目总监能力</w:t>
      </w:r>
      <w:r>
        <w:rPr>
          <w:rFonts w:hint="eastAsia" w:asciiTheme="minorEastAsia" w:hAnsiTheme="minorEastAsia" w:eastAsiaTheme="minorEastAsia" w:cstheme="minorEastAsia"/>
          <w:b/>
          <w:bCs/>
          <w:kern w:val="0"/>
          <w:sz w:val="24"/>
          <w:szCs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）项目团队实力；</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eastAsia="zh-CN"/>
        </w:rPr>
        <w:t>售后</w:t>
      </w:r>
      <w:r>
        <w:rPr>
          <w:rFonts w:hint="eastAsia" w:ascii="宋体" w:hAnsi="宋体" w:cs="宋体"/>
          <w:sz w:val="24"/>
        </w:rPr>
        <w:t>服务</w:t>
      </w:r>
      <w:r>
        <w:rPr>
          <w:rFonts w:hint="eastAsia" w:ascii="宋体" w:hAnsi="宋体"/>
          <w:sz w:val="24"/>
        </w:rPr>
        <w:t>；</w:t>
      </w:r>
    </w:p>
    <w:p>
      <w:pPr>
        <w:spacing w:line="360" w:lineRule="auto"/>
        <w:ind w:firstLine="480" w:firstLineChars="200"/>
        <w:rPr>
          <w:rFonts w:hint="eastAsia" w:ascii="宋体" w:hAnsi="宋体" w:cs="宋体"/>
          <w:sz w:val="24"/>
          <w:lang w:eastAsia="zh-CN"/>
        </w:rPr>
      </w:pP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eastAsia="zh-CN"/>
        </w:rPr>
        <w:t>供应商</w:t>
      </w:r>
      <w:r>
        <w:rPr>
          <w:rFonts w:hint="eastAsia" w:ascii="宋体" w:hAnsi="宋体" w:cs="宋体"/>
          <w:sz w:val="24"/>
        </w:rPr>
        <w:t>市场行为信誉</w:t>
      </w:r>
      <w:r>
        <w:rPr>
          <w:rFonts w:hint="eastAsia" w:ascii="宋体" w:hAnsi="宋体" w:cs="宋体"/>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12</w:t>
      </w:r>
      <w:r>
        <w:rPr>
          <w:rFonts w:hint="eastAsia" w:ascii="宋体" w:hAnsi="宋体" w:cs="宋体"/>
          <w:sz w:val="24"/>
          <w:lang w:eastAsia="zh-CN"/>
        </w:rPr>
        <w:t>）</w:t>
      </w:r>
      <w:r>
        <w:rPr>
          <w:rFonts w:hint="eastAsia" w:ascii="宋体" w:hAnsi="宋体" w:cs="宋体"/>
          <w:sz w:val="24"/>
        </w:rPr>
        <w:t>商务响应表；</w:t>
      </w:r>
    </w:p>
    <w:p>
      <w:pPr>
        <w:spacing w:line="360" w:lineRule="auto"/>
        <w:ind w:firstLine="480" w:firstLineChars="200"/>
        <w:rPr>
          <w:rFonts w:hint="eastAsia" w:ascii="宋体" w:hAnsi="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）其</w:t>
      </w:r>
      <w:r>
        <w:rPr>
          <w:rFonts w:ascii="宋体" w:hAnsi="宋体"/>
          <w:sz w:val="24"/>
        </w:rPr>
        <w:t>他投标供应商认为有必要提供的资料</w:t>
      </w:r>
      <w:r>
        <w:rPr>
          <w:rFonts w:hint="eastAsia" w:ascii="宋体" w:hAnsi="宋体"/>
          <w:sz w:val="24"/>
        </w:rPr>
        <w:t>。</w:t>
      </w:r>
    </w:p>
    <w:p>
      <w:pPr>
        <w:pStyle w:val="15"/>
        <w:snapToGrid w:val="0"/>
        <w:jc w:val="center"/>
        <w:rPr>
          <w:rFonts w:ascii="宋体" w:hAnsi="宋体" w:eastAsia="宋体"/>
          <w:b/>
          <w:sz w:val="24"/>
        </w:rPr>
      </w:pPr>
    </w:p>
    <w:p>
      <w:pPr>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rPr>
          <w:rFonts w:hint="eastAsia" w:ascii="宋体" w:hAnsi="宋体" w:eastAsia="宋体"/>
          <w:b/>
          <w:sz w:val="24"/>
        </w:rPr>
      </w:pPr>
      <w:r>
        <w:rPr>
          <w:rFonts w:hint="eastAsia" w:ascii="宋体" w:hAnsi="宋体" w:eastAsia="宋体"/>
          <w:b/>
          <w:sz w:val="24"/>
        </w:rPr>
        <w:br w:type="page"/>
      </w:r>
    </w:p>
    <w:p>
      <w:pPr>
        <w:rPr>
          <w:rFonts w:hint="eastAsia"/>
        </w:rPr>
      </w:pPr>
    </w:p>
    <w:p>
      <w:pPr>
        <w:pStyle w:val="15"/>
        <w:snapToGrid w:val="0"/>
        <w:jc w:val="center"/>
        <w:rPr>
          <w:rFonts w:ascii="宋体" w:hAnsi="宋体" w:eastAsia="宋体"/>
          <w:b/>
          <w:sz w:val="24"/>
        </w:rPr>
      </w:pPr>
      <w:r>
        <w:rPr>
          <w:rFonts w:hint="eastAsia" w:ascii="宋体" w:hAnsi="宋体" w:eastAsia="宋体"/>
          <w:b/>
          <w:sz w:val="24"/>
        </w:rPr>
        <w:t>一、评分索引表</w:t>
      </w:r>
    </w:p>
    <w:p>
      <w:pPr>
        <w:pStyle w:val="15"/>
        <w:snapToGrid w:val="0"/>
        <w:rPr>
          <w:rFonts w:ascii="宋体" w:hAnsi="宋体" w:eastAsia="宋体"/>
          <w:sz w:val="24"/>
          <w:szCs w:val="24"/>
        </w:rPr>
      </w:pPr>
      <w:r>
        <w:rPr>
          <w:rFonts w:hint="eastAsia" w:ascii="宋体" w:hAnsi="宋体" w:eastAsia="宋体"/>
          <w:sz w:val="24"/>
          <w:szCs w:val="24"/>
        </w:rPr>
        <w:t xml:space="preserve"> 投标供应商全称（公章）：              </w:t>
      </w:r>
    </w:p>
    <w:tbl>
      <w:tblPr>
        <w:tblStyle w:val="39"/>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93"/>
        <w:gridCol w:w="3315"/>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84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评分项目</w:t>
            </w:r>
          </w:p>
        </w:tc>
        <w:tc>
          <w:tcPr>
            <w:tcW w:w="170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投标文件对应资料</w:t>
            </w: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rPr>
            </w:pPr>
            <w:r>
              <w:rPr>
                <w:rFonts w:hint="eastAsia" w:ascii="宋体" w:hAnsi="宋体"/>
                <w:sz w:val="24"/>
              </w:rPr>
              <w:t>自评分</w:t>
            </w:r>
          </w:p>
        </w:tc>
        <w:tc>
          <w:tcPr>
            <w:tcW w:w="727"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对应第四章评分办法及评分标准（报价除外）</w:t>
            </w: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ascii="宋体" w:hAnsi="宋体"/>
                <w:sz w:val="24"/>
              </w:rPr>
              <w:t>……</w:t>
            </w: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bl>
    <w:p>
      <w:pPr>
        <w:snapToGrid w:val="0"/>
        <w:spacing w:beforeLines="50"/>
        <w:rPr>
          <w:rFonts w:ascii="宋体" w:hAnsi="宋体"/>
          <w:sz w:val="24"/>
        </w:rPr>
      </w:pPr>
      <w:r>
        <w:rPr>
          <w:rFonts w:hint="eastAsia" w:ascii="宋体" w:hAnsi="宋体"/>
          <w:sz w:val="24"/>
        </w:rPr>
        <w:t xml:space="preserve">               日期：</w:t>
      </w:r>
    </w:p>
    <w:p>
      <w:pPr>
        <w:spacing w:line="360" w:lineRule="auto"/>
        <w:ind w:firstLine="482" w:firstLineChars="200"/>
        <w:jc w:val="center"/>
        <w:rPr>
          <w:rFonts w:ascii="宋体" w:hAnsi="宋体"/>
          <w:b/>
          <w:sz w:val="24"/>
        </w:rPr>
      </w:pPr>
    </w:p>
    <w:p>
      <w:pPr>
        <w:pStyle w:val="21"/>
        <w:ind w:firstLine="240"/>
        <w:rPr>
          <w:sz w:val="24"/>
        </w:rPr>
      </w:pPr>
    </w:p>
    <w:p>
      <w:pPr>
        <w:pStyle w:val="21"/>
        <w:ind w:firstLine="240"/>
        <w:rPr>
          <w:sz w:val="24"/>
        </w:rPr>
      </w:pPr>
    </w:p>
    <w:p>
      <w:pPr>
        <w:pStyle w:val="21"/>
        <w:ind w:firstLine="240"/>
        <w:rPr>
          <w:rFonts w:hint="eastAsia"/>
          <w:b/>
          <w:bCs/>
          <w:sz w:val="24"/>
        </w:rPr>
      </w:pPr>
      <w:r>
        <w:rPr>
          <w:rFonts w:hint="eastAsia"/>
          <w:b/>
          <w:bCs/>
          <w:sz w:val="24"/>
          <w:lang w:eastAsia="zh-CN"/>
        </w:rPr>
        <w:t>二、</w:t>
      </w:r>
      <w:r>
        <w:rPr>
          <w:rFonts w:hint="eastAsia"/>
          <w:b/>
          <w:bCs/>
          <w:sz w:val="24"/>
        </w:rPr>
        <w:t>项目整体实施方案；</w:t>
      </w:r>
    </w:p>
    <w:p>
      <w:pPr>
        <w:pStyle w:val="21"/>
        <w:ind w:firstLine="240"/>
        <w:rPr>
          <w:rFonts w:hint="eastAsia"/>
          <w:b/>
          <w:bCs/>
          <w:sz w:val="24"/>
          <w:lang w:eastAsia="zh-CN"/>
        </w:rPr>
      </w:pPr>
    </w:p>
    <w:p>
      <w:pPr>
        <w:pStyle w:val="21"/>
        <w:ind w:firstLine="240"/>
        <w:rPr>
          <w:rFonts w:hint="eastAsia"/>
          <w:b/>
          <w:bCs/>
          <w:sz w:val="24"/>
        </w:rPr>
      </w:pPr>
      <w:r>
        <w:rPr>
          <w:rFonts w:hint="eastAsia"/>
          <w:b/>
          <w:bCs/>
          <w:sz w:val="24"/>
          <w:lang w:eastAsia="zh-CN"/>
        </w:rPr>
        <w:t>三、</w:t>
      </w:r>
      <w:r>
        <w:rPr>
          <w:rFonts w:hint="eastAsia"/>
          <w:b/>
          <w:bCs/>
          <w:sz w:val="24"/>
        </w:rPr>
        <w:t>合理化建议；</w:t>
      </w:r>
    </w:p>
    <w:p>
      <w:pPr>
        <w:pStyle w:val="21"/>
        <w:ind w:firstLine="240"/>
        <w:rPr>
          <w:rFonts w:hint="eastAsia"/>
          <w:b/>
          <w:bCs/>
          <w:sz w:val="24"/>
          <w:lang w:eastAsia="zh-CN"/>
        </w:rPr>
      </w:pPr>
    </w:p>
    <w:p>
      <w:pPr>
        <w:pStyle w:val="21"/>
        <w:ind w:firstLine="240"/>
        <w:rPr>
          <w:b/>
          <w:bCs/>
          <w:sz w:val="24"/>
        </w:rPr>
      </w:pPr>
      <w:r>
        <w:rPr>
          <w:rFonts w:hint="eastAsia"/>
          <w:b/>
          <w:bCs/>
          <w:sz w:val="24"/>
          <w:lang w:eastAsia="zh-CN"/>
        </w:rPr>
        <w:t>四、</w:t>
      </w:r>
      <w:r>
        <w:rPr>
          <w:rFonts w:hint="eastAsia"/>
          <w:b/>
          <w:bCs/>
          <w:sz w:val="24"/>
        </w:rPr>
        <w:t>培训方案；</w:t>
      </w:r>
    </w:p>
    <w:p>
      <w:pPr>
        <w:pStyle w:val="3"/>
        <w:ind w:left="0" w:leftChars="0" w:firstLine="0" w:firstLineChars="0"/>
        <w:rPr>
          <w:sz w:val="24"/>
        </w:rPr>
      </w:pPr>
    </w:p>
    <w:p>
      <w:pPr>
        <w:rPr>
          <w:rFonts w:hint="eastAsia" w:ascii="宋体" w:hAnsi="宋体" w:cs="宋体"/>
          <w:b/>
          <w:sz w:val="24"/>
          <w:lang w:eastAsia="zh-CN"/>
        </w:rPr>
      </w:pPr>
      <w:r>
        <w:rPr>
          <w:rFonts w:hint="eastAsia" w:ascii="宋体" w:hAnsi="宋体" w:cs="宋体"/>
          <w:b/>
          <w:sz w:val="24"/>
          <w:lang w:eastAsia="zh-CN"/>
        </w:rPr>
        <w:br w:type="page"/>
      </w:r>
    </w:p>
    <w:p>
      <w:pPr>
        <w:pStyle w:val="2"/>
        <w:rPr>
          <w:rFonts w:hint="eastAsia"/>
          <w:lang w:eastAsia="zh-CN"/>
        </w:rPr>
      </w:pPr>
    </w:p>
    <w:p>
      <w:pPr>
        <w:pStyle w:val="2"/>
        <w:rPr>
          <w:rFonts w:hint="eastAsia"/>
          <w:lang w:eastAsia="zh-CN"/>
        </w:rPr>
      </w:pPr>
    </w:p>
    <w:p>
      <w:pPr>
        <w:snapToGrid w:val="0"/>
        <w:spacing w:beforeLines="50" w:after="50"/>
        <w:jc w:val="center"/>
        <w:rPr>
          <w:rFonts w:ascii="宋体" w:hAnsi="宋体" w:cs="宋体"/>
          <w:b/>
          <w:sz w:val="24"/>
        </w:rPr>
      </w:pPr>
      <w:r>
        <w:rPr>
          <w:rFonts w:hint="eastAsia" w:ascii="宋体" w:hAnsi="宋体" w:cs="宋体"/>
          <w:b/>
          <w:sz w:val="24"/>
          <w:lang w:eastAsia="zh-CN"/>
        </w:rPr>
        <w:t>五</w:t>
      </w:r>
      <w:r>
        <w:rPr>
          <w:rFonts w:hint="eastAsia" w:ascii="宋体" w:hAnsi="宋体" w:cs="宋体"/>
          <w:b/>
          <w:sz w:val="24"/>
        </w:rPr>
        <w:t>、投标声明书</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（招标采购单位名称）：</w:t>
      </w:r>
    </w:p>
    <w:p>
      <w:pPr>
        <w:snapToGrid w:val="0"/>
        <w:spacing w:line="360" w:lineRule="auto"/>
        <w:ind w:firstLine="480" w:firstLineChars="200"/>
        <w:jc w:val="left"/>
        <w:rPr>
          <w:rFonts w:ascii="宋体" w:hAnsi="宋体" w:cs="宋体"/>
          <w:sz w:val="24"/>
        </w:rPr>
      </w:pPr>
      <w:r>
        <w:rPr>
          <w:rFonts w:hint="eastAsia" w:ascii="宋体" w:hAnsi="宋体" w:cs="宋体"/>
          <w:sz w:val="24"/>
          <w:u w:val="single"/>
        </w:rPr>
        <w:t xml:space="preserve">       </w:t>
      </w:r>
      <w:r>
        <w:rPr>
          <w:rFonts w:hint="eastAsia" w:ascii="宋体" w:hAnsi="宋体" w:cs="宋体"/>
          <w:sz w:val="24"/>
        </w:rPr>
        <w:t>（投标人名称）系中华人民共和国合法企业，经营地址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jc w:val="left"/>
        <w:rPr>
          <w:rFonts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（投标人名称）的法定代表人，我方愿意参加贵方组织的</w:t>
      </w:r>
      <w:r>
        <w:rPr>
          <w:rFonts w:hint="eastAsia" w:ascii="宋体" w:hAnsi="宋体" w:cs="宋体"/>
          <w:sz w:val="24"/>
          <w:u w:val="single"/>
        </w:rPr>
        <w:t xml:space="preserve">                 </w:t>
      </w:r>
      <w:r>
        <w:rPr>
          <w:rFonts w:hint="eastAsia" w:ascii="宋体" w:hAnsi="宋体" w:cs="宋体"/>
          <w:sz w:val="24"/>
        </w:rPr>
        <w:t>项目的投标，为便于贵方公正、择优地确定中标人及其服务，我方就本次投标有关事项郑重声明如下：</w:t>
      </w:r>
    </w:p>
    <w:p>
      <w:pPr>
        <w:snapToGrid w:val="0"/>
        <w:spacing w:line="360" w:lineRule="auto"/>
        <w:ind w:firstLine="480" w:firstLineChars="200"/>
        <w:jc w:val="left"/>
        <w:rPr>
          <w:rFonts w:ascii="宋体" w:hAnsi="宋体" w:cs="宋体"/>
          <w:sz w:val="24"/>
        </w:rPr>
      </w:pPr>
      <w:r>
        <w:rPr>
          <w:rFonts w:hint="eastAsia" w:ascii="宋体" w:hAnsi="宋体" w:cs="宋体"/>
          <w:sz w:val="24"/>
        </w:rPr>
        <w:t>1.我方向贵方提交的所有投标文件、资料都是准确的和真实的。</w:t>
      </w:r>
    </w:p>
    <w:p>
      <w:pPr>
        <w:snapToGrid w:val="0"/>
        <w:spacing w:line="360" w:lineRule="auto"/>
        <w:ind w:firstLine="480" w:firstLineChars="200"/>
        <w:jc w:val="left"/>
        <w:rPr>
          <w:rFonts w:ascii="宋体" w:hAnsi="宋体" w:cs="宋体"/>
          <w:sz w:val="24"/>
        </w:rPr>
      </w:pPr>
      <w:r>
        <w:rPr>
          <w:rFonts w:hint="eastAsia" w:ascii="宋体" w:hAnsi="宋体" w:cs="宋体"/>
          <w:sz w:val="24"/>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jc w:val="left"/>
        <w:rPr>
          <w:rFonts w:ascii="宋体" w:hAnsi="宋体" w:cs="宋体"/>
          <w:sz w:val="24"/>
        </w:rPr>
      </w:pPr>
      <w:r>
        <w:rPr>
          <w:rFonts w:hint="eastAsia" w:ascii="宋体" w:hAnsi="宋体" w:cs="宋体"/>
          <w:sz w:val="24"/>
        </w:rPr>
        <w:t>3. 我们已详细审核招标文件全部内容，包括修改文件、参考资料及有关附件，我们完全知道必须放弃提出含糊不清或误解的权利。</w:t>
      </w:r>
    </w:p>
    <w:p>
      <w:pPr>
        <w:snapToGrid w:val="0"/>
        <w:spacing w:line="360" w:lineRule="auto"/>
        <w:ind w:firstLine="480" w:firstLineChars="200"/>
        <w:jc w:val="left"/>
        <w:rPr>
          <w:rFonts w:ascii="宋体" w:hAnsi="宋体" w:cs="宋体"/>
          <w:sz w:val="24"/>
        </w:rPr>
      </w:pPr>
      <w:r>
        <w:rPr>
          <w:rFonts w:hint="eastAsia" w:ascii="宋体" w:hAnsi="宋体" w:cs="宋体"/>
          <w:sz w:val="24"/>
        </w:rPr>
        <w:t>4.我方及由本人担任法定代表人的其他机构最近三年内被通报或者被处罚的违法行为有：</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u w:val="single"/>
        </w:rPr>
        <w:t>　　　　　　　　　　　　　　　　　　　　　　　　　　　</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u w:val="single"/>
        </w:rPr>
        <w:t>　　　　　　　　　　　　　　　　　　　　　　　　　　　</w:t>
      </w:r>
    </w:p>
    <w:p>
      <w:pPr>
        <w:snapToGrid w:val="0"/>
        <w:spacing w:line="360" w:lineRule="auto"/>
        <w:ind w:firstLine="480" w:firstLineChars="200"/>
        <w:jc w:val="left"/>
        <w:rPr>
          <w:rFonts w:ascii="宋体" w:hAnsi="宋体" w:cs="宋体"/>
          <w:sz w:val="24"/>
        </w:rPr>
      </w:pPr>
      <w:r>
        <w:rPr>
          <w:rFonts w:hint="eastAsia" w:ascii="宋体" w:hAnsi="宋体" w:cs="宋体"/>
          <w:sz w:val="24"/>
        </w:rPr>
        <w:t>5.以上事项如有虚假或隐瞒，我方愿意承担一切后果，并不再寻求任何旨在减轻或免除法律责任的辩解。</w:t>
      </w:r>
    </w:p>
    <w:p>
      <w:pPr>
        <w:pStyle w:val="23"/>
        <w:tabs>
          <w:tab w:val="left" w:pos="939"/>
        </w:tabs>
        <w:snapToGrid w:val="0"/>
        <w:spacing w:line="360" w:lineRule="auto"/>
        <w:ind w:leftChars="0" w:firstLine="0" w:firstLineChars="0"/>
        <w:rPr>
          <w:rFonts w:ascii="宋体" w:hAnsi="宋体" w:cs="宋体"/>
          <w:sz w:val="24"/>
        </w:rPr>
      </w:pPr>
    </w:p>
    <w:p>
      <w:pPr>
        <w:pStyle w:val="124"/>
        <w:snapToGrid w:val="0"/>
        <w:spacing w:line="360" w:lineRule="auto"/>
        <w:rPr>
          <w:rFonts w:ascii="宋体" w:hAnsi="宋体" w:cs="宋体"/>
          <w:szCs w:val="24"/>
        </w:rPr>
      </w:pPr>
    </w:p>
    <w:p>
      <w:pPr>
        <w:snapToGrid w:val="0"/>
        <w:spacing w:line="360" w:lineRule="auto"/>
        <w:rPr>
          <w:rFonts w:ascii="宋体" w:hAnsi="宋体" w:cs="宋体"/>
          <w:sz w:val="24"/>
          <w:u w:val="single"/>
        </w:rPr>
      </w:pPr>
      <w:r>
        <w:rPr>
          <w:rFonts w:hint="eastAsia" w:ascii="宋体" w:hAnsi="宋体" w:cs="宋体"/>
          <w:sz w:val="24"/>
        </w:rPr>
        <w:t>法定代表人签字：</w:t>
      </w:r>
      <w:r>
        <w:rPr>
          <w:rFonts w:hint="eastAsia" w:ascii="宋体" w:hAnsi="宋体" w:cs="宋体"/>
          <w:sz w:val="24"/>
          <w:u w:val="single"/>
        </w:rPr>
        <w:t xml:space="preserve">             </w:t>
      </w:r>
    </w:p>
    <w:p>
      <w:pPr>
        <w:snapToGrid w:val="0"/>
        <w:spacing w:beforeLines="50" w:after="50"/>
        <w:jc w:val="left"/>
        <w:rPr>
          <w:rFonts w:ascii="宋体" w:hAnsi="宋体" w:cs="宋体"/>
          <w:sz w:val="24"/>
          <w:szCs w:val="20"/>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 xml:space="preserve">                      年    月    日</w:t>
      </w:r>
    </w:p>
    <w:p>
      <w:pPr>
        <w:pStyle w:val="26"/>
        <w:spacing w:before="120" w:after="120"/>
        <w:rPr>
          <w:rFonts w:hAnsi="宋体" w:cs="宋体"/>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both"/>
        <w:rPr>
          <w:rFonts w:hint="eastAsia" w:ascii="宋体" w:hAnsi="宋体" w:cs="宋体"/>
          <w:b/>
          <w:bCs/>
          <w:sz w:val="24"/>
          <w:lang w:eastAsia="zh-CN"/>
        </w:rPr>
      </w:pPr>
    </w:p>
    <w:p>
      <w:pPr>
        <w:spacing w:line="360" w:lineRule="auto"/>
        <w:ind w:firstLine="482" w:firstLineChars="200"/>
        <w:jc w:val="center"/>
        <w:rPr>
          <w:rFonts w:hint="eastAsia" w:ascii="宋体" w:hAnsi="宋体" w:cs="宋体"/>
          <w:b/>
          <w:bCs/>
          <w:sz w:val="24"/>
        </w:rPr>
      </w:pPr>
      <w:r>
        <w:rPr>
          <w:rFonts w:hint="eastAsia" w:ascii="宋体" w:hAnsi="宋体" w:cs="宋体"/>
          <w:b/>
          <w:bCs/>
          <w:sz w:val="24"/>
          <w:lang w:eastAsia="zh-CN"/>
        </w:rPr>
        <w:t>六</w:t>
      </w:r>
      <w:r>
        <w:rPr>
          <w:rFonts w:hint="eastAsia" w:ascii="宋体" w:hAnsi="宋体" w:cs="宋体"/>
          <w:b/>
          <w:bCs/>
          <w:sz w:val="24"/>
        </w:rPr>
        <w:t>、</w:t>
      </w:r>
      <w:r>
        <w:rPr>
          <w:rFonts w:hint="eastAsia" w:ascii="宋体" w:hAnsi="宋体" w:cs="宋体"/>
          <w:b/>
          <w:bCs/>
          <w:sz w:val="24"/>
          <w:lang w:eastAsia="zh-CN"/>
        </w:rPr>
        <w:t>企业业绩</w:t>
      </w:r>
      <w:r>
        <w:rPr>
          <w:rFonts w:hint="eastAsia" w:ascii="宋体" w:hAnsi="宋体" w:cs="宋体"/>
          <w:b/>
          <w:bCs/>
          <w:sz w:val="24"/>
        </w:rPr>
        <w:t>；</w:t>
      </w:r>
    </w:p>
    <w:p>
      <w:pPr>
        <w:spacing w:line="600" w:lineRule="exact"/>
        <w:rPr>
          <w:rFonts w:ascii="宋体" w:hAnsi="宋体"/>
          <w:sz w:val="24"/>
        </w:rPr>
      </w:pPr>
      <w:r>
        <w:rPr>
          <w:rFonts w:hint="eastAsia" w:ascii="宋体" w:hAnsi="宋体"/>
          <w:sz w:val="24"/>
        </w:rPr>
        <w:t xml:space="preserve">供应商全称（加盖公章）：            </w:t>
      </w:r>
      <w:r>
        <w:rPr>
          <w:rFonts w:hint="eastAsia" w:ascii="宋体" w:hAnsi="宋体"/>
          <w:sz w:val="24"/>
          <w:lang w:eastAsia="zh-CN"/>
        </w:rPr>
        <w:t>项目</w:t>
      </w:r>
      <w:r>
        <w:rPr>
          <w:rFonts w:hint="eastAsia" w:ascii="宋体" w:hAnsi="宋体"/>
          <w:sz w:val="24"/>
        </w:rPr>
        <w:t>编号：</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796"/>
        <w:gridCol w:w="1474"/>
        <w:gridCol w:w="1474"/>
        <w:gridCol w:w="1714"/>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jc w:val="center"/>
              <w:rPr>
                <w:rFonts w:ascii="宋体" w:hAnsi="宋体"/>
                <w:bCs/>
                <w:sz w:val="24"/>
              </w:rPr>
            </w:pPr>
            <w:r>
              <w:rPr>
                <w:rFonts w:hint="eastAsia" w:ascii="宋体" w:hAnsi="宋体"/>
                <w:bCs/>
                <w:sz w:val="24"/>
              </w:rPr>
              <w:t>序号</w:t>
            </w:r>
          </w:p>
        </w:tc>
        <w:tc>
          <w:tcPr>
            <w:tcW w:w="921" w:type="pct"/>
          </w:tcPr>
          <w:p>
            <w:pPr>
              <w:spacing w:line="600" w:lineRule="exact"/>
              <w:jc w:val="center"/>
              <w:rPr>
                <w:rFonts w:ascii="宋体" w:hAnsi="宋体"/>
                <w:bCs/>
                <w:sz w:val="24"/>
              </w:rPr>
            </w:pPr>
            <w:r>
              <w:rPr>
                <w:rFonts w:hint="eastAsia" w:ascii="宋体" w:hAnsi="宋体"/>
                <w:bCs/>
                <w:sz w:val="24"/>
              </w:rPr>
              <w:t>使用方</w:t>
            </w:r>
          </w:p>
        </w:tc>
        <w:tc>
          <w:tcPr>
            <w:tcW w:w="756" w:type="pct"/>
          </w:tcPr>
          <w:p>
            <w:pPr>
              <w:spacing w:line="600" w:lineRule="exact"/>
              <w:jc w:val="center"/>
              <w:rPr>
                <w:rFonts w:ascii="宋体" w:hAnsi="宋体"/>
                <w:bCs/>
                <w:sz w:val="24"/>
              </w:rPr>
            </w:pPr>
            <w:r>
              <w:rPr>
                <w:rFonts w:hint="eastAsia" w:ascii="宋体" w:hAnsi="宋体"/>
                <w:bCs/>
                <w:sz w:val="24"/>
              </w:rPr>
              <w:t>合同金额</w:t>
            </w:r>
          </w:p>
        </w:tc>
        <w:tc>
          <w:tcPr>
            <w:tcW w:w="756" w:type="pct"/>
          </w:tcPr>
          <w:p>
            <w:pPr>
              <w:spacing w:line="600" w:lineRule="exact"/>
              <w:jc w:val="center"/>
              <w:rPr>
                <w:rFonts w:ascii="宋体" w:hAnsi="宋体"/>
                <w:bCs/>
                <w:sz w:val="24"/>
              </w:rPr>
            </w:pPr>
            <w:r>
              <w:rPr>
                <w:rFonts w:hint="eastAsia" w:ascii="宋体" w:hAnsi="宋体"/>
                <w:bCs/>
                <w:sz w:val="24"/>
              </w:rPr>
              <w:t>签订时间</w:t>
            </w:r>
          </w:p>
        </w:tc>
        <w:tc>
          <w:tcPr>
            <w:tcW w:w="879" w:type="pct"/>
          </w:tcPr>
          <w:p>
            <w:pPr>
              <w:spacing w:line="600" w:lineRule="exact"/>
              <w:jc w:val="center"/>
              <w:rPr>
                <w:rFonts w:ascii="宋体" w:hAnsi="宋体"/>
                <w:bCs/>
                <w:sz w:val="24"/>
              </w:rPr>
            </w:pPr>
            <w:r>
              <w:rPr>
                <w:rFonts w:hint="eastAsia" w:ascii="宋体" w:hAnsi="宋体"/>
                <w:bCs/>
                <w:sz w:val="24"/>
              </w:rPr>
              <w:t>使用方联系人</w:t>
            </w:r>
          </w:p>
        </w:tc>
        <w:tc>
          <w:tcPr>
            <w:tcW w:w="1228" w:type="pct"/>
          </w:tcPr>
          <w:p>
            <w:pPr>
              <w:spacing w:line="600" w:lineRule="exact"/>
              <w:jc w:val="center"/>
              <w:rPr>
                <w:rFonts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bl>
    <w:p>
      <w:pPr>
        <w:spacing w:line="600" w:lineRule="exact"/>
        <w:rPr>
          <w:rFonts w:ascii="宋体" w:hAnsi="宋体"/>
          <w:sz w:val="24"/>
        </w:rPr>
      </w:pPr>
      <w:r>
        <w:rPr>
          <w:rFonts w:hint="eastAsia" w:ascii="宋体" w:hAnsi="宋体"/>
          <w:sz w:val="24"/>
        </w:rPr>
        <w:t>法定代表人或其授权代理人（盖章）：</w:t>
      </w:r>
    </w:p>
    <w:p>
      <w:pPr>
        <w:spacing w:line="600" w:lineRule="exact"/>
        <w:rPr>
          <w:rFonts w:ascii="宋体" w:hAnsi="宋体"/>
          <w:sz w:val="24"/>
        </w:rPr>
      </w:pPr>
      <w:r>
        <w:rPr>
          <w:rFonts w:hint="eastAsia" w:ascii="宋体" w:hAnsi="宋体"/>
          <w:sz w:val="24"/>
        </w:rPr>
        <w:t>日期：    年   月  日</w:t>
      </w:r>
    </w:p>
    <w:p>
      <w:pPr>
        <w:spacing w:line="600" w:lineRule="exact"/>
        <w:ind w:firstLine="480" w:firstLineChars="200"/>
        <w:rPr>
          <w:rFonts w:hint="eastAsia" w:ascii="宋体" w:hAnsi="宋体" w:eastAsiaTheme="minorEastAsia"/>
          <w:bCs/>
          <w:sz w:val="24"/>
          <w:lang w:eastAsia="zh-CN"/>
        </w:rPr>
      </w:pPr>
      <w:r>
        <w:rPr>
          <w:rFonts w:hint="eastAsia" w:ascii="宋体" w:hAnsi="宋体"/>
          <w:sz w:val="24"/>
        </w:rPr>
        <w:t>注：1、</w:t>
      </w:r>
      <w:r>
        <w:rPr>
          <w:rFonts w:hint="eastAsia" w:ascii="宋体" w:hAnsi="宋体"/>
          <w:bCs/>
          <w:sz w:val="24"/>
        </w:rPr>
        <w:t>企业业绩是指供</w:t>
      </w:r>
      <w:r>
        <w:rPr>
          <w:rFonts w:hint="eastAsia" w:ascii="宋体" w:hAnsi="宋体"/>
          <w:bCs/>
          <w:sz w:val="24"/>
          <w:highlight w:val="none"/>
        </w:rPr>
        <w:t>应商201</w:t>
      </w:r>
      <w:r>
        <w:rPr>
          <w:rFonts w:hint="eastAsia" w:ascii="宋体" w:hAnsi="宋体"/>
          <w:bCs/>
          <w:sz w:val="24"/>
          <w:highlight w:val="none"/>
          <w:lang w:val="en-US" w:eastAsia="zh-CN"/>
        </w:rPr>
        <w:t>7</w:t>
      </w:r>
      <w:r>
        <w:rPr>
          <w:rFonts w:hint="eastAsia" w:ascii="宋体" w:hAnsi="宋体"/>
          <w:bCs/>
          <w:sz w:val="24"/>
          <w:highlight w:val="none"/>
        </w:rPr>
        <w:t>年1月1日至今同类项目</w:t>
      </w:r>
      <w:r>
        <w:rPr>
          <w:rFonts w:hint="eastAsia" w:ascii="宋体" w:hAnsi="宋体"/>
          <w:bCs/>
          <w:sz w:val="24"/>
          <w:highlight w:val="none"/>
          <w:lang w:eastAsia="zh-CN"/>
        </w:rPr>
        <w:t>，</w:t>
      </w:r>
      <w:r>
        <w:rPr>
          <w:rFonts w:hint="eastAsia" w:asciiTheme="minorEastAsia" w:hAnsiTheme="minorEastAsia" w:eastAsiaTheme="minorEastAsia" w:cstheme="minorEastAsia"/>
          <w:kern w:val="0"/>
          <w:sz w:val="24"/>
          <w:szCs w:val="24"/>
          <w:highlight w:val="none"/>
        </w:rPr>
        <w:t>须</w:t>
      </w:r>
      <w:r>
        <w:rPr>
          <w:rFonts w:hint="eastAsia" w:asciiTheme="minorEastAsia" w:hAnsiTheme="minorEastAsia" w:eastAsiaTheme="minorEastAsia" w:cstheme="minorEastAsia"/>
          <w:kern w:val="0"/>
          <w:sz w:val="24"/>
          <w:szCs w:val="24"/>
        </w:rPr>
        <w:t>提供项目合同复印件或用户证明加盖公章</w:t>
      </w:r>
      <w:r>
        <w:rPr>
          <w:rFonts w:hint="eastAsia" w:asciiTheme="minorEastAsia" w:hAnsiTheme="minorEastAsia" w:eastAsiaTheme="minorEastAsia" w:cstheme="minorEastAsia"/>
          <w:kern w:val="0"/>
          <w:sz w:val="24"/>
          <w:szCs w:val="24"/>
          <w:lang w:eastAsia="zh-CN"/>
        </w:rPr>
        <w:t>。</w:t>
      </w:r>
    </w:p>
    <w:p>
      <w:pPr>
        <w:spacing w:line="600" w:lineRule="exact"/>
        <w:ind w:firstLine="360" w:firstLineChars="150"/>
        <w:rPr>
          <w:rFonts w:ascii="宋体" w:hAnsi="宋体"/>
          <w:sz w:val="24"/>
        </w:rPr>
      </w:pPr>
      <w:r>
        <w:rPr>
          <w:rFonts w:hint="eastAsia" w:ascii="宋体" w:hAnsi="宋体"/>
          <w:sz w:val="24"/>
        </w:rPr>
        <w:t>2、此表仅提供了表格形式，供应商应根据需要准备足够数量的表格来填写。</w:t>
      </w:r>
    </w:p>
    <w:p>
      <w:pPr>
        <w:snapToGrid w:val="0"/>
        <w:spacing w:beforeLines="50" w:after="50"/>
        <w:ind w:firstLine="240" w:firstLineChars="100"/>
        <w:rPr>
          <w:rFonts w:ascii="宋体" w:hAnsi="宋体"/>
          <w:sz w:val="24"/>
        </w:rPr>
      </w:pPr>
      <w:r>
        <w:rPr>
          <w:rFonts w:hint="eastAsia" w:ascii="宋体" w:hAnsi="宋体"/>
          <w:sz w:val="24"/>
        </w:rPr>
        <w:t xml:space="preserve">        </w:t>
      </w:r>
      <w:r>
        <w:rPr>
          <w:rFonts w:ascii="宋体" w:hAnsi="宋体"/>
          <w:sz w:val="24"/>
        </w:rPr>
        <w:t xml:space="preserve">年    月    </w:t>
      </w:r>
    </w:p>
    <w:p>
      <w:pPr>
        <w:spacing w:line="360" w:lineRule="auto"/>
        <w:jc w:val="both"/>
        <w:rPr>
          <w:rFonts w:hint="eastAsia" w:ascii="宋体" w:hAnsi="宋体" w:cs="宋体"/>
          <w:b/>
          <w:bCs/>
          <w:sz w:val="24"/>
          <w:lang w:eastAsia="zh-CN"/>
        </w:rPr>
      </w:pPr>
    </w:p>
    <w:p>
      <w:pPr>
        <w:spacing w:line="360" w:lineRule="auto"/>
        <w:ind w:firstLine="482" w:firstLineChars="200"/>
        <w:jc w:val="center"/>
        <w:rPr>
          <w:rFonts w:hint="eastAsia" w:ascii="宋体" w:hAnsi="宋体" w:cs="宋体"/>
          <w:b/>
          <w:bCs/>
          <w:sz w:val="24"/>
          <w:lang w:eastAsia="zh-CN"/>
        </w:rPr>
      </w:pPr>
    </w:p>
    <w:p>
      <w:pPr>
        <w:pStyle w:val="57"/>
        <w:spacing w:line="360" w:lineRule="auto"/>
        <w:ind w:firstLine="482" w:firstLineChars="200"/>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t>七、企业综合实力；</w:t>
      </w:r>
    </w:p>
    <w:p>
      <w:pPr>
        <w:pStyle w:val="57"/>
        <w:spacing w:line="360" w:lineRule="auto"/>
        <w:ind w:firstLine="482" w:firstLineChars="200"/>
        <w:rPr>
          <w:rFonts w:hint="eastAsia" w:asciiTheme="minorEastAsia" w:hAnsiTheme="minorEastAsia" w:eastAsiaTheme="minorEastAsia" w:cstheme="minorEastAsia"/>
          <w:b/>
          <w:bCs/>
          <w:kern w:val="0"/>
          <w:sz w:val="24"/>
          <w:szCs w:val="24"/>
          <w:lang w:eastAsia="zh-CN"/>
        </w:rPr>
      </w:pPr>
    </w:p>
    <w:p>
      <w:pPr>
        <w:pStyle w:val="57"/>
        <w:spacing w:line="360" w:lineRule="auto"/>
        <w:ind w:firstLine="482" w:firstLineChars="200"/>
        <w:rPr>
          <w:rFonts w:hint="eastAsia" w:asciiTheme="minorEastAsia" w:hAnsiTheme="minorEastAsia" w:eastAsiaTheme="minorEastAsia" w:cstheme="minorEastAsia"/>
          <w:b/>
          <w:bCs/>
          <w:kern w:val="0"/>
          <w:sz w:val="24"/>
          <w:szCs w:val="24"/>
          <w:lang w:eastAsia="zh-CN"/>
        </w:rPr>
      </w:pPr>
    </w:p>
    <w:p>
      <w:pPr>
        <w:pStyle w:val="57"/>
        <w:spacing w:line="360" w:lineRule="auto"/>
        <w:ind w:firstLine="482" w:firstLineChars="200"/>
        <w:rPr>
          <w:rFonts w:hint="eastAsia" w:ascii="宋体" w:hAnsi="宋体" w:cs="宋体" w:eastAsiaTheme="minorEastAsia"/>
          <w:b/>
          <w:bCs/>
          <w:kern w:val="2"/>
          <w:sz w:val="24"/>
          <w:szCs w:val="24"/>
          <w:lang w:eastAsia="zh-CN"/>
        </w:rPr>
      </w:pPr>
      <w:r>
        <w:rPr>
          <w:rFonts w:hint="eastAsia" w:asciiTheme="minorEastAsia" w:hAnsiTheme="minorEastAsia" w:eastAsiaTheme="minorEastAsia" w:cstheme="minorEastAsia"/>
          <w:b/>
          <w:bCs/>
          <w:kern w:val="0"/>
          <w:sz w:val="24"/>
          <w:szCs w:val="24"/>
          <w:lang w:eastAsia="zh-CN"/>
        </w:rPr>
        <w:t>八、项目总监能力；</w:t>
      </w:r>
    </w:p>
    <w:p>
      <w:pPr>
        <w:rPr>
          <w:rFonts w:hint="eastAsia" w:ascii="宋体" w:hAnsi="宋体" w:cs="宋体"/>
          <w:b/>
          <w:bCs/>
          <w:sz w:val="24"/>
          <w:lang w:eastAsia="zh-CN"/>
        </w:rPr>
      </w:pPr>
      <w:r>
        <w:rPr>
          <w:rFonts w:hint="eastAsia" w:ascii="宋体" w:hAnsi="宋体" w:cs="宋体"/>
          <w:b/>
          <w:bCs/>
          <w:sz w:val="24"/>
          <w:lang w:eastAsia="zh-CN"/>
        </w:rPr>
        <w:br w:type="page"/>
      </w:r>
    </w:p>
    <w:p>
      <w:pPr>
        <w:pStyle w:val="2"/>
        <w:rPr>
          <w:rFonts w:hint="eastAsia"/>
          <w:lang w:eastAsia="zh-CN"/>
        </w:rPr>
      </w:pPr>
    </w:p>
    <w:p>
      <w:pPr>
        <w:spacing w:line="360" w:lineRule="auto"/>
        <w:ind w:firstLine="482" w:firstLineChars="200"/>
        <w:jc w:val="center"/>
        <w:rPr>
          <w:rFonts w:hint="eastAsia" w:ascii="宋体" w:hAnsi="宋体" w:cs="宋体"/>
          <w:b/>
          <w:bCs/>
          <w:sz w:val="24"/>
        </w:rPr>
      </w:pPr>
      <w:r>
        <w:rPr>
          <w:rFonts w:hint="eastAsia" w:ascii="宋体" w:hAnsi="宋体" w:cs="宋体"/>
          <w:b/>
          <w:bCs/>
          <w:sz w:val="24"/>
          <w:lang w:eastAsia="zh-CN"/>
        </w:rPr>
        <w:t>九</w:t>
      </w:r>
      <w:r>
        <w:rPr>
          <w:rFonts w:hint="eastAsia" w:ascii="宋体" w:hAnsi="宋体" w:cs="宋体"/>
          <w:b/>
          <w:bCs/>
          <w:sz w:val="24"/>
        </w:rPr>
        <w:t>、</w:t>
      </w:r>
      <w:r>
        <w:rPr>
          <w:rFonts w:hint="eastAsia" w:ascii="宋体" w:hAnsi="宋体" w:cs="宋体"/>
          <w:b/>
          <w:bCs/>
          <w:sz w:val="24"/>
          <w:lang w:eastAsia="zh-CN"/>
        </w:rPr>
        <w:t>项目团队实力</w:t>
      </w:r>
      <w:r>
        <w:rPr>
          <w:rFonts w:hint="eastAsia" w:ascii="宋体" w:hAnsi="宋体" w:cs="宋体"/>
          <w:b/>
          <w:bCs/>
          <w:sz w:val="24"/>
        </w:rPr>
        <w:t>；</w:t>
      </w:r>
    </w:p>
    <w:p>
      <w:pPr>
        <w:snapToGrid w:val="0"/>
        <w:spacing w:before="50" w:afterLines="50" w:line="540" w:lineRule="exact"/>
        <w:rPr>
          <w:sz w:val="24"/>
        </w:rPr>
      </w:pPr>
      <w:r>
        <w:rPr>
          <w:rFonts w:hint="eastAsia"/>
          <w:sz w:val="24"/>
        </w:rPr>
        <w:t>项目名称：                      项目编号：</w:t>
      </w:r>
    </w:p>
    <w:tbl>
      <w:tblPr>
        <w:tblStyle w:val="39"/>
        <w:tblW w:w="104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1585"/>
        <w:gridCol w:w="2622"/>
        <w:gridCol w:w="1987"/>
        <w:gridCol w:w="1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226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姓名</w:t>
            </w: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职务</w:t>
            </w:r>
          </w:p>
        </w:tc>
        <w:tc>
          <w:tcPr>
            <w:tcW w:w="262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专业技术资格</w:t>
            </w:r>
          </w:p>
        </w:tc>
        <w:tc>
          <w:tcPr>
            <w:tcW w:w="198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证书编号</w:t>
            </w:r>
          </w:p>
        </w:tc>
        <w:tc>
          <w:tcPr>
            <w:tcW w:w="198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pStyle w:val="27"/>
              <w:snapToGrid w:val="0"/>
              <w:spacing w:beforeLines="50" w:after="50" w:line="540" w:lineRule="exact"/>
              <w:ind w:left="7000"/>
              <w:rPr>
                <w:rFonts w:ascii="宋体" w:hAnsi="宋体"/>
                <w:sz w:val="24"/>
                <w:szCs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bl>
    <w:p>
      <w:pPr>
        <w:snapToGrid w:val="0"/>
        <w:spacing w:before="50" w:afterLines="50" w:line="540" w:lineRule="exact"/>
        <w:rPr>
          <w:sz w:val="24"/>
        </w:rPr>
      </w:pPr>
      <w:r>
        <w:rPr>
          <w:rFonts w:hint="eastAsia"/>
          <w:sz w:val="24"/>
        </w:rPr>
        <w:t>注：在填写时，如本表格不适合供应商的实际情况，可根据本表格式自行划表填写。</w:t>
      </w:r>
    </w:p>
    <w:p>
      <w:pPr>
        <w:adjustRightInd w:val="0"/>
        <w:spacing w:line="500" w:lineRule="exact"/>
        <w:rPr>
          <w:sz w:val="24"/>
        </w:rPr>
      </w:pPr>
      <w:r>
        <w:rPr>
          <w:rFonts w:hint="eastAsia"/>
          <w:sz w:val="24"/>
        </w:rPr>
        <w:t>供应商全称（盖章）：</w:t>
      </w:r>
    </w:p>
    <w:p>
      <w:pPr>
        <w:adjustRightInd w:val="0"/>
        <w:spacing w:line="500" w:lineRule="exact"/>
        <w:rPr>
          <w:sz w:val="24"/>
        </w:rPr>
      </w:pPr>
      <w:r>
        <w:rPr>
          <w:rFonts w:hint="eastAsia"/>
          <w:sz w:val="24"/>
        </w:rPr>
        <w:t>法定代表人或</w:t>
      </w:r>
      <w:r>
        <w:rPr>
          <w:rFonts w:hint="eastAsia"/>
          <w:spacing w:val="20"/>
          <w:sz w:val="24"/>
        </w:rPr>
        <w:t>授权代表</w:t>
      </w:r>
      <w:r>
        <w:rPr>
          <w:rFonts w:hint="eastAsia"/>
          <w:sz w:val="24"/>
        </w:rPr>
        <w:t xml:space="preserve">（签字或盖章）：         </w:t>
      </w:r>
    </w:p>
    <w:p>
      <w:pPr>
        <w:adjustRightInd w:val="0"/>
        <w:spacing w:line="500" w:lineRule="exact"/>
        <w:rPr>
          <w:b/>
          <w:sz w:val="28"/>
          <w:szCs w:val="21"/>
        </w:rPr>
      </w:pPr>
      <w:r>
        <w:rPr>
          <w:rFonts w:hint="eastAsia"/>
          <w:sz w:val="24"/>
        </w:rPr>
        <w:t>日   期：</w:t>
      </w:r>
    </w:p>
    <w:p>
      <w:pPr>
        <w:pStyle w:val="21"/>
        <w:ind w:firstLine="0" w:firstLineChars="0"/>
        <w:rPr>
          <w:rFonts w:hint="eastAsia"/>
          <w:b/>
          <w:bCs w:val="0"/>
          <w:sz w:val="24"/>
          <w:szCs w:val="24"/>
        </w:rPr>
      </w:pPr>
    </w:p>
    <w:p>
      <w:pPr>
        <w:pStyle w:val="21"/>
        <w:ind w:firstLine="0" w:firstLineChars="0"/>
        <w:rPr>
          <w:b/>
          <w:bCs w:val="0"/>
          <w:sz w:val="24"/>
          <w:szCs w:val="24"/>
        </w:rPr>
      </w:pPr>
      <w:r>
        <w:rPr>
          <w:rFonts w:hint="eastAsia"/>
          <w:b/>
          <w:bCs w:val="0"/>
          <w:sz w:val="24"/>
          <w:szCs w:val="24"/>
        </w:rPr>
        <w:t>附团队</w:t>
      </w:r>
      <w:r>
        <w:rPr>
          <w:rFonts w:hint="eastAsia"/>
          <w:b/>
          <w:bCs w:val="0"/>
          <w:sz w:val="24"/>
          <w:szCs w:val="24"/>
          <w:lang w:val="en-US"/>
        </w:rPr>
        <w:t>人员证书</w:t>
      </w:r>
      <w:r>
        <w:rPr>
          <w:rFonts w:hint="eastAsia"/>
          <w:b/>
          <w:bCs w:val="0"/>
          <w:sz w:val="24"/>
          <w:szCs w:val="24"/>
          <w:lang w:val="en-US" w:eastAsia="zh-CN"/>
        </w:rPr>
        <w:t>、社保及</w:t>
      </w:r>
      <w:r>
        <w:rPr>
          <w:rFonts w:hint="eastAsia"/>
          <w:b/>
          <w:bCs w:val="0"/>
          <w:sz w:val="24"/>
          <w:szCs w:val="24"/>
          <w:lang w:val="en-US"/>
        </w:rPr>
        <w:t>相关证明资料</w:t>
      </w:r>
      <w:r>
        <w:rPr>
          <w:rFonts w:hint="eastAsia"/>
          <w:b/>
          <w:bCs w:val="0"/>
          <w:sz w:val="24"/>
          <w:szCs w:val="24"/>
          <w:lang w:val="en-US" w:eastAsia="zh-CN"/>
        </w:rPr>
        <w:t>原件</w:t>
      </w:r>
      <w:r>
        <w:rPr>
          <w:rFonts w:hint="eastAsia"/>
          <w:b/>
          <w:bCs w:val="0"/>
          <w:sz w:val="24"/>
          <w:szCs w:val="24"/>
          <w:lang w:val="en-US"/>
        </w:rPr>
        <w:t>扫描件并加盖公章</w:t>
      </w:r>
    </w:p>
    <w:p>
      <w:pPr>
        <w:pStyle w:val="135"/>
        <w:numPr>
          <w:ilvl w:val="0"/>
          <w:numId w:val="0"/>
        </w:numPr>
        <w:ind w:left="560" w:leftChars="0"/>
        <w:rPr>
          <w:rFonts w:hint="eastAsia"/>
          <w:lang w:eastAsia="zh-CN"/>
        </w:rPr>
      </w:pPr>
    </w:p>
    <w:p>
      <w:pPr>
        <w:pStyle w:val="21"/>
      </w:pPr>
    </w:p>
    <w:p>
      <w:pPr>
        <w:spacing w:line="360" w:lineRule="auto"/>
        <w:jc w:val="both"/>
        <w:rPr>
          <w:rFonts w:hint="eastAsia" w:ascii="宋体" w:hAnsi="宋体" w:cs="宋体"/>
          <w:b/>
          <w:bCs/>
          <w:sz w:val="24"/>
        </w:rPr>
      </w:pPr>
    </w:p>
    <w:p>
      <w:pPr>
        <w:pStyle w:val="14"/>
        <w:rPr>
          <w:rFonts w:ascii="宋体" w:hAnsi="宋体"/>
          <w:sz w:val="24"/>
        </w:rPr>
      </w:pPr>
    </w:p>
    <w:p>
      <w:pPr>
        <w:pStyle w:val="21"/>
        <w:rPr>
          <w:rFonts w:hint="eastAsia"/>
        </w:rPr>
      </w:pPr>
    </w:p>
    <w:p>
      <w:pPr>
        <w:spacing w:line="360" w:lineRule="auto"/>
        <w:ind w:firstLine="482" w:firstLineChars="200"/>
        <w:rPr>
          <w:rFonts w:hint="eastAsia" w:ascii="宋体" w:hAnsi="宋体" w:cs="宋体"/>
          <w:b/>
          <w:bCs/>
          <w:sz w:val="24"/>
          <w:lang w:eastAsia="zh-CN"/>
        </w:rPr>
      </w:pPr>
    </w:p>
    <w:p>
      <w:pPr>
        <w:spacing w:line="360" w:lineRule="auto"/>
        <w:ind w:firstLine="482" w:firstLineChars="200"/>
        <w:rPr>
          <w:rFonts w:ascii="宋体" w:hAnsi="宋体" w:cs="宋体"/>
          <w:b/>
          <w:bCs/>
          <w:sz w:val="24"/>
        </w:rPr>
      </w:pPr>
      <w:r>
        <w:rPr>
          <w:rFonts w:hint="eastAsia" w:ascii="宋体" w:hAnsi="宋体" w:cs="宋体"/>
          <w:b/>
          <w:bCs/>
          <w:sz w:val="24"/>
          <w:lang w:eastAsia="zh-CN"/>
        </w:rPr>
        <w:t>十、售后</w:t>
      </w:r>
      <w:r>
        <w:rPr>
          <w:rFonts w:hint="eastAsia" w:ascii="宋体" w:hAnsi="宋体" w:cs="宋体"/>
          <w:b/>
          <w:bCs/>
          <w:sz w:val="24"/>
        </w:rPr>
        <w:t>服务</w:t>
      </w:r>
      <w:r>
        <w:rPr>
          <w:rFonts w:hint="eastAsia" w:ascii="宋体" w:hAnsi="宋体"/>
          <w:b/>
          <w:bCs/>
          <w:sz w:val="24"/>
        </w:rPr>
        <w:t>；</w:t>
      </w:r>
    </w:p>
    <w:p>
      <w:pPr>
        <w:spacing w:line="360" w:lineRule="auto"/>
        <w:jc w:val="center"/>
        <w:rPr>
          <w:rFonts w:hint="eastAsia" w:ascii="宋体" w:hAnsi="宋体" w:cs="宋体"/>
          <w:b/>
          <w:bCs/>
          <w:sz w:val="24"/>
          <w:lang w:eastAsia="zh-CN"/>
        </w:rPr>
      </w:pPr>
    </w:p>
    <w:p>
      <w:pPr>
        <w:spacing w:line="360" w:lineRule="auto"/>
        <w:jc w:val="center"/>
        <w:rPr>
          <w:rFonts w:cs="Times New Roman"/>
          <w:b/>
          <w:bCs/>
          <w:sz w:val="21"/>
          <w:szCs w:val="21"/>
          <w:highlight w:val="none"/>
        </w:rPr>
      </w:pPr>
      <w:r>
        <w:rPr>
          <w:rFonts w:hint="eastAsia" w:ascii="宋体" w:hAnsi="宋体" w:cs="宋体"/>
          <w:b/>
          <w:bCs/>
          <w:sz w:val="24"/>
          <w:lang w:eastAsia="zh-CN"/>
        </w:rPr>
        <w:t>十一、</w:t>
      </w:r>
      <w:r>
        <w:rPr>
          <w:rFonts w:hint="eastAsia"/>
          <w:b/>
          <w:bCs/>
          <w:sz w:val="21"/>
          <w:szCs w:val="21"/>
          <w:highlight w:val="none"/>
        </w:rPr>
        <w:t>供应商市场行为信誉（信用）情况承诺书（申明书）</w:t>
      </w:r>
    </w:p>
    <w:tbl>
      <w:tblPr>
        <w:tblStyle w:val="39"/>
        <w:tblW w:w="4681" w:type="pct"/>
        <w:tblInd w:w="22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3"/>
        <w:gridCol w:w="1035"/>
        <w:gridCol w:w="194"/>
        <w:gridCol w:w="2961"/>
        <w:gridCol w:w="2015"/>
        <w:gridCol w:w="2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1135" w:type="pct"/>
            <w:gridSpan w:val="3"/>
            <w:tcBorders>
              <w:top w:val="single"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color w:val="auto"/>
                <w:sz w:val="24"/>
                <w:szCs w:val="24"/>
                <w:highlight w:val="none"/>
              </w:rPr>
              <w:t>投</w:t>
            </w:r>
            <w:r>
              <w:rPr>
                <w:rFonts w:hint="eastAsia"/>
                <w:color w:val="auto"/>
                <w:sz w:val="24"/>
                <w:szCs w:val="24"/>
                <w:highlight w:val="none"/>
              </w:rPr>
              <w:t>（竞）</w:t>
            </w:r>
            <w:r>
              <w:rPr>
                <w:color w:val="auto"/>
                <w:sz w:val="24"/>
                <w:szCs w:val="24"/>
                <w:highlight w:val="none"/>
              </w:rPr>
              <w:t>标</w:t>
            </w:r>
            <w:r>
              <w:rPr>
                <w:rFonts w:hint="eastAsia"/>
                <w:b/>
                <w:bCs/>
                <w:color w:val="auto"/>
                <w:sz w:val="24"/>
                <w:szCs w:val="24"/>
                <w:highlight w:val="none"/>
              </w:rPr>
              <w:t>供应商</w:t>
            </w:r>
            <w:r>
              <w:rPr>
                <w:color w:val="auto"/>
                <w:sz w:val="24"/>
                <w:szCs w:val="24"/>
                <w:highlight w:val="none"/>
              </w:rPr>
              <w:t xml:space="preserve">名称 </w:t>
            </w:r>
          </w:p>
        </w:tc>
        <w:tc>
          <w:tcPr>
            <w:tcW w:w="1622" w:type="pct"/>
            <w:tcBorders>
              <w:top w:val="single"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1104" w:type="pct"/>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color w:val="auto"/>
                <w:sz w:val="24"/>
                <w:szCs w:val="24"/>
                <w:highlight w:val="none"/>
              </w:rPr>
            </w:pPr>
            <w:r>
              <w:rPr>
                <w:color w:val="auto"/>
                <w:sz w:val="24"/>
                <w:szCs w:val="24"/>
                <w:highlight w:val="none"/>
              </w:rPr>
              <w:t>企业资质等级</w:t>
            </w:r>
          </w:p>
          <w:p>
            <w:pPr>
              <w:spacing w:before="100" w:beforeAutospacing="1" w:after="100" w:afterAutospacing="1" w:line="260" w:lineRule="exact"/>
              <w:jc w:val="center"/>
              <w:rPr>
                <w:rFonts w:ascii="宋体" w:hAnsi="宋体"/>
                <w:color w:val="auto"/>
                <w:sz w:val="24"/>
                <w:szCs w:val="24"/>
                <w:highlight w:val="none"/>
              </w:rPr>
            </w:pPr>
            <w:r>
              <w:rPr>
                <w:rFonts w:hint="eastAsia"/>
                <w:color w:val="auto"/>
                <w:sz w:val="24"/>
                <w:szCs w:val="24"/>
                <w:highlight w:val="none"/>
              </w:rPr>
              <w:t>（如 有）</w:t>
            </w:r>
            <w:r>
              <w:rPr>
                <w:color w:val="auto"/>
                <w:sz w:val="24"/>
                <w:szCs w:val="24"/>
                <w:highlight w:val="none"/>
              </w:rPr>
              <w:t xml:space="preserve"> </w:t>
            </w:r>
          </w:p>
        </w:tc>
        <w:tc>
          <w:tcPr>
            <w:tcW w:w="1137" w:type="pct"/>
            <w:tcBorders>
              <w:top w:val="single" w:color="auto" w:sz="4" w:space="0"/>
              <w:left w:val="dotted" w:color="auto" w:sz="4" w:space="0"/>
              <w:bottom w:val="dotted" w:color="auto" w:sz="4" w:space="0"/>
              <w:right w:val="single" w:color="auto" w:sz="4" w:space="0"/>
            </w:tcBorders>
            <w:noWrap w:val="0"/>
            <w:vAlign w:val="center"/>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135" w:type="pct"/>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color w:val="auto"/>
                <w:sz w:val="24"/>
                <w:szCs w:val="24"/>
                <w:highlight w:val="none"/>
              </w:rPr>
              <w:t xml:space="preserve">企 业 地 址 </w:t>
            </w:r>
          </w:p>
        </w:tc>
        <w:tc>
          <w:tcPr>
            <w:tcW w:w="1622" w:type="pct"/>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1104" w:type="pct"/>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color w:val="auto"/>
                <w:sz w:val="24"/>
                <w:szCs w:val="24"/>
                <w:highlight w:val="none"/>
              </w:rPr>
              <w:t xml:space="preserve">联 系 电 话 </w:t>
            </w:r>
          </w:p>
        </w:tc>
        <w:tc>
          <w:tcPr>
            <w:tcW w:w="1137" w:type="pct"/>
            <w:tcBorders>
              <w:top w:val="dotted" w:color="auto" w:sz="4" w:space="0"/>
              <w:left w:val="dotted" w:color="auto" w:sz="4" w:space="0"/>
              <w:bottom w:val="dotted" w:color="auto" w:sz="4" w:space="0"/>
              <w:right w:val="single" w:color="auto" w:sz="4" w:space="0"/>
            </w:tcBorders>
            <w:noWrap w:val="0"/>
            <w:vAlign w:val="center"/>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135" w:type="pct"/>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rFonts w:hint="eastAsia"/>
                <w:color w:val="auto"/>
                <w:sz w:val="24"/>
                <w:szCs w:val="24"/>
                <w:highlight w:val="none"/>
              </w:rPr>
              <w:t>拟投（竞）标项目</w:t>
            </w:r>
            <w:r>
              <w:rPr>
                <w:color w:val="auto"/>
                <w:sz w:val="24"/>
                <w:szCs w:val="24"/>
                <w:highlight w:val="none"/>
              </w:rPr>
              <w:t xml:space="preserve">名称 </w:t>
            </w:r>
          </w:p>
        </w:tc>
        <w:tc>
          <w:tcPr>
            <w:tcW w:w="1622" w:type="pct"/>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1104" w:type="pct"/>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rFonts w:hint="eastAsia"/>
                <w:color w:val="auto"/>
                <w:sz w:val="24"/>
                <w:szCs w:val="24"/>
                <w:highlight w:val="none"/>
              </w:rPr>
              <w:t>拟投标项目负责人</w:t>
            </w:r>
            <w:r>
              <w:rPr>
                <w:color w:val="auto"/>
                <w:sz w:val="24"/>
                <w:szCs w:val="24"/>
                <w:highlight w:val="none"/>
              </w:rPr>
              <w:t xml:space="preserve">姓名及资质 </w:t>
            </w:r>
          </w:p>
        </w:tc>
        <w:tc>
          <w:tcPr>
            <w:tcW w:w="1137" w:type="pct"/>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trPr>
        <w:tc>
          <w:tcPr>
            <w:tcW w:w="462" w:type="pct"/>
            <w:vMerge w:val="restart"/>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color w:val="auto"/>
                <w:sz w:val="24"/>
                <w:szCs w:val="24"/>
                <w:highlight w:val="none"/>
              </w:rPr>
            </w:pPr>
            <w:r>
              <w:rPr>
                <w:rFonts w:hint="eastAsia"/>
                <w:color w:val="auto"/>
                <w:sz w:val="24"/>
                <w:szCs w:val="24"/>
                <w:highlight w:val="none"/>
              </w:rPr>
              <w:t>供应商</w:t>
            </w:r>
          </w:p>
          <w:p>
            <w:pPr>
              <w:spacing w:before="100" w:beforeAutospacing="1" w:after="100" w:afterAutospacing="1" w:line="260" w:lineRule="exact"/>
              <w:jc w:val="center"/>
              <w:rPr>
                <w:color w:val="auto"/>
                <w:sz w:val="24"/>
                <w:szCs w:val="24"/>
                <w:highlight w:val="none"/>
              </w:rPr>
            </w:pPr>
            <w:r>
              <w:rPr>
                <w:color w:val="auto"/>
                <w:sz w:val="24"/>
                <w:szCs w:val="24"/>
                <w:highlight w:val="none"/>
              </w:rPr>
              <w:t>市场</w:t>
            </w:r>
          </w:p>
          <w:p>
            <w:pPr>
              <w:spacing w:before="100" w:beforeAutospacing="1" w:after="100" w:afterAutospacing="1" w:line="260" w:lineRule="exact"/>
              <w:jc w:val="center"/>
              <w:rPr>
                <w:rFonts w:hint="eastAsia"/>
                <w:color w:val="auto"/>
                <w:sz w:val="24"/>
                <w:szCs w:val="24"/>
                <w:highlight w:val="none"/>
              </w:rPr>
            </w:pPr>
            <w:r>
              <w:rPr>
                <w:color w:val="auto"/>
                <w:sz w:val="24"/>
                <w:szCs w:val="24"/>
                <w:highlight w:val="none"/>
              </w:rPr>
              <w:t>行为</w:t>
            </w:r>
          </w:p>
          <w:p>
            <w:pPr>
              <w:spacing w:before="100" w:beforeAutospacing="1" w:after="100" w:afterAutospacing="1" w:line="260" w:lineRule="exact"/>
              <w:jc w:val="center"/>
              <w:rPr>
                <w:rFonts w:hint="eastAsia"/>
                <w:color w:val="auto"/>
                <w:sz w:val="24"/>
                <w:szCs w:val="24"/>
                <w:highlight w:val="none"/>
              </w:rPr>
            </w:pPr>
            <w:r>
              <w:rPr>
                <w:rFonts w:hint="eastAsia"/>
                <w:color w:val="auto"/>
                <w:sz w:val="24"/>
                <w:szCs w:val="24"/>
                <w:highlight w:val="none"/>
              </w:rPr>
              <w:t>信誉</w:t>
            </w:r>
          </w:p>
          <w:p>
            <w:pPr>
              <w:spacing w:before="100" w:beforeAutospacing="1" w:after="100" w:afterAutospacing="1" w:line="260" w:lineRule="exact"/>
              <w:jc w:val="center"/>
              <w:rPr>
                <w:color w:val="auto"/>
                <w:sz w:val="24"/>
                <w:szCs w:val="24"/>
                <w:highlight w:val="none"/>
              </w:rPr>
            </w:pPr>
            <w:r>
              <w:rPr>
                <w:color w:val="auto"/>
                <w:sz w:val="24"/>
                <w:szCs w:val="24"/>
                <w:highlight w:val="none"/>
              </w:rPr>
              <w:t>情况</w:t>
            </w:r>
          </w:p>
        </w:tc>
        <w:tc>
          <w:tcPr>
            <w:tcW w:w="2295" w:type="pct"/>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hint="eastAsia"/>
                <w:color w:val="auto"/>
                <w:sz w:val="24"/>
                <w:szCs w:val="24"/>
                <w:highlight w:val="none"/>
              </w:rPr>
            </w:pPr>
            <w:r>
              <w:rPr>
                <w:color w:val="auto"/>
                <w:sz w:val="24"/>
                <w:szCs w:val="24"/>
                <w:highlight w:val="none"/>
              </w:rPr>
              <w:t>有无</w:t>
            </w:r>
            <w:r>
              <w:rPr>
                <w:rFonts w:hint="eastAsia"/>
                <w:color w:val="auto"/>
                <w:sz w:val="24"/>
                <w:szCs w:val="24"/>
                <w:highlight w:val="none"/>
              </w:rPr>
              <w:t>受到财政监管部门处理、公告的不良行为。（未注明公告期限的）</w:t>
            </w:r>
          </w:p>
        </w:tc>
        <w:tc>
          <w:tcPr>
            <w:tcW w:w="2242" w:type="pct"/>
            <w:gridSpan w:val="2"/>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462" w:type="pct"/>
            <w:vMerge w:val="continue"/>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rFonts w:hint="eastAsia"/>
                <w:color w:val="auto"/>
                <w:sz w:val="24"/>
                <w:szCs w:val="24"/>
                <w:highlight w:val="none"/>
              </w:rPr>
            </w:pPr>
          </w:p>
        </w:tc>
        <w:tc>
          <w:tcPr>
            <w:tcW w:w="2295" w:type="pct"/>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color w:val="auto"/>
                <w:sz w:val="24"/>
                <w:szCs w:val="24"/>
                <w:highlight w:val="none"/>
              </w:rPr>
            </w:pPr>
            <w:r>
              <w:rPr>
                <w:color w:val="auto"/>
                <w:sz w:val="24"/>
                <w:szCs w:val="24"/>
                <w:highlight w:val="none"/>
              </w:rPr>
              <w:t>有无</w:t>
            </w:r>
            <w:r>
              <w:rPr>
                <w:rFonts w:hint="eastAsia"/>
                <w:color w:val="auto"/>
                <w:sz w:val="24"/>
                <w:szCs w:val="24"/>
                <w:highlight w:val="none"/>
              </w:rPr>
              <w:t>受到财政监管部门处理、公告的不良行为（在公告期内）。</w:t>
            </w:r>
          </w:p>
        </w:tc>
        <w:tc>
          <w:tcPr>
            <w:tcW w:w="2242" w:type="pct"/>
            <w:gridSpan w:val="2"/>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2" w:hRule="atLeast"/>
        </w:trPr>
        <w:tc>
          <w:tcPr>
            <w:tcW w:w="462" w:type="pct"/>
            <w:vMerge w:val="continue"/>
            <w:tcBorders>
              <w:left w:val="single"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2295" w:type="pct"/>
            <w:gridSpan w:val="3"/>
            <w:tcBorders>
              <w:top w:val="dotted" w:color="auto" w:sz="4" w:space="0"/>
              <w:left w:val="dotted" w:color="auto" w:sz="4" w:space="0"/>
              <w:right w:val="dotted" w:color="auto" w:sz="4" w:space="0"/>
            </w:tcBorders>
            <w:noWrap w:val="0"/>
            <w:vAlign w:val="center"/>
          </w:tcPr>
          <w:p>
            <w:pPr>
              <w:spacing w:before="100" w:beforeAutospacing="1" w:after="100" w:afterAutospacing="1" w:line="260" w:lineRule="exact"/>
              <w:rPr>
                <w:rFonts w:hint="eastAsia" w:ascii="宋体" w:hAnsi="宋体"/>
                <w:color w:val="auto"/>
                <w:sz w:val="24"/>
                <w:szCs w:val="24"/>
                <w:highlight w:val="none"/>
              </w:rPr>
            </w:pPr>
            <w:r>
              <w:rPr>
                <w:color w:val="auto"/>
                <w:sz w:val="24"/>
                <w:szCs w:val="24"/>
                <w:highlight w:val="none"/>
              </w:rPr>
              <w:t>有无</w:t>
            </w:r>
            <w:r>
              <w:rPr>
                <w:rFonts w:hint="eastAsia"/>
                <w:color w:val="auto"/>
                <w:sz w:val="24"/>
                <w:szCs w:val="24"/>
                <w:highlight w:val="none"/>
              </w:rPr>
              <w:t>受到财政监管部门处理、公告的不良行为（不在公告期但在三年内）。</w:t>
            </w:r>
          </w:p>
        </w:tc>
        <w:tc>
          <w:tcPr>
            <w:tcW w:w="2242" w:type="pct"/>
            <w:gridSpan w:val="2"/>
            <w:tcBorders>
              <w:top w:val="dotted" w:color="auto" w:sz="4" w:space="0"/>
              <w:left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8" w:hRule="atLeast"/>
        </w:trPr>
        <w:tc>
          <w:tcPr>
            <w:tcW w:w="462" w:type="pct"/>
            <w:vMerge w:val="continue"/>
            <w:tcBorders>
              <w:left w:val="single"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2295" w:type="pct"/>
            <w:gridSpan w:val="3"/>
            <w:tcBorders>
              <w:top w:val="dotted" w:color="auto" w:sz="4" w:space="0"/>
              <w:left w:val="dotted" w:color="auto" w:sz="4" w:space="0"/>
              <w:right w:val="dotted" w:color="auto" w:sz="4" w:space="0"/>
            </w:tcBorders>
            <w:noWrap w:val="0"/>
            <w:vAlign w:val="center"/>
          </w:tcPr>
          <w:p>
            <w:pPr>
              <w:spacing w:before="100" w:beforeAutospacing="1" w:after="100" w:afterAutospacing="1" w:line="260" w:lineRule="exact"/>
              <w:rPr>
                <w:color w:val="auto"/>
                <w:sz w:val="24"/>
                <w:szCs w:val="24"/>
                <w:highlight w:val="none"/>
              </w:rPr>
            </w:pPr>
            <w:r>
              <w:rPr>
                <w:rFonts w:hint="eastAsia"/>
                <w:color w:val="auto"/>
                <w:sz w:val="24"/>
                <w:szCs w:val="24"/>
                <w:highlight w:val="none"/>
              </w:rPr>
              <w:t>投标截止时间前3年内（处罚决定日期），是否具有被行政处罚的不良行为记录（不包括责令停产停业、吊销许可证或者执照、较大数额罚款等行政处罚。）</w:t>
            </w:r>
          </w:p>
        </w:tc>
        <w:tc>
          <w:tcPr>
            <w:tcW w:w="2242" w:type="pct"/>
            <w:gridSpan w:val="2"/>
            <w:tcBorders>
              <w:top w:val="dotted" w:color="auto" w:sz="4" w:space="0"/>
              <w:left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3" w:hRule="atLeast"/>
        </w:trPr>
        <w:tc>
          <w:tcPr>
            <w:tcW w:w="462" w:type="pct"/>
            <w:vMerge w:val="continue"/>
            <w:tcBorders>
              <w:left w:val="single" w:color="auto" w:sz="4" w:space="0"/>
              <w:bottom w:val="dotted"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2295" w:type="pct"/>
            <w:gridSpan w:val="3"/>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color w:val="auto"/>
                <w:sz w:val="24"/>
                <w:szCs w:val="24"/>
                <w:highlight w:val="none"/>
              </w:rPr>
            </w:pPr>
            <w:r>
              <w:rPr>
                <w:rFonts w:hint="eastAsia"/>
                <w:color w:val="auto"/>
                <w:sz w:val="24"/>
                <w:szCs w:val="24"/>
                <w:highlight w:val="none"/>
              </w:rPr>
              <w:t>投标截止时间前3年内（处罚决定日期），在经营活动中有无重大违法记录（重大违法记录包括：</w:t>
            </w:r>
            <w:r>
              <w:rPr>
                <w:rFonts w:hint="eastAsia"/>
                <w:color w:val="auto"/>
                <w:sz w:val="24"/>
                <w:szCs w:val="24"/>
                <w:highlight w:val="none"/>
                <w:shd w:val="clear" w:color="auto" w:fill="FFFFFF"/>
              </w:rPr>
              <w:t>供应商因违法经营受到刑事处罚或者责令停产停业、吊销许可证或者执照、较大数额罚款等行政处罚。</w:t>
            </w:r>
            <w:r>
              <w:rPr>
                <w:rFonts w:hint="eastAsia"/>
                <w:color w:val="auto"/>
                <w:sz w:val="24"/>
                <w:szCs w:val="24"/>
                <w:highlight w:val="none"/>
              </w:rPr>
              <w:t>）</w:t>
            </w:r>
          </w:p>
        </w:tc>
        <w:tc>
          <w:tcPr>
            <w:tcW w:w="2242" w:type="pct"/>
            <w:gridSpan w:val="2"/>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1" w:hRule="atLeast"/>
        </w:trPr>
        <w:tc>
          <w:tcPr>
            <w:tcW w:w="462" w:type="pct"/>
            <w:tcBorders>
              <w:left w:val="single" w:color="auto" w:sz="4" w:space="0"/>
              <w:right w:val="dotted" w:color="auto" w:sz="4" w:space="0"/>
            </w:tcBorders>
            <w:noWrap w:val="0"/>
            <w:vAlign w:val="center"/>
          </w:tcPr>
          <w:p>
            <w:pPr>
              <w:spacing w:before="100" w:beforeAutospacing="1" w:after="100" w:afterAutospacing="1" w:line="260" w:lineRule="exact"/>
              <w:jc w:val="center"/>
              <w:rPr>
                <w:color w:val="auto"/>
                <w:sz w:val="24"/>
                <w:szCs w:val="24"/>
                <w:highlight w:val="none"/>
              </w:rPr>
            </w:pPr>
            <w:r>
              <w:rPr>
                <w:rFonts w:hint="eastAsia"/>
                <w:color w:val="auto"/>
                <w:sz w:val="24"/>
                <w:szCs w:val="24"/>
                <w:highlight w:val="none"/>
              </w:rPr>
              <w:t>供应商</w:t>
            </w:r>
          </w:p>
          <w:p>
            <w:pPr>
              <w:spacing w:before="100" w:beforeAutospacing="1" w:after="100" w:afterAutospacing="1" w:line="260" w:lineRule="exact"/>
              <w:jc w:val="center"/>
              <w:rPr>
                <w:rFonts w:hint="eastAsia"/>
                <w:color w:val="auto"/>
                <w:sz w:val="24"/>
                <w:szCs w:val="24"/>
                <w:highlight w:val="none"/>
              </w:rPr>
            </w:pPr>
            <w:r>
              <w:rPr>
                <w:color w:val="auto"/>
                <w:sz w:val="24"/>
                <w:szCs w:val="24"/>
                <w:highlight w:val="none"/>
              </w:rPr>
              <w:t>信用</w:t>
            </w:r>
          </w:p>
          <w:p>
            <w:pPr>
              <w:spacing w:line="260" w:lineRule="exact"/>
              <w:jc w:val="center"/>
              <w:rPr>
                <w:color w:val="auto"/>
                <w:sz w:val="24"/>
                <w:szCs w:val="24"/>
                <w:highlight w:val="none"/>
              </w:rPr>
            </w:pPr>
            <w:r>
              <w:rPr>
                <w:color w:val="auto"/>
                <w:sz w:val="24"/>
                <w:szCs w:val="24"/>
                <w:highlight w:val="none"/>
              </w:rPr>
              <w:t>情况</w:t>
            </w:r>
          </w:p>
        </w:tc>
        <w:tc>
          <w:tcPr>
            <w:tcW w:w="2295" w:type="pct"/>
            <w:gridSpan w:val="3"/>
            <w:tcBorders>
              <w:top w:val="dotted" w:color="auto" w:sz="4" w:space="0"/>
              <w:left w:val="dotted" w:color="auto" w:sz="4" w:space="0"/>
              <w:right w:val="dotted" w:color="auto" w:sz="4" w:space="0"/>
            </w:tcBorders>
            <w:noWrap w:val="0"/>
            <w:vAlign w:val="center"/>
          </w:tcPr>
          <w:p>
            <w:pPr>
              <w:spacing w:before="100" w:beforeAutospacing="1" w:after="100" w:afterAutospacing="1" w:line="260" w:lineRule="exact"/>
              <w:rPr>
                <w:color w:val="auto"/>
                <w:sz w:val="24"/>
                <w:szCs w:val="24"/>
                <w:highlight w:val="none"/>
              </w:rPr>
            </w:pPr>
            <w:r>
              <w:rPr>
                <w:rFonts w:hint="eastAsia"/>
                <w:color w:val="auto"/>
                <w:sz w:val="24"/>
                <w:szCs w:val="24"/>
                <w:highlight w:val="none"/>
              </w:rPr>
              <w:t>是否被列入失信被执行人、重大税收违法案件当事人名单、政府采购严重违法失信行为记录名单的情形。</w:t>
            </w:r>
          </w:p>
        </w:tc>
        <w:tc>
          <w:tcPr>
            <w:tcW w:w="2242" w:type="pct"/>
            <w:gridSpan w:val="2"/>
            <w:tcBorders>
              <w:top w:val="dotted" w:color="auto" w:sz="4" w:space="0"/>
              <w:left w:val="dotted" w:color="auto" w:sz="4" w:space="0"/>
              <w:right w:val="single" w:color="auto" w:sz="4" w:space="0"/>
            </w:tcBorders>
            <w:noWrap w:val="0"/>
            <w:vAlign w:val="top"/>
          </w:tcPr>
          <w:p>
            <w:pPr>
              <w:spacing w:line="260" w:lineRule="exac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trPr>
        <w:tc>
          <w:tcPr>
            <w:tcW w:w="1029" w:type="pct"/>
            <w:gridSpan w:val="2"/>
            <w:tcBorders>
              <w:top w:val="dotted" w:color="auto" w:sz="4" w:space="0"/>
              <w:left w:val="single" w:color="auto" w:sz="4" w:space="0"/>
              <w:bottom w:val="single" w:color="auto" w:sz="4" w:space="0"/>
              <w:right w:val="dotted" w:color="auto" w:sz="4" w:space="0"/>
            </w:tcBorders>
            <w:noWrap w:val="0"/>
            <w:vAlign w:val="center"/>
          </w:tcPr>
          <w:p>
            <w:pPr>
              <w:spacing w:before="100" w:beforeAutospacing="1" w:after="100" w:afterAutospacing="1" w:line="260" w:lineRule="exact"/>
              <w:jc w:val="center"/>
              <w:rPr>
                <w:rFonts w:hint="eastAsia"/>
                <w:color w:val="auto"/>
                <w:sz w:val="24"/>
                <w:szCs w:val="24"/>
                <w:highlight w:val="none"/>
              </w:rPr>
            </w:pPr>
            <w:r>
              <w:rPr>
                <w:color w:val="auto"/>
                <w:sz w:val="24"/>
                <w:szCs w:val="24"/>
                <w:highlight w:val="none"/>
              </w:rPr>
              <w:t>投标</w:t>
            </w:r>
            <w:r>
              <w:rPr>
                <w:rFonts w:hint="eastAsia"/>
                <w:color w:val="auto"/>
                <w:sz w:val="24"/>
                <w:szCs w:val="24"/>
                <w:highlight w:val="none"/>
              </w:rPr>
              <w:t>供应商</w:t>
            </w:r>
          </w:p>
          <w:p>
            <w:pPr>
              <w:spacing w:before="100" w:beforeAutospacing="1" w:after="100" w:afterAutospacing="1" w:line="260" w:lineRule="exact"/>
              <w:jc w:val="center"/>
              <w:rPr>
                <w:rFonts w:ascii="宋体" w:hAnsi="宋体"/>
                <w:color w:val="auto"/>
                <w:sz w:val="24"/>
                <w:szCs w:val="24"/>
                <w:highlight w:val="none"/>
              </w:rPr>
            </w:pPr>
            <w:r>
              <w:rPr>
                <w:color w:val="auto"/>
                <w:sz w:val="24"/>
                <w:szCs w:val="24"/>
                <w:highlight w:val="none"/>
              </w:rPr>
              <w:t xml:space="preserve"> 声 明 </w:t>
            </w:r>
          </w:p>
        </w:tc>
        <w:tc>
          <w:tcPr>
            <w:tcW w:w="3970" w:type="pct"/>
            <w:gridSpan w:val="4"/>
            <w:tcBorders>
              <w:top w:val="dotted" w:color="auto" w:sz="4" w:space="0"/>
              <w:left w:val="dotted" w:color="auto" w:sz="4" w:space="0"/>
              <w:bottom w:val="single" w:color="auto" w:sz="4" w:space="0"/>
              <w:right w:val="single" w:color="auto" w:sz="4" w:space="0"/>
            </w:tcBorders>
            <w:noWrap w:val="0"/>
            <w:vAlign w:val="top"/>
          </w:tcPr>
          <w:p>
            <w:pPr>
              <w:pStyle w:val="3"/>
              <w:spacing w:line="260" w:lineRule="exact"/>
              <w:ind w:firstLine="470" w:firstLineChars="196"/>
              <w:rPr>
                <w:color w:val="auto"/>
                <w:sz w:val="24"/>
                <w:szCs w:val="24"/>
                <w:highlight w:val="none"/>
              </w:rPr>
            </w:pPr>
            <w:r>
              <w:rPr>
                <w:rFonts w:hint="eastAsia"/>
                <w:color w:val="auto"/>
                <w:sz w:val="24"/>
                <w:szCs w:val="24"/>
                <w:highlight w:val="none"/>
              </w:rPr>
              <w:t>以上内容是本企业市场行为信誉（信用）的真实反映，如有不实，愿取消本项目投标资格。</w:t>
            </w:r>
          </w:p>
          <w:p>
            <w:pPr>
              <w:spacing w:before="100" w:beforeAutospacing="1" w:after="100" w:afterAutospacing="1" w:line="260" w:lineRule="exact"/>
              <w:jc w:val="center"/>
              <w:rPr>
                <w:color w:val="auto"/>
                <w:sz w:val="24"/>
                <w:szCs w:val="24"/>
                <w:highlight w:val="none"/>
              </w:rPr>
            </w:pPr>
            <w:r>
              <w:rPr>
                <w:color w:val="auto"/>
                <w:sz w:val="24"/>
                <w:szCs w:val="24"/>
                <w:highlight w:val="none"/>
              </w:rPr>
              <w:t xml:space="preserve"> (单位公章) </w:t>
            </w:r>
          </w:p>
          <w:p>
            <w:pPr>
              <w:spacing w:before="100" w:beforeAutospacing="1" w:after="100" w:afterAutospacing="1" w:line="260" w:lineRule="exact"/>
              <w:jc w:val="center"/>
              <w:rPr>
                <w:rFonts w:ascii="宋体" w:hAnsi="宋体"/>
                <w:color w:val="auto"/>
                <w:sz w:val="24"/>
                <w:szCs w:val="24"/>
                <w:highlight w:val="none"/>
              </w:rPr>
            </w:pPr>
            <w:r>
              <w:rPr>
                <w:rFonts w:hint="eastAsia"/>
                <w:color w:val="auto"/>
                <w:sz w:val="24"/>
                <w:szCs w:val="24"/>
                <w:highlight w:val="none"/>
              </w:rPr>
              <w:t xml:space="preserve">               </w:t>
            </w:r>
            <w:r>
              <w:rPr>
                <w:color w:val="auto"/>
                <w:sz w:val="24"/>
                <w:szCs w:val="24"/>
                <w:highlight w:val="none"/>
              </w:rPr>
              <w:t xml:space="preserve">日 期： </w:t>
            </w:r>
            <w:r>
              <w:rPr>
                <w:rFonts w:hint="eastAsia"/>
                <w:color w:val="auto"/>
                <w:sz w:val="24"/>
                <w:szCs w:val="24"/>
                <w:highlight w:val="none"/>
              </w:rPr>
              <w:t xml:space="preserve">   </w:t>
            </w:r>
            <w:r>
              <w:rPr>
                <w:color w:val="auto"/>
                <w:sz w:val="24"/>
                <w:szCs w:val="24"/>
                <w:highlight w:val="none"/>
              </w:rPr>
              <w:t xml:space="preserve">年 </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 xml:space="preserve"> 日 </w:t>
            </w:r>
          </w:p>
        </w:tc>
      </w:tr>
    </w:tbl>
    <w:p>
      <w:pPr>
        <w:rPr>
          <w:rFonts w:cs="Times New Roman"/>
          <w:b/>
          <w:bCs/>
          <w:sz w:val="21"/>
          <w:szCs w:val="21"/>
          <w:highlight w:val="none"/>
        </w:rPr>
      </w:pPr>
      <w:r>
        <w:rPr>
          <w:rFonts w:hint="eastAsia"/>
          <w:b/>
          <w:bCs/>
          <w:sz w:val="21"/>
          <w:szCs w:val="21"/>
          <w:highlight w:val="none"/>
        </w:rPr>
        <w:t>注：</w:t>
      </w:r>
      <w:r>
        <w:rPr>
          <w:b/>
          <w:bCs/>
          <w:sz w:val="21"/>
          <w:szCs w:val="21"/>
          <w:highlight w:val="none"/>
        </w:rPr>
        <w:t>1</w:t>
      </w:r>
      <w:r>
        <w:rPr>
          <w:rFonts w:hint="eastAsia"/>
          <w:b/>
          <w:bCs/>
          <w:sz w:val="21"/>
          <w:szCs w:val="21"/>
          <w:highlight w:val="none"/>
        </w:rPr>
        <w:t>、本表格内容须如实填写，记录日期以记录处罚日期为准；</w:t>
      </w:r>
    </w:p>
    <w:p>
      <w:pPr>
        <w:ind w:firstLine="422" w:firstLineChars="200"/>
        <w:rPr>
          <w:rFonts w:cs="Times New Roman"/>
          <w:b/>
          <w:bCs/>
          <w:sz w:val="21"/>
          <w:szCs w:val="21"/>
          <w:highlight w:val="none"/>
        </w:rPr>
      </w:pPr>
      <w:r>
        <w:rPr>
          <w:b/>
          <w:bCs/>
          <w:sz w:val="21"/>
          <w:szCs w:val="21"/>
          <w:highlight w:val="none"/>
        </w:rPr>
        <w:t>2</w:t>
      </w:r>
      <w:r>
        <w:rPr>
          <w:rFonts w:hint="eastAsia"/>
          <w:b/>
          <w:bCs/>
          <w:sz w:val="21"/>
          <w:szCs w:val="21"/>
          <w:highlight w:val="none"/>
        </w:rPr>
        <w:t>、本表格可一式二份，商务标中有一份，另一份可在资格审查文件中递交；</w:t>
      </w:r>
    </w:p>
    <w:p>
      <w:pPr>
        <w:ind w:firstLine="422" w:firstLineChars="200"/>
        <w:rPr>
          <w:rFonts w:cs="Times New Roman"/>
          <w:b/>
          <w:bCs/>
          <w:sz w:val="21"/>
          <w:szCs w:val="21"/>
          <w:highlight w:val="none"/>
        </w:rPr>
      </w:pPr>
      <w:r>
        <w:rPr>
          <w:b/>
          <w:bCs/>
          <w:sz w:val="21"/>
          <w:szCs w:val="21"/>
          <w:highlight w:val="none"/>
        </w:rPr>
        <w:t>3</w:t>
      </w:r>
      <w:r>
        <w:rPr>
          <w:rFonts w:hint="eastAsia"/>
          <w:b/>
          <w:bCs/>
          <w:sz w:val="21"/>
          <w:szCs w:val="21"/>
          <w:highlight w:val="none"/>
        </w:rPr>
        <w:t>、本表格由供应商自己填写，若无表中所列情况，则在相应栏中写“无“，若有，须按具体次数分别说明（包括处罚时间、事由、处罚主体等）；</w:t>
      </w:r>
    </w:p>
    <w:p>
      <w:pPr>
        <w:ind w:firstLine="435"/>
        <w:rPr>
          <w:rFonts w:cs="Times New Roman"/>
          <w:b/>
          <w:bCs/>
          <w:sz w:val="21"/>
          <w:szCs w:val="21"/>
          <w:highlight w:val="none"/>
        </w:rPr>
      </w:pPr>
      <w:r>
        <w:rPr>
          <w:b/>
          <w:bCs/>
          <w:sz w:val="21"/>
          <w:szCs w:val="21"/>
          <w:highlight w:val="none"/>
        </w:rPr>
        <w:t>4</w:t>
      </w:r>
      <w:r>
        <w:rPr>
          <w:rFonts w:hint="eastAsia"/>
          <w:b/>
          <w:bCs/>
          <w:sz w:val="21"/>
          <w:szCs w:val="21"/>
          <w:highlight w:val="none"/>
        </w:rPr>
        <w:t>、联合体成员存在不良信用记录的，视同联合体存在不良信用记录；</w:t>
      </w:r>
    </w:p>
    <w:p>
      <w:pPr>
        <w:ind w:firstLine="422" w:firstLineChars="200"/>
        <w:rPr>
          <w:rFonts w:cs="Times New Roman"/>
          <w:b/>
          <w:bCs/>
          <w:sz w:val="21"/>
          <w:szCs w:val="21"/>
          <w:highlight w:val="none"/>
        </w:rPr>
      </w:pPr>
      <w:r>
        <w:rPr>
          <w:b/>
          <w:bCs/>
          <w:sz w:val="21"/>
          <w:szCs w:val="21"/>
          <w:highlight w:val="none"/>
        </w:rPr>
        <w:t>5</w:t>
      </w:r>
      <w:r>
        <w:rPr>
          <w:rFonts w:hint="eastAsia"/>
          <w:b/>
          <w:bCs/>
          <w:sz w:val="21"/>
          <w:szCs w:val="21"/>
          <w:highlight w:val="none"/>
        </w:rPr>
        <w:t>、本表格格式不得随意变更且内容填写完整，否则将可能导致投标（响应）文件无效。</w:t>
      </w:r>
    </w:p>
    <w:p>
      <w:pPr>
        <w:spacing w:line="360" w:lineRule="auto"/>
        <w:ind w:firstLine="482" w:firstLineChars="200"/>
        <w:rPr>
          <w:rFonts w:hint="eastAsia" w:ascii="宋体" w:hAnsi="宋体" w:cs="宋体"/>
          <w:b/>
          <w:bCs/>
          <w:sz w:val="24"/>
          <w:lang w:eastAsia="zh-CN"/>
        </w:rPr>
      </w:pPr>
    </w:p>
    <w:p>
      <w:pPr>
        <w:ind w:firstLine="3614" w:firstLineChars="1500"/>
        <w:rPr>
          <w:rFonts w:hint="eastAsia" w:ascii="宋体" w:hAnsi="宋体" w:cs="宋体"/>
          <w:b/>
          <w:bCs/>
          <w:sz w:val="24"/>
          <w:lang w:eastAsia="zh-CN"/>
        </w:rPr>
      </w:pPr>
      <w:r>
        <w:rPr>
          <w:rFonts w:hint="eastAsia" w:ascii="宋体" w:hAnsi="宋体" w:cs="宋体"/>
          <w:b/>
          <w:bCs/>
          <w:sz w:val="24"/>
          <w:lang w:val="en-US" w:eastAsia="zh-CN"/>
        </w:rPr>
        <w:t>十二、</w:t>
      </w:r>
      <w:r>
        <w:rPr>
          <w:rFonts w:hint="eastAsia" w:ascii="宋体" w:hAnsi="宋体" w:cs="宋体"/>
          <w:b/>
          <w:bCs/>
          <w:sz w:val="24"/>
          <w:lang w:eastAsia="zh-CN"/>
        </w:rPr>
        <w:t>商务响应表；</w:t>
      </w:r>
    </w:p>
    <w:p>
      <w:pPr>
        <w:snapToGrid w:val="0"/>
        <w:spacing w:line="360" w:lineRule="auto"/>
        <w:jc w:val="center"/>
        <w:rPr>
          <w:rFonts w:hint="eastAsia" w:ascii="宋体" w:hAnsi="宋体"/>
          <w:b/>
          <w:bCs/>
          <w:sz w:val="24"/>
        </w:rPr>
      </w:pPr>
    </w:p>
    <w:p>
      <w:pPr>
        <w:snapToGrid w:val="0"/>
        <w:spacing w:before="50" w:line="360" w:lineRule="auto"/>
        <w:jc w:val="left"/>
        <w:rPr>
          <w:rFonts w:ascii="宋体" w:hAnsi="宋体"/>
          <w:sz w:val="24"/>
          <w:u w:val="single"/>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sz w:val="24"/>
          <w:u w:val="single"/>
        </w:rPr>
        <w:t xml:space="preserve">                     </w:t>
      </w:r>
    </w:p>
    <w:p>
      <w:pPr>
        <w:pStyle w:val="14"/>
        <w:spacing w:line="360" w:lineRule="auto"/>
      </w:pPr>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9"/>
        <w:gridCol w:w="4662"/>
        <w:gridCol w:w="1217"/>
        <w:gridCol w:w="1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项目</w:t>
            </w:r>
          </w:p>
        </w:tc>
        <w:tc>
          <w:tcPr>
            <w:tcW w:w="4662"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采购文件要求</w:t>
            </w: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jc w:val="center"/>
              <w:rPr>
                <w:rFonts w:ascii="宋体" w:hAnsi="宋体"/>
                <w:sz w:val="24"/>
                <w:szCs w:val="20"/>
              </w:rPr>
            </w:pPr>
            <w:r>
              <w:rPr>
                <w:rFonts w:hint="eastAsia" w:ascii="宋体" w:hAnsi="宋体"/>
                <w:sz w:val="24"/>
              </w:rPr>
              <w:t>是否响应</w:t>
            </w: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jc w:val="center"/>
              <w:rPr>
                <w:rFonts w:ascii="宋体" w:hAnsi="宋体"/>
                <w:sz w:val="24"/>
                <w:szCs w:val="20"/>
              </w:rPr>
            </w:pPr>
            <w:r>
              <w:rPr>
                <w:rFonts w:hint="eastAsia" w:ascii="宋体" w:hAnsi="宋体"/>
                <w:sz w:val="24"/>
              </w:rPr>
              <w:t>投标供应商的承诺或说明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rPr>
            </w:pPr>
            <w:r>
              <w:rPr>
                <w:rFonts w:hint="eastAsia" w:ascii="宋体" w:hAnsi="宋体"/>
                <w:sz w:val="24"/>
                <w:lang w:eastAsia="zh-CN"/>
              </w:rPr>
              <w:t>服务期</w:t>
            </w:r>
          </w:p>
        </w:tc>
        <w:tc>
          <w:tcPr>
            <w:tcW w:w="46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付款条件</w:t>
            </w:r>
          </w:p>
        </w:tc>
        <w:tc>
          <w:tcPr>
            <w:tcW w:w="466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sz w:val="24"/>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其他</w:t>
            </w:r>
          </w:p>
        </w:tc>
        <w:tc>
          <w:tcPr>
            <w:tcW w:w="4662"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w:t>
            </w:r>
          </w:p>
        </w:tc>
        <w:tc>
          <w:tcPr>
            <w:tcW w:w="4662"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bl>
    <w:p>
      <w:pPr>
        <w:pStyle w:val="14"/>
        <w:spacing w:line="360" w:lineRule="auto"/>
        <w:ind w:firstLine="0"/>
        <w:rPr>
          <w:rFonts w:hAnsi="宋体"/>
          <w:sz w:val="24"/>
          <w:szCs w:val="24"/>
        </w:rPr>
      </w:pPr>
      <w:r>
        <w:rPr>
          <w:rFonts w:hint="eastAsia" w:ascii="宋体" w:hAnsi="宋体" w:cs="宋体"/>
          <w:spacing w:val="20"/>
          <w:sz w:val="24"/>
        </w:rPr>
        <w:t>投标供应商（盖章）：</w:t>
      </w:r>
      <w:r>
        <w:rPr>
          <w:rFonts w:hint="eastAsia" w:ascii="宋体" w:hAnsi="宋体" w:cs="宋体"/>
          <w:spacing w:val="20"/>
          <w:sz w:val="24"/>
          <w:u w:val="single"/>
        </w:rPr>
        <w:t xml:space="preserve">            </w:t>
      </w:r>
    </w:p>
    <w:p>
      <w:pPr>
        <w:pStyle w:val="14"/>
        <w:spacing w:line="360" w:lineRule="auto"/>
        <w:ind w:firstLine="0"/>
        <w:rPr>
          <w:rFonts w:hAnsi="宋体" w:cs="宋体"/>
          <w:spacing w:val="20"/>
          <w:sz w:val="24"/>
          <w:u w:val="single"/>
        </w:rPr>
      </w:pPr>
      <w:r>
        <w:rPr>
          <w:rFonts w:hAnsi="宋体"/>
          <w:sz w:val="24"/>
          <w:szCs w:val="24"/>
        </w:rPr>
        <w:t>法定代表人或其授权代表（盖章）</w:t>
      </w:r>
      <w:r>
        <w:rPr>
          <w:rFonts w:hAnsi="宋体" w:cs="宋体"/>
          <w:spacing w:val="20"/>
          <w:sz w:val="24"/>
        </w:rPr>
        <w:t>：</w:t>
      </w:r>
      <w:r>
        <w:rPr>
          <w:rFonts w:hAnsi="宋体" w:cs="宋体"/>
          <w:spacing w:val="20"/>
          <w:sz w:val="24"/>
          <w:u w:val="single"/>
        </w:rPr>
        <w:t xml:space="preserve">            </w:t>
      </w:r>
    </w:p>
    <w:p>
      <w:pPr>
        <w:spacing w:line="360" w:lineRule="auto"/>
        <w:rPr>
          <w:rFonts w:ascii="宋体" w:hAnsi="宋体" w:cs="宋体"/>
          <w:spacing w:val="20"/>
          <w:sz w:val="24"/>
        </w:rPr>
      </w:pPr>
      <w:r>
        <w:rPr>
          <w:rFonts w:hint="eastAsia" w:ascii="宋体" w:hAnsi="宋体" w:cs="宋体"/>
          <w:spacing w:val="20"/>
          <w:sz w:val="24"/>
        </w:rPr>
        <w:t xml:space="preserve">          </w:t>
      </w:r>
    </w:p>
    <w:p>
      <w:pPr>
        <w:spacing w:line="360" w:lineRule="auto"/>
        <w:ind w:firstLine="5740" w:firstLineChars="2050"/>
        <w:rPr>
          <w:rFonts w:ascii="宋体" w:hAnsi="宋体" w:cs="宋体"/>
          <w:spacing w:val="20"/>
          <w:sz w:val="24"/>
        </w:rPr>
      </w:pPr>
      <w:r>
        <w:rPr>
          <w:rFonts w:hint="eastAsia" w:ascii="宋体" w:hAnsi="宋体" w:cs="宋体"/>
          <w:spacing w:val="20"/>
          <w:sz w:val="24"/>
        </w:rPr>
        <w:t xml:space="preserve">  年  月  日</w:t>
      </w:r>
    </w:p>
    <w:p>
      <w:pPr>
        <w:pStyle w:val="21"/>
        <w:rPr>
          <w:rFonts w:hint="eastAsia"/>
          <w:lang w:eastAsia="zh-CN"/>
        </w:rPr>
      </w:pPr>
    </w:p>
    <w:p>
      <w:pPr>
        <w:spacing w:line="360" w:lineRule="auto"/>
        <w:jc w:val="center"/>
        <w:rPr>
          <w:rFonts w:hint="eastAsia" w:ascii="宋体" w:hAnsi="宋体" w:cs="宋体"/>
          <w:b/>
          <w:bCs/>
          <w:sz w:val="24"/>
          <w:lang w:eastAsia="zh-CN"/>
        </w:rPr>
      </w:pPr>
      <w:r>
        <w:rPr>
          <w:rFonts w:hint="eastAsia" w:ascii="宋体" w:hAnsi="宋体" w:cs="宋体"/>
          <w:b/>
          <w:bCs/>
          <w:sz w:val="24"/>
          <w:lang w:eastAsia="zh-CN"/>
        </w:rPr>
        <w:t>十三、其他投标供应商认为有必要提供的资料</w:t>
      </w:r>
    </w:p>
    <w:p>
      <w:pPr>
        <w:pStyle w:val="21"/>
        <w:spacing w:line="360" w:lineRule="auto"/>
        <w:jc w:val="center"/>
        <w:rPr>
          <w:rFonts w:hint="eastAsia" w:ascii="宋体" w:hAnsi="宋体" w:cs="宋体"/>
          <w:b/>
          <w:bCs/>
          <w:sz w:val="24"/>
          <w:lang w:eastAsia="zh-CN"/>
        </w:rPr>
      </w:pPr>
    </w:p>
    <w:p>
      <w:pPr>
        <w:pStyle w:val="21"/>
        <w:spacing w:line="360" w:lineRule="auto"/>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rPr>
          <w:rFonts w:hint="eastAsia" w:ascii="宋体" w:hAnsi="宋体" w:cs="宋体"/>
          <w:b/>
          <w:bCs/>
          <w:sz w:val="24"/>
          <w:lang w:eastAsia="zh-CN"/>
        </w:rPr>
      </w:pPr>
      <w:r>
        <w:rPr>
          <w:rFonts w:hint="eastAsia" w:ascii="宋体" w:hAnsi="宋体" w:cs="宋体"/>
          <w:b/>
          <w:bCs/>
          <w:sz w:val="24"/>
          <w:lang w:eastAsia="zh-CN"/>
        </w:rPr>
        <w:br w:type="page"/>
      </w:r>
    </w:p>
    <w:p>
      <w:pPr>
        <w:rPr>
          <w:rFonts w:hint="eastAsia"/>
          <w:lang w:eastAsia="zh-CN"/>
        </w:rPr>
      </w:pPr>
    </w:p>
    <w:p/>
    <w:p>
      <w:pPr>
        <w:numPr>
          <w:ilvl w:val="0"/>
          <w:numId w:val="8"/>
        </w:numPr>
        <w:spacing w:line="760" w:lineRule="exact"/>
        <w:rPr>
          <w:rFonts w:ascii="宋体" w:hAnsi="宋体" w:cs="宋体"/>
          <w:b/>
          <w:sz w:val="24"/>
        </w:rPr>
      </w:pPr>
      <w:r>
        <w:rPr>
          <w:rFonts w:hint="eastAsia" w:ascii="宋体" w:hAnsi="宋体" w:cs="宋体"/>
          <w:b/>
          <w:sz w:val="24"/>
        </w:rPr>
        <w:t>报价文件格式：</w:t>
      </w:r>
    </w:p>
    <w:p>
      <w:pPr>
        <w:pStyle w:val="3"/>
        <w:ind w:firstLine="0"/>
      </w:pPr>
    </w:p>
    <w:p>
      <w:pPr>
        <w:pStyle w:val="3"/>
        <w:ind w:firstLine="0"/>
      </w:pPr>
    </w:p>
    <w:p>
      <w:pPr>
        <w:snapToGrid w:val="0"/>
        <w:spacing w:beforeLines="50" w:after="50"/>
        <w:jc w:val="right"/>
        <w:rPr>
          <w:rFonts w:ascii="宋体" w:hAnsi="宋体" w:cs="宋体"/>
          <w:bCs/>
          <w:sz w:val="24"/>
          <w:szCs w:val="20"/>
        </w:rPr>
      </w:pPr>
      <w:r>
        <w:rPr>
          <w:rFonts w:hint="eastAsia" w:ascii="宋体" w:hAnsi="宋体" w:cs="宋体"/>
          <w:b/>
          <w:sz w:val="24"/>
          <w:szCs w:val="20"/>
        </w:rPr>
        <w:t>正本/或副本</w:t>
      </w: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szCs w:val="20"/>
        </w:rPr>
      </w:pPr>
      <w:r>
        <w:rPr>
          <w:rFonts w:hint="eastAsia" w:ascii="宋体" w:hAnsi="宋体" w:cs="宋体"/>
          <w:bCs/>
          <w:sz w:val="24"/>
        </w:rPr>
        <w:t>报价文件</w:t>
      </w:r>
    </w:p>
    <w:p>
      <w:pPr>
        <w:snapToGrid w:val="0"/>
        <w:spacing w:beforeLines="50" w:after="50"/>
        <w:rPr>
          <w:rFonts w:ascii="宋体" w:hAnsi="宋体" w:cs="宋体"/>
          <w:bCs/>
          <w:sz w:val="24"/>
          <w:szCs w:val="20"/>
        </w:rPr>
      </w:pPr>
    </w:p>
    <w:p>
      <w:pPr>
        <w:snapToGrid w:val="0"/>
        <w:spacing w:beforeLines="50" w:after="50"/>
        <w:ind w:firstLine="1068" w:firstLineChars="445"/>
        <w:rPr>
          <w:rFonts w:ascii="宋体" w:hAnsi="宋体" w:cs="宋体"/>
          <w:bCs/>
          <w:sz w:val="24"/>
        </w:rPr>
      </w:pPr>
      <w:r>
        <w:rPr>
          <w:rFonts w:hint="eastAsia" w:ascii="宋体" w:hAnsi="宋体" w:cs="宋体"/>
          <w:bCs/>
          <w:sz w:val="24"/>
        </w:rPr>
        <w:t>项目名称：</w:t>
      </w:r>
    </w:p>
    <w:p>
      <w:pPr>
        <w:snapToGrid w:val="0"/>
        <w:spacing w:beforeLines="50" w:after="50"/>
        <w:ind w:firstLine="1068" w:firstLineChars="445"/>
        <w:rPr>
          <w:rFonts w:ascii="宋体" w:hAnsi="宋体" w:cs="宋体"/>
          <w:bCs/>
          <w:sz w:val="24"/>
        </w:rPr>
      </w:pPr>
      <w:r>
        <w:rPr>
          <w:rFonts w:hint="eastAsia" w:ascii="宋体" w:hAnsi="宋体" w:cs="宋体"/>
          <w:bCs/>
          <w:sz w:val="24"/>
        </w:rPr>
        <w:t>项目编号：</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投标人名称：</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投标人地址：</w:t>
      </w:r>
    </w:p>
    <w:p>
      <w:pPr>
        <w:snapToGrid w:val="0"/>
        <w:spacing w:beforeLines="50" w:after="50"/>
        <w:ind w:firstLine="1068" w:firstLineChars="445"/>
        <w:rPr>
          <w:rFonts w:ascii="宋体" w:hAnsi="宋体" w:cs="宋体"/>
          <w:bCs/>
          <w:sz w:val="24"/>
        </w:rPr>
      </w:pPr>
      <w:r>
        <w:rPr>
          <w:rFonts w:hint="eastAsia" w:ascii="宋体" w:hAnsi="宋体" w:cs="宋体"/>
          <w:bCs/>
          <w:sz w:val="24"/>
        </w:rPr>
        <w:t>在  年  月  日  时  分之前不得启封</w:t>
      </w:r>
    </w:p>
    <w:p>
      <w:pPr>
        <w:snapToGrid w:val="0"/>
        <w:spacing w:beforeLines="50" w:after="50"/>
        <w:ind w:firstLine="4080" w:firstLineChars="1700"/>
        <w:rPr>
          <w:rFonts w:ascii="宋体" w:hAnsi="宋体" w:cs="宋体"/>
          <w:bCs/>
          <w:sz w:val="24"/>
          <w:szCs w:val="20"/>
        </w:rPr>
      </w:pPr>
    </w:p>
    <w:p>
      <w:pPr>
        <w:snapToGrid w:val="0"/>
        <w:spacing w:beforeLines="50" w:after="50"/>
        <w:ind w:firstLine="645"/>
        <w:jc w:val="right"/>
        <w:rPr>
          <w:rFonts w:ascii="宋体" w:hAnsi="宋体" w:cs="宋体"/>
          <w:bCs/>
          <w:sz w:val="24"/>
          <w:szCs w:val="20"/>
        </w:rPr>
      </w:pPr>
      <w:r>
        <w:rPr>
          <w:rFonts w:hint="eastAsia" w:ascii="宋体" w:hAnsi="宋体" w:cs="宋体"/>
          <w:bCs/>
          <w:sz w:val="24"/>
        </w:rPr>
        <w:t>年  月  日</w:t>
      </w:r>
    </w:p>
    <w:p>
      <w:pPr>
        <w:snapToGrid w:val="0"/>
        <w:spacing w:before="50" w:afterLines="50"/>
        <w:rPr>
          <w:rFonts w:ascii="宋体" w:hAnsi="宋体" w:cs="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snapToGrid w:val="0"/>
        <w:spacing w:line="360" w:lineRule="auto"/>
        <w:jc w:val="left"/>
        <w:rPr>
          <w:rFonts w:ascii="宋体" w:hAnsi="宋体"/>
          <w:sz w:val="24"/>
        </w:rPr>
      </w:pPr>
      <w:r>
        <w:rPr>
          <w:rFonts w:ascii="宋体" w:hAnsi="宋体"/>
          <w:b/>
          <w:sz w:val="24"/>
        </w:rPr>
        <w:t>报价文件</w:t>
      </w:r>
      <w:r>
        <w:rPr>
          <w:rFonts w:hint="eastAsia" w:ascii="宋体" w:hAnsi="宋体"/>
          <w:b/>
          <w:sz w:val="24"/>
        </w:rPr>
        <w:t>目录</w:t>
      </w:r>
    </w:p>
    <w:p>
      <w:pPr>
        <w:tabs>
          <w:tab w:val="left" w:pos="720"/>
        </w:tabs>
        <w:spacing w:line="360" w:lineRule="auto"/>
        <w:ind w:firstLine="480" w:firstLineChars="200"/>
        <w:rPr>
          <w:rFonts w:ascii="宋体" w:hAnsi="宋体"/>
          <w:sz w:val="24"/>
        </w:rPr>
      </w:pPr>
      <w:r>
        <w:rPr>
          <w:rFonts w:hint="eastAsia" w:ascii="宋体" w:hAnsi="宋体"/>
          <w:sz w:val="24"/>
        </w:rPr>
        <w:t>（1) 投标函；</w:t>
      </w:r>
    </w:p>
    <w:p>
      <w:pPr>
        <w:tabs>
          <w:tab w:val="left" w:pos="720"/>
        </w:tabs>
        <w:spacing w:line="360" w:lineRule="auto"/>
        <w:ind w:firstLine="480" w:firstLineChars="200"/>
        <w:rPr>
          <w:rFonts w:ascii="宋体" w:hAnsi="宋体"/>
          <w:sz w:val="24"/>
        </w:rPr>
      </w:pPr>
      <w:r>
        <w:rPr>
          <w:rFonts w:hint="eastAsia" w:ascii="宋体" w:hAnsi="宋体"/>
          <w:sz w:val="24"/>
        </w:rPr>
        <w:t>（2) 开标一览表（格式见附件）；</w:t>
      </w:r>
    </w:p>
    <w:p>
      <w:pPr>
        <w:tabs>
          <w:tab w:val="left" w:pos="720"/>
          <w:tab w:val="center" w:pos="4434"/>
        </w:tabs>
        <w:spacing w:line="360" w:lineRule="auto"/>
        <w:ind w:firstLine="480" w:firstLineChars="200"/>
        <w:rPr>
          <w:rFonts w:ascii="宋体" w:hAnsi="宋体"/>
          <w:sz w:val="24"/>
        </w:rPr>
      </w:pPr>
      <w:r>
        <w:rPr>
          <w:rFonts w:hint="eastAsia" w:ascii="宋体" w:hAnsi="宋体"/>
          <w:sz w:val="24"/>
        </w:rPr>
        <w:t>（3）报价明细表（格式见附件）；</w:t>
      </w:r>
      <w:r>
        <w:rPr>
          <w:rFonts w:hint="eastAsia" w:ascii="宋体" w:hAnsi="宋体"/>
          <w:sz w:val="24"/>
        </w:rPr>
        <w:tab/>
      </w:r>
    </w:p>
    <w:p>
      <w:pPr>
        <w:snapToGrid w:val="0"/>
        <w:spacing w:line="360" w:lineRule="auto"/>
        <w:ind w:firstLine="480" w:firstLineChars="200"/>
        <w:jc w:val="left"/>
        <w:rPr>
          <w:rFonts w:ascii="宋体" w:hAnsi="宋体"/>
          <w:sz w:val="24"/>
        </w:rPr>
      </w:pPr>
      <w:r>
        <w:rPr>
          <w:rFonts w:hint="eastAsia" w:ascii="宋体" w:hAnsi="宋体"/>
          <w:sz w:val="24"/>
        </w:rPr>
        <w:t>（4）政策分相关证明资料；</w:t>
      </w:r>
    </w:p>
    <w:p>
      <w:pPr>
        <w:snapToGrid w:val="0"/>
        <w:spacing w:line="360" w:lineRule="auto"/>
        <w:ind w:firstLine="600" w:firstLineChars="250"/>
        <w:jc w:val="left"/>
        <w:rPr>
          <w:rFonts w:ascii="宋体" w:hAnsi="宋体"/>
          <w:sz w:val="24"/>
        </w:rPr>
      </w:pPr>
      <w:r>
        <w:rPr>
          <w:rFonts w:hint="eastAsia" w:ascii="宋体" w:hAnsi="宋体"/>
          <w:sz w:val="24"/>
        </w:rPr>
        <w:t>4.1小微企业声明函、网页证明资料（若有，格式见附件）；</w:t>
      </w:r>
    </w:p>
    <w:p>
      <w:pPr>
        <w:snapToGrid w:val="0"/>
        <w:spacing w:line="360" w:lineRule="auto"/>
        <w:ind w:firstLine="600" w:firstLineChars="250"/>
        <w:jc w:val="left"/>
        <w:rPr>
          <w:rFonts w:ascii="宋体" w:hAnsi="宋体"/>
          <w:sz w:val="24"/>
        </w:rPr>
      </w:pPr>
      <w:r>
        <w:rPr>
          <w:rFonts w:hint="eastAsia" w:ascii="宋体" w:hAnsi="宋体"/>
          <w:sz w:val="24"/>
        </w:rPr>
        <w:t>4.2残疾人福利企业声明函（若有，格式见附件）；</w:t>
      </w:r>
    </w:p>
    <w:p>
      <w:pPr>
        <w:snapToGrid w:val="0"/>
        <w:spacing w:line="360" w:lineRule="auto"/>
        <w:ind w:firstLine="600" w:firstLineChars="250"/>
        <w:jc w:val="left"/>
        <w:rPr>
          <w:rFonts w:ascii="宋体" w:hAnsi="宋体"/>
          <w:sz w:val="24"/>
        </w:rPr>
      </w:pPr>
      <w:r>
        <w:rPr>
          <w:rFonts w:hint="eastAsia" w:ascii="宋体" w:hAnsi="宋体"/>
          <w:sz w:val="24"/>
        </w:rPr>
        <w:t>4.3监狱企业声明函（若有，格式见附件）；</w:t>
      </w:r>
    </w:p>
    <w:p>
      <w:pPr>
        <w:snapToGrid w:val="0"/>
        <w:spacing w:line="360" w:lineRule="auto"/>
        <w:ind w:firstLine="480" w:firstLineChars="200"/>
        <w:jc w:val="left"/>
      </w:pPr>
      <w:r>
        <w:rPr>
          <w:rFonts w:hint="eastAsia" w:ascii="宋体" w:hAnsi="宋体"/>
          <w:sz w:val="24"/>
        </w:rPr>
        <w:t>（5）招标代理服务费承诺函(格式见附件)；</w:t>
      </w:r>
    </w:p>
    <w:p>
      <w:pPr>
        <w:pStyle w:val="36"/>
        <w:spacing w:after="120" w:line="360" w:lineRule="auto"/>
        <w:ind w:firstLine="480" w:firstLineChars="200"/>
      </w:pPr>
      <w:r>
        <w:rPr>
          <w:rFonts w:hint="eastAsia"/>
        </w:rPr>
        <w:t>（6）其他投标供应商认为有必要提供的资料。</w:t>
      </w:r>
      <w:r>
        <w:tab/>
      </w:r>
    </w:p>
    <w:p>
      <w:pPr>
        <w:snapToGrid w:val="0"/>
        <w:spacing w:line="360" w:lineRule="auto"/>
        <w:rPr>
          <w:rFonts w:ascii="宋体" w:hAnsi="宋体"/>
          <w:b/>
          <w:sz w:val="24"/>
        </w:rPr>
      </w:pPr>
    </w:p>
    <w:p>
      <w:pPr>
        <w:pStyle w:val="21"/>
        <w:ind w:firstLine="240"/>
        <w:rPr>
          <w:sz w:val="24"/>
        </w:rPr>
      </w:pPr>
    </w:p>
    <w:p>
      <w:pPr>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21"/>
        <w:ind w:firstLine="0" w:firstLineChars="0"/>
        <w:rPr>
          <w:sz w:val="24"/>
        </w:rPr>
      </w:pPr>
    </w:p>
    <w:p>
      <w:pPr>
        <w:snapToGrid w:val="0"/>
        <w:spacing w:line="460" w:lineRule="exact"/>
        <w:jc w:val="center"/>
        <w:rPr>
          <w:rFonts w:ascii="宋体" w:hAnsi="宋体" w:cs="宋体"/>
          <w:b/>
          <w:sz w:val="24"/>
        </w:rPr>
      </w:pPr>
      <w:r>
        <w:rPr>
          <w:rFonts w:hint="eastAsia" w:ascii="宋体" w:hAnsi="宋体" w:cs="宋体"/>
          <w:b/>
          <w:sz w:val="24"/>
        </w:rPr>
        <w:t>一、投标函</w:t>
      </w:r>
    </w:p>
    <w:p>
      <w:pPr>
        <w:snapToGrid w:val="0"/>
        <w:spacing w:line="460" w:lineRule="exact"/>
        <w:rPr>
          <w:rFonts w:ascii="宋体" w:hAnsi="宋体" w:cs="宋体"/>
          <w:sz w:val="24"/>
          <w:szCs w:val="20"/>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（采购人名称）：</w:t>
      </w:r>
    </w:p>
    <w:p>
      <w:pPr>
        <w:snapToGrid w:val="0"/>
        <w:spacing w:line="460" w:lineRule="exact"/>
        <w:ind w:firstLine="600" w:firstLineChars="250"/>
        <w:rPr>
          <w:rFonts w:ascii="宋体" w:hAnsi="宋体" w:cs="宋体"/>
          <w:sz w:val="24"/>
          <w:szCs w:val="20"/>
        </w:rPr>
      </w:pPr>
      <w:r>
        <w:rPr>
          <w:rFonts w:hint="eastAsia" w:ascii="宋体" w:hAnsi="宋体" w:cs="宋体"/>
          <w:sz w:val="24"/>
        </w:rPr>
        <w:t>根据贵方为</w:t>
      </w:r>
      <w:r>
        <w:rPr>
          <w:rFonts w:hint="eastAsia" w:ascii="宋体" w:hAnsi="宋体" w:cs="宋体"/>
          <w:sz w:val="24"/>
          <w:u w:val="single"/>
        </w:rPr>
        <w:t xml:space="preserve">                             </w:t>
      </w:r>
      <w:r>
        <w:rPr>
          <w:rFonts w:hint="eastAsia" w:ascii="宋体" w:hAnsi="宋体" w:cs="宋体"/>
          <w:sz w:val="24"/>
        </w:rPr>
        <w:t>项目的招标公告（项目编号：</w:t>
      </w:r>
      <w:r>
        <w:rPr>
          <w:rFonts w:hint="eastAsia" w:ascii="宋体" w:hAnsi="宋体" w:cs="宋体"/>
          <w:sz w:val="24"/>
          <w:u w:val="single"/>
        </w:rPr>
        <w:t xml:space="preserve">             </w:t>
      </w:r>
      <w:r>
        <w:rPr>
          <w:rFonts w:hint="eastAsia" w:ascii="宋体" w:hAnsi="宋体" w:cs="宋体"/>
          <w:sz w:val="24"/>
        </w:rPr>
        <w:t>），签字代表</w:t>
      </w:r>
      <w:r>
        <w:rPr>
          <w:rFonts w:hint="eastAsia" w:ascii="宋体" w:hAnsi="宋体" w:cs="宋体"/>
          <w:sz w:val="24"/>
          <w:u w:val="single"/>
        </w:rPr>
        <w:t xml:space="preserve">             </w:t>
      </w:r>
      <w:r>
        <w:rPr>
          <w:rFonts w:hint="eastAsia" w:ascii="宋体" w:hAnsi="宋体" w:cs="宋体"/>
          <w:sz w:val="24"/>
        </w:rPr>
        <w:t>（全名）经正式授权并代表供应商</w:t>
      </w:r>
      <w:r>
        <w:rPr>
          <w:rFonts w:hint="eastAsia" w:ascii="宋体" w:hAnsi="宋体" w:cs="宋体"/>
          <w:sz w:val="24"/>
          <w:u w:val="single"/>
        </w:rPr>
        <w:t xml:space="preserve">                             </w:t>
      </w:r>
      <w:r>
        <w:rPr>
          <w:rFonts w:hint="eastAsia" w:ascii="宋体" w:hAnsi="宋体" w:cs="宋体"/>
          <w:sz w:val="24"/>
        </w:rPr>
        <w:t>（供应商名称）提交资格文件、报价文件、技术文件、商务文件、资信及其他文件电子标书一份。</w:t>
      </w:r>
    </w:p>
    <w:p>
      <w:pPr>
        <w:snapToGrid w:val="0"/>
        <w:spacing w:line="460" w:lineRule="exact"/>
        <w:ind w:firstLine="480" w:firstLineChars="200"/>
        <w:rPr>
          <w:rFonts w:ascii="宋体" w:hAnsi="宋体" w:cs="宋体"/>
          <w:sz w:val="24"/>
          <w:szCs w:val="20"/>
        </w:rPr>
      </w:pPr>
      <w:r>
        <w:rPr>
          <w:rFonts w:hint="eastAsia" w:ascii="宋体" w:hAnsi="宋体" w:cs="宋体"/>
          <w:sz w:val="24"/>
        </w:rPr>
        <w:t>据此函，签字代表宣布同意如下：</w:t>
      </w:r>
    </w:p>
    <w:p>
      <w:pPr>
        <w:snapToGrid w:val="0"/>
        <w:spacing w:line="460" w:lineRule="exact"/>
        <w:ind w:firstLine="480" w:firstLineChars="200"/>
        <w:rPr>
          <w:rFonts w:ascii="宋体" w:hAnsi="宋体" w:cs="宋体"/>
          <w:sz w:val="24"/>
          <w:szCs w:val="20"/>
        </w:rPr>
      </w:pPr>
      <w:r>
        <w:rPr>
          <w:rFonts w:hint="eastAsia" w:ascii="宋体" w:hAnsi="宋体" w:cs="宋体"/>
          <w:sz w:val="24"/>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80" w:firstLineChars="200"/>
        <w:rPr>
          <w:rFonts w:ascii="宋体" w:hAnsi="宋体" w:cs="宋体"/>
          <w:sz w:val="24"/>
          <w:szCs w:val="20"/>
        </w:rPr>
      </w:pPr>
      <w:r>
        <w:rPr>
          <w:rFonts w:hint="eastAsia" w:ascii="宋体" w:hAnsi="宋体" w:cs="宋体"/>
          <w:sz w:val="24"/>
        </w:rPr>
        <w:t>2.供应商在竞标之前已经与贵方进行了充分的沟通，完全理解并接受招标文件的各项规定和要求，对招标文件的合理性、合法性不再有异议。</w:t>
      </w:r>
    </w:p>
    <w:p>
      <w:pPr>
        <w:snapToGrid w:val="0"/>
        <w:spacing w:line="460" w:lineRule="exact"/>
        <w:ind w:firstLine="480" w:firstLineChars="200"/>
        <w:rPr>
          <w:rFonts w:ascii="宋体" w:hAnsi="宋体" w:cs="宋体"/>
          <w:sz w:val="24"/>
          <w:szCs w:val="20"/>
        </w:rPr>
      </w:pPr>
      <w:r>
        <w:rPr>
          <w:rFonts w:hint="eastAsia" w:ascii="宋体" w:hAnsi="宋体" w:cs="宋体"/>
          <w:sz w:val="24"/>
        </w:rPr>
        <w:t>3.本投标有效期自投标日起</w:t>
      </w:r>
      <w:r>
        <w:rPr>
          <w:rFonts w:hint="eastAsia" w:ascii="宋体" w:hAnsi="宋体" w:cs="宋体"/>
          <w:sz w:val="24"/>
          <w:u w:val="single"/>
        </w:rPr>
        <w:t>60</w:t>
      </w:r>
      <w:r>
        <w:rPr>
          <w:rFonts w:hint="eastAsia" w:ascii="宋体" w:hAnsi="宋体" w:cs="宋体"/>
          <w:sz w:val="24"/>
        </w:rPr>
        <w:t>个日历天。</w:t>
      </w:r>
    </w:p>
    <w:p>
      <w:pPr>
        <w:snapToGrid w:val="0"/>
        <w:spacing w:line="460" w:lineRule="exact"/>
        <w:ind w:firstLine="480" w:firstLineChars="200"/>
        <w:rPr>
          <w:rFonts w:ascii="宋体" w:hAnsi="宋体" w:cs="宋体"/>
          <w:sz w:val="24"/>
          <w:szCs w:val="20"/>
        </w:rPr>
      </w:pPr>
      <w:r>
        <w:rPr>
          <w:rFonts w:hint="eastAsia" w:ascii="宋体" w:hAnsi="宋体" w:cs="宋体"/>
          <w:sz w:val="24"/>
        </w:rPr>
        <w:t>4.如成交，本投标文件至本项目合同履行完毕止均保持有效，本供应商将按“招标文件”及政府采购法律、法规的规定履行合同责任和义务。</w:t>
      </w:r>
    </w:p>
    <w:p>
      <w:pPr>
        <w:snapToGrid w:val="0"/>
        <w:spacing w:line="460" w:lineRule="exact"/>
        <w:ind w:firstLine="480" w:firstLineChars="200"/>
        <w:rPr>
          <w:rFonts w:ascii="宋体" w:hAnsi="宋体" w:cs="宋体"/>
          <w:sz w:val="24"/>
          <w:szCs w:val="20"/>
        </w:rPr>
      </w:pPr>
      <w:r>
        <w:rPr>
          <w:rFonts w:hint="eastAsia" w:ascii="宋体" w:hAnsi="宋体" w:cs="宋体"/>
          <w:sz w:val="24"/>
        </w:rPr>
        <w:t>5.供应商同意按照贵方要求提供与竞标有关的一切数据或资料。</w:t>
      </w:r>
    </w:p>
    <w:p>
      <w:pPr>
        <w:snapToGrid w:val="0"/>
        <w:spacing w:line="460" w:lineRule="exact"/>
        <w:ind w:firstLine="480" w:firstLineChars="200"/>
        <w:rPr>
          <w:rFonts w:ascii="宋体" w:hAnsi="宋体" w:cs="宋体"/>
          <w:sz w:val="24"/>
          <w:szCs w:val="20"/>
        </w:rPr>
      </w:pPr>
      <w:r>
        <w:rPr>
          <w:rFonts w:hint="eastAsia" w:ascii="宋体" w:hAnsi="宋体" w:cs="宋体"/>
          <w:sz w:val="24"/>
        </w:rPr>
        <w:t>6.与本竞标有关的一切正式往来信函请寄：</w:t>
      </w:r>
    </w:p>
    <w:p>
      <w:pPr>
        <w:snapToGrid w:val="0"/>
        <w:spacing w:line="560" w:lineRule="exact"/>
        <w:rPr>
          <w:rFonts w:ascii="宋体" w:hAnsi="宋体" w:cs="宋体"/>
          <w:sz w:val="24"/>
          <w:szCs w:val="20"/>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w:t>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 xml:space="preserve">            </w:t>
      </w:r>
    </w:p>
    <w:p>
      <w:pPr>
        <w:snapToGrid w:val="0"/>
        <w:spacing w:line="560" w:lineRule="exact"/>
        <w:rPr>
          <w:rFonts w:ascii="宋体" w:hAnsi="宋体" w:cs="宋体"/>
          <w:sz w:val="24"/>
          <w:szCs w:val="20"/>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供应商代表姓名：</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napToGrid w:val="0"/>
        <w:spacing w:line="560" w:lineRule="exact"/>
        <w:rPr>
          <w:rFonts w:ascii="宋体" w:hAnsi="宋体" w:cs="宋体"/>
          <w:sz w:val="24"/>
          <w:u w:val="single"/>
        </w:rPr>
      </w:pPr>
      <w:r>
        <w:rPr>
          <w:rFonts w:hint="eastAsia" w:ascii="宋体" w:hAnsi="宋体"/>
          <w:sz w:val="24"/>
        </w:rPr>
        <w:t>投标供应商</w:t>
      </w:r>
      <w:r>
        <w:rPr>
          <w:rFonts w:hint="eastAsia" w:ascii="宋体" w:hAnsi="宋体" w:cs="宋体"/>
          <w:sz w:val="24"/>
        </w:rPr>
        <w:t>(公章):</w:t>
      </w:r>
      <w:r>
        <w:rPr>
          <w:rFonts w:hint="eastAsia" w:ascii="宋体" w:hAnsi="宋体" w:cs="宋体"/>
          <w:sz w:val="24"/>
          <w:u w:val="single"/>
        </w:rPr>
        <w:t xml:space="preserve">            </w:t>
      </w:r>
    </w:p>
    <w:p>
      <w:pPr>
        <w:snapToGrid w:val="0"/>
        <w:spacing w:line="560" w:lineRule="exact"/>
        <w:rPr>
          <w:rFonts w:ascii="宋体" w:hAnsi="宋体" w:cs="宋体"/>
          <w:sz w:val="24"/>
          <w:szCs w:val="20"/>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银行帐号：</w:t>
      </w:r>
      <w:r>
        <w:rPr>
          <w:rFonts w:hint="eastAsia" w:ascii="宋体" w:hAnsi="宋体" w:cs="宋体"/>
          <w:sz w:val="24"/>
          <w:u w:val="single"/>
        </w:rPr>
        <w:t xml:space="preserve">                    </w:t>
      </w:r>
      <w:r>
        <w:rPr>
          <w:rFonts w:hint="eastAsia" w:ascii="宋体" w:hAnsi="宋体" w:cs="宋体"/>
          <w:sz w:val="24"/>
        </w:rPr>
        <w:t xml:space="preserve"> </w:t>
      </w:r>
    </w:p>
    <w:p>
      <w:pPr>
        <w:snapToGrid w:val="0"/>
        <w:spacing w:line="560" w:lineRule="exact"/>
        <w:rPr>
          <w:rFonts w:ascii="宋体" w:hAnsi="宋体" w:cs="宋体"/>
          <w:sz w:val="30"/>
          <w:szCs w:val="20"/>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4"/>
        <w:spacing w:line="600" w:lineRule="exact"/>
        <w:ind w:firstLine="0"/>
        <w:rPr>
          <w:rFonts w:ascii="宋体" w:hAnsi="宋体" w:cs="宋体"/>
          <w:b/>
          <w:bCs/>
          <w:spacing w:val="24"/>
          <w:sz w:val="30"/>
        </w:rPr>
      </w:pPr>
    </w:p>
    <w:p>
      <w:pPr>
        <w:pStyle w:val="14"/>
        <w:spacing w:line="600" w:lineRule="exact"/>
        <w:ind w:firstLine="0"/>
        <w:rPr>
          <w:rFonts w:ascii="宋体" w:hAnsi="宋体" w:cs="宋体"/>
          <w:b/>
          <w:bCs/>
          <w:spacing w:val="24"/>
          <w:sz w:val="30"/>
        </w:rPr>
      </w:pPr>
    </w:p>
    <w:p>
      <w:pPr>
        <w:pStyle w:val="14"/>
        <w:spacing w:line="600" w:lineRule="exact"/>
        <w:ind w:firstLine="0"/>
        <w:rPr>
          <w:rFonts w:ascii="宋体" w:hAnsi="宋体" w:cs="宋体"/>
          <w:b/>
          <w:bCs/>
          <w:spacing w:val="24"/>
          <w:sz w:val="30"/>
        </w:rPr>
      </w:pPr>
    </w:p>
    <w:p>
      <w:pPr>
        <w:pStyle w:val="14"/>
        <w:spacing w:line="600" w:lineRule="exact"/>
        <w:ind w:firstLine="0"/>
        <w:rPr>
          <w:rFonts w:ascii="宋体" w:hAnsi="宋体" w:cs="宋体"/>
          <w:b/>
          <w:bCs/>
          <w:spacing w:val="24"/>
          <w:sz w:val="30"/>
        </w:rPr>
      </w:pPr>
    </w:p>
    <w:p>
      <w:pPr>
        <w:spacing w:line="360" w:lineRule="auto"/>
        <w:rPr>
          <w:rFonts w:ascii="宋体" w:hAnsi="宋体" w:cs="宋体"/>
          <w:b/>
          <w:bCs/>
          <w:sz w:val="24"/>
        </w:rPr>
      </w:pPr>
    </w:p>
    <w:p>
      <w:pPr>
        <w:pStyle w:val="3"/>
      </w:pPr>
    </w:p>
    <w:p>
      <w:pPr>
        <w:pStyle w:val="14"/>
      </w:pPr>
    </w:p>
    <w:p>
      <w:pPr>
        <w:pStyle w:val="26"/>
        <w:spacing w:before="295" w:after="295"/>
        <w:jc w:val="center"/>
        <w:rPr>
          <w:b/>
          <w:sz w:val="24"/>
          <w:szCs w:val="24"/>
        </w:rPr>
      </w:pPr>
      <w:r>
        <w:rPr>
          <w:rFonts w:hint="eastAsia"/>
          <w:b/>
          <w:sz w:val="24"/>
          <w:szCs w:val="24"/>
        </w:rPr>
        <w:t>二、</w:t>
      </w:r>
      <w:r>
        <w:rPr>
          <w:b/>
          <w:sz w:val="24"/>
          <w:szCs w:val="24"/>
        </w:rPr>
        <w:t>开标一览表</w:t>
      </w:r>
      <w:r>
        <w:rPr>
          <w:rFonts w:hint="eastAsia"/>
          <w:b/>
          <w:sz w:val="24"/>
          <w:szCs w:val="24"/>
        </w:rPr>
        <w:t xml:space="preserve"> </w:t>
      </w:r>
    </w:p>
    <w:p>
      <w:pPr>
        <w:adjustRightInd w:val="0"/>
        <w:snapToGrid w:val="0"/>
        <w:spacing w:line="440" w:lineRule="exact"/>
        <w:ind w:firstLine="480" w:firstLineChars="200"/>
        <w:rPr>
          <w:rFonts w:ascii="宋体" w:hAnsi="宋体"/>
          <w:sz w:val="24"/>
          <w:u w:val="single"/>
        </w:rPr>
      </w:pPr>
      <w:r>
        <w:rPr>
          <w:rFonts w:hint="eastAsia" w:ascii="宋体" w:hAnsi="宋体"/>
          <w:sz w:val="24"/>
        </w:rPr>
        <w:t xml:space="preserve">项目名称：                                   </w:t>
      </w:r>
    </w:p>
    <w:p>
      <w:pPr>
        <w:spacing w:line="500" w:lineRule="exact"/>
        <w:ind w:right="465" w:rightChars="166" w:firstLine="480" w:firstLineChars="200"/>
        <w:rPr>
          <w:rFonts w:ascii="宋体" w:hAnsi="宋体" w:cs="宋体"/>
          <w:sz w:val="24"/>
        </w:rPr>
      </w:pPr>
      <w:r>
        <w:rPr>
          <w:rFonts w:hint="eastAsia" w:ascii="宋体" w:hAnsi="宋体" w:cs="宋体"/>
          <w:sz w:val="24"/>
        </w:rPr>
        <w:t>项目编号：</w:t>
      </w:r>
    </w:p>
    <w:tbl>
      <w:tblPr>
        <w:tblStyle w:val="39"/>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03" w:type="dxa"/>
            <w:vAlign w:val="center"/>
          </w:tcPr>
          <w:p>
            <w:pPr>
              <w:adjustRightInd w:val="0"/>
              <w:snapToGrid w:val="0"/>
              <w:spacing w:line="440" w:lineRule="exact"/>
              <w:jc w:val="center"/>
              <w:rPr>
                <w:rFonts w:ascii="宋体" w:hAnsi="宋体" w:cs="宋体"/>
                <w:kern w:val="0"/>
                <w:sz w:val="24"/>
              </w:rPr>
            </w:pPr>
            <w:r>
              <w:rPr>
                <w:rFonts w:hint="eastAsia" w:ascii="宋体" w:hAnsi="宋体" w:cs="宋体"/>
                <w:kern w:val="0"/>
                <w:sz w:val="24"/>
              </w:rPr>
              <w:t>项目名称</w:t>
            </w:r>
          </w:p>
        </w:tc>
        <w:tc>
          <w:tcPr>
            <w:tcW w:w="5279" w:type="dxa"/>
            <w:vAlign w:val="center"/>
          </w:tcPr>
          <w:p>
            <w:pPr>
              <w:adjustRightInd w:val="0"/>
              <w:snapToGrid w:val="0"/>
              <w:spacing w:line="440" w:lineRule="exact"/>
              <w:jc w:val="center"/>
              <w:rPr>
                <w:rFonts w:ascii="宋体" w:hAnsi="宋体" w:cs="宋体"/>
                <w:kern w:val="0"/>
                <w:sz w:val="24"/>
              </w:rPr>
            </w:pPr>
            <w:r>
              <w:rPr>
                <w:rFonts w:hint="eastAsia" w:hAnsi="宋体" w:cs="宋体"/>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4503" w:type="dxa"/>
            <w:vAlign w:val="center"/>
          </w:tcPr>
          <w:p>
            <w:pPr>
              <w:adjustRightInd w:val="0"/>
              <w:snapToGrid w:val="0"/>
              <w:spacing w:line="440" w:lineRule="exact"/>
              <w:jc w:val="center"/>
              <w:rPr>
                <w:rFonts w:hint="eastAsia" w:ascii="宋体" w:hAnsi="宋体" w:eastAsia="宋体" w:cs="宋体"/>
                <w:kern w:val="0"/>
                <w:sz w:val="24"/>
                <w:lang w:eastAsia="zh-CN"/>
              </w:rPr>
            </w:pPr>
            <w:r>
              <w:rPr>
                <w:rFonts w:hint="eastAsia" w:ascii="宋体" w:hAnsi="宋体" w:cs="宋体"/>
                <w:b/>
                <w:bCs/>
                <w:kern w:val="0"/>
                <w:sz w:val="24"/>
                <w:lang w:eastAsia="zh-CN"/>
              </w:rPr>
              <w:t xml:space="preserve">织里镇智慧红绿灯建设监理项目 </w:t>
            </w:r>
          </w:p>
        </w:tc>
        <w:tc>
          <w:tcPr>
            <w:tcW w:w="5279" w:type="dxa"/>
            <w:vAlign w:val="center"/>
          </w:tcPr>
          <w:p>
            <w:pPr>
              <w:adjustRightInd w:val="0"/>
              <w:snapToGrid w:val="0"/>
              <w:spacing w:line="440" w:lineRule="exact"/>
              <w:rPr>
                <w:rFonts w:ascii="宋体" w:hAnsi="宋体" w:cs="宋体"/>
                <w:kern w:val="0"/>
                <w:sz w:val="24"/>
              </w:rPr>
            </w:pPr>
            <w:r>
              <w:rPr>
                <w:rFonts w:hint="eastAsia" w:ascii="宋体" w:hAnsi="宋体" w:cs="宋体"/>
                <w:kern w:val="0"/>
                <w:sz w:val="24"/>
              </w:rPr>
              <w:t>人民币大写：</w:t>
            </w:r>
          </w:p>
          <w:p>
            <w:pPr>
              <w:adjustRightInd w:val="0"/>
              <w:snapToGrid w:val="0"/>
              <w:spacing w:line="440" w:lineRule="exact"/>
              <w:rPr>
                <w:rFonts w:ascii="宋体" w:hAnsi="宋体" w:cs="宋体"/>
                <w:kern w:val="0"/>
                <w:sz w:val="24"/>
              </w:rPr>
            </w:pPr>
            <w:r>
              <w:rPr>
                <w:rFonts w:hint="eastAsia" w:ascii="宋体" w:hAnsi="宋体" w:cs="宋体"/>
                <w:kern w:val="0"/>
                <w:sz w:val="24"/>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503" w:type="dxa"/>
            <w:vAlign w:val="center"/>
          </w:tcPr>
          <w:p>
            <w:pPr>
              <w:adjustRightInd w:val="0"/>
              <w:snapToGrid w:val="0"/>
              <w:spacing w:line="440" w:lineRule="exact"/>
              <w:jc w:val="center"/>
              <w:rPr>
                <w:rFonts w:ascii="宋体" w:hAnsi="宋体" w:cs="Arial"/>
                <w:b/>
                <w:sz w:val="24"/>
              </w:rPr>
            </w:pPr>
            <w:r>
              <w:rPr>
                <w:rFonts w:hint="eastAsia" w:hAnsi="宋体"/>
                <w:b/>
                <w:sz w:val="24"/>
              </w:rPr>
              <w:t>是否符合小微企业价格扣除政策的情形</w:t>
            </w:r>
          </w:p>
        </w:tc>
        <w:tc>
          <w:tcPr>
            <w:tcW w:w="5279" w:type="dxa"/>
          </w:tcPr>
          <w:p>
            <w:pPr>
              <w:spacing w:line="480" w:lineRule="exact"/>
              <w:jc w:val="center"/>
              <w:rPr>
                <w:rFonts w:ascii="宋体" w:hAnsi="宋体" w:cs="宋体"/>
                <w:sz w:val="24"/>
              </w:rPr>
            </w:pPr>
            <w:r>
              <w:rPr>
                <w:rFonts w:hint="eastAsia" w:ascii="宋体" w:hAnsi="宋体" w:cs="宋体"/>
                <w:sz w:val="24"/>
              </w:rPr>
              <w:t>是   □</w:t>
            </w:r>
          </w:p>
          <w:p>
            <w:pPr>
              <w:adjustRightInd w:val="0"/>
              <w:snapToGrid w:val="0"/>
              <w:spacing w:line="440" w:lineRule="exact"/>
              <w:jc w:val="center"/>
              <w:rPr>
                <w:rFonts w:ascii="宋体" w:hAnsi="宋体" w:cs="宋体"/>
                <w:kern w:val="0"/>
                <w:sz w:val="24"/>
              </w:rPr>
            </w:pPr>
            <w:r>
              <w:rPr>
                <w:rFonts w:hint="eastAsia" w:hAnsi="宋体" w:cs="宋体"/>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503" w:type="dxa"/>
            <w:vAlign w:val="center"/>
          </w:tcPr>
          <w:p>
            <w:pPr>
              <w:adjustRightInd w:val="0"/>
              <w:snapToGrid w:val="0"/>
              <w:spacing w:line="440" w:lineRule="exact"/>
              <w:jc w:val="center"/>
              <w:rPr>
                <w:rFonts w:ascii="宋体" w:hAnsi="宋体" w:cs="Arial"/>
                <w:b/>
                <w:sz w:val="24"/>
              </w:rPr>
            </w:pPr>
            <w:r>
              <w:rPr>
                <w:rFonts w:hint="eastAsia" w:hAnsi="宋体"/>
                <w:b/>
                <w:sz w:val="24"/>
              </w:rPr>
              <w:t>扣除后合计金额（元）</w:t>
            </w:r>
          </w:p>
        </w:tc>
        <w:tc>
          <w:tcPr>
            <w:tcW w:w="5279" w:type="dxa"/>
          </w:tcPr>
          <w:p>
            <w:pPr>
              <w:adjustRightInd w:val="0"/>
              <w:snapToGrid w:val="0"/>
              <w:spacing w:line="440" w:lineRule="exact"/>
              <w:rPr>
                <w:rFonts w:ascii="宋体" w:hAnsi="宋体" w:cs="宋体"/>
                <w:kern w:val="0"/>
                <w:sz w:val="24"/>
              </w:rPr>
            </w:pPr>
          </w:p>
        </w:tc>
      </w:tr>
    </w:tbl>
    <w:p>
      <w:pPr>
        <w:spacing w:line="500" w:lineRule="exact"/>
        <w:ind w:left="663" w:leftChars="105" w:hanging="369" w:hangingChars="154"/>
        <w:rPr>
          <w:rFonts w:ascii="宋体" w:hAnsi="宋体" w:cs="宋体"/>
          <w:sz w:val="24"/>
        </w:rPr>
      </w:pPr>
      <w:r>
        <w:rPr>
          <w:rFonts w:hint="eastAsia" w:ascii="宋体" w:hAnsi="宋体" w:cs="宋体"/>
          <w:sz w:val="24"/>
        </w:rPr>
        <w:t>说明：</w:t>
      </w:r>
    </w:p>
    <w:p>
      <w:pPr>
        <w:spacing w:line="500" w:lineRule="exact"/>
        <w:ind w:left="546" w:leftChars="106" w:hanging="249" w:hangingChars="104"/>
        <w:rPr>
          <w:rFonts w:ascii="宋体" w:hAnsi="宋体" w:cs="宋体"/>
          <w:sz w:val="24"/>
        </w:rPr>
      </w:pPr>
      <w:r>
        <w:rPr>
          <w:rFonts w:hint="eastAsia" w:ascii="宋体" w:hAnsi="宋体" w:cs="宋体"/>
          <w:sz w:val="24"/>
        </w:rPr>
        <w:t>1. 开标一览表中的报价为完成本项目的所有费用。</w:t>
      </w:r>
    </w:p>
    <w:p>
      <w:pPr>
        <w:spacing w:line="500" w:lineRule="exact"/>
        <w:ind w:left="546" w:leftChars="106" w:hanging="249" w:hangingChars="104"/>
        <w:rPr>
          <w:rFonts w:ascii="宋体" w:hAnsi="宋体" w:cs="宋体"/>
          <w:sz w:val="24"/>
        </w:rPr>
      </w:pPr>
      <w:r>
        <w:rPr>
          <w:rFonts w:hint="eastAsia" w:ascii="宋体" w:hAnsi="宋体" w:cs="宋体"/>
          <w:sz w:val="24"/>
        </w:rPr>
        <w:t>2. 此栏内投标总价应与 “</w:t>
      </w:r>
      <w:r>
        <w:rPr>
          <w:rFonts w:hint="eastAsia" w:ascii="宋体" w:hAnsi="宋体" w:cs="宋体"/>
          <w:bCs/>
          <w:sz w:val="24"/>
        </w:rPr>
        <w:t>报价明细表</w:t>
      </w:r>
      <w:r>
        <w:rPr>
          <w:rFonts w:hint="eastAsia" w:ascii="宋体" w:hAnsi="宋体" w:cs="宋体"/>
          <w:sz w:val="24"/>
        </w:rPr>
        <w:t>”中汇总金额相一致。</w:t>
      </w:r>
    </w:p>
    <w:p>
      <w:pPr>
        <w:spacing w:line="500" w:lineRule="exact"/>
        <w:ind w:left="546" w:leftChars="106" w:hanging="249" w:hangingChars="104"/>
        <w:rPr>
          <w:rFonts w:ascii="宋体" w:hAnsi="宋体" w:cs="宋体"/>
          <w:sz w:val="24"/>
        </w:rPr>
      </w:pPr>
      <w:r>
        <w:rPr>
          <w:rFonts w:hint="eastAsia" w:ascii="宋体" w:hAnsi="宋体"/>
          <w:sz w:val="24"/>
        </w:rPr>
        <w:t>3.报价一经涂改，应在涂改处加盖单位公章或者由法定代表人或授权委托人签字或盖章，否则其投标作无效标处理。</w:t>
      </w:r>
    </w:p>
    <w:p>
      <w:pPr>
        <w:spacing w:line="500" w:lineRule="exact"/>
        <w:ind w:left="546" w:leftChars="106" w:hanging="249" w:hangingChars="104"/>
        <w:rPr>
          <w:rFonts w:ascii="宋体" w:hAnsi="宋体" w:cs="宋体"/>
          <w:sz w:val="24"/>
        </w:rPr>
      </w:pPr>
    </w:p>
    <w:p>
      <w:pPr>
        <w:jc w:val="left"/>
        <w:rPr>
          <w:rFonts w:ascii="宋体" w:hAnsi="宋体" w:cs="宋体"/>
          <w:b/>
          <w:sz w:val="24"/>
          <w:u w:val="single"/>
        </w:rPr>
      </w:pPr>
    </w:p>
    <w:p>
      <w:pPr>
        <w:jc w:val="left"/>
        <w:rPr>
          <w:rFonts w:ascii="宋体" w:hAnsi="宋体" w:cs="宋体"/>
          <w:b/>
          <w:sz w:val="24"/>
          <w:u w:val="single"/>
        </w:rPr>
      </w:pPr>
    </w:p>
    <w:p>
      <w:pPr>
        <w:jc w:val="left"/>
        <w:rPr>
          <w:b/>
          <w:sz w:val="24"/>
        </w:rPr>
      </w:pPr>
    </w:p>
    <w:p>
      <w:pPr>
        <w:spacing w:line="360" w:lineRule="auto"/>
        <w:jc w:val="left"/>
        <w:rPr>
          <w:sz w:val="24"/>
        </w:rPr>
      </w:pPr>
      <w:r>
        <w:rPr>
          <w:rFonts w:hint="eastAsia"/>
          <w:sz w:val="24"/>
        </w:rPr>
        <w:t>投标供应商全称（加盖公章）：</w:t>
      </w:r>
    </w:p>
    <w:p>
      <w:pPr>
        <w:spacing w:line="360" w:lineRule="auto"/>
        <w:jc w:val="left"/>
        <w:rPr>
          <w:sz w:val="24"/>
        </w:rPr>
      </w:pPr>
      <w:r>
        <w:rPr>
          <w:rFonts w:hint="eastAsia"/>
          <w:sz w:val="24"/>
        </w:rPr>
        <w:t>法定代表人或其授权代理人（盖章）：</w:t>
      </w:r>
    </w:p>
    <w:p>
      <w:pPr>
        <w:spacing w:line="360" w:lineRule="auto"/>
        <w:jc w:val="left"/>
        <w:rPr>
          <w:sz w:val="24"/>
        </w:rPr>
      </w:pPr>
    </w:p>
    <w:p>
      <w:pPr>
        <w:spacing w:line="360" w:lineRule="auto"/>
        <w:jc w:val="left"/>
        <w:rPr>
          <w:sz w:val="24"/>
        </w:rPr>
      </w:pPr>
    </w:p>
    <w:p>
      <w:pPr>
        <w:spacing w:line="360" w:lineRule="auto"/>
        <w:jc w:val="left"/>
        <w:rPr>
          <w:sz w:val="24"/>
        </w:rPr>
      </w:pPr>
      <w:r>
        <w:rPr>
          <w:rFonts w:hint="eastAsia"/>
          <w:sz w:val="24"/>
        </w:rPr>
        <w:t xml:space="preserve">                                                日期：   年   月  日 </w:t>
      </w:r>
    </w:p>
    <w:p>
      <w:pPr>
        <w:spacing w:line="360" w:lineRule="auto"/>
        <w:rPr>
          <w:rFonts w:ascii="宋体" w:hAnsi="宋体" w:cs="宋体"/>
          <w:b/>
          <w:szCs w:val="28"/>
        </w:rPr>
      </w:pPr>
    </w:p>
    <w:p>
      <w:pPr>
        <w:pStyle w:val="21"/>
        <w:ind w:firstLine="240"/>
        <w:rPr>
          <w:sz w:val="24"/>
        </w:rPr>
      </w:pPr>
    </w:p>
    <w:p>
      <w:pPr>
        <w:pStyle w:val="21"/>
        <w:ind w:firstLine="240"/>
        <w:rPr>
          <w:sz w:val="24"/>
        </w:rPr>
      </w:pPr>
    </w:p>
    <w:p>
      <w:pPr>
        <w:pStyle w:val="21"/>
        <w:ind w:firstLine="0" w:firstLineChars="0"/>
        <w:rPr>
          <w:sz w:val="24"/>
        </w:rPr>
      </w:pPr>
    </w:p>
    <w:p>
      <w:pPr>
        <w:pStyle w:val="21"/>
        <w:ind w:firstLine="0" w:firstLineChars="0"/>
        <w:rPr>
          <w:sz w:val="24"/>
        </w:rPr>
      </w:pPr>
    </w:p>
    <w:p>
      <w:pPr>
        <w:spacing w:line="400" w:lineRule="exact"/>
        <w:jc w:val="center"/>
        <w:rPr>
          <w:rFonts w:hAnsi="宋体"/>
          <w:b/>
          <w:sz w:val="24"/>
        </w:rPr>
      </w:pPr>
      <w:r>
        <w:rPr>
          <w:rFonts w:hint="eastAsia" w:hAnsi="宋体"/>
          <w:b/>
          <w:sz w:val="24"/>
        </w:rPr>
        <w:t>三、</w:t>
      </w:r>
      <w:r>
        <w:rPr>
          <w:rFonts w:hAnsi="宋体"/>
          <w:b/>
          <w:sz w:val="24"/>
        </w:rPr>
        <w:t>报价明细表</w:t>
      </w:r>
      <w:r>
        <w:rPr>
          <w:rFonts w:hint="eastAsia" w:hAnsi="宋体"/>
          <w:b/>
          <w:sz w:val="24"/>
        </w:rPr>
        <w:t xml:space="preserve">  </w:t>
      </w:r>
    </w:p>
    <w:tbl>
      <w:tblPr>
        <w:tblStyle w:val="39"/>
        <w:tblpPr w:leftFromText="180" w:rightFromText="180" w:vertAnchor="text" w:horzAnchor="page" w:tblpX="1140" w:tblpY="394"/>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78"/>
        <w:gridCol w:w="1694"/>
        <w:gridCol w:w="1123"/>
        <w:gridCol w:w="132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名称</w:t>
            </w: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详细说明</w:t>
            </w: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单价</w:t>
            </w: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数量</w:t>
            </w: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14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总价</w:t>
            </w:r>
          </w:p>
        </w:tc>
        <w:tc>
          <w:tcPr>
            <w:tcW w:w="2424" w:type="pct"/>
            <w:gridSpan w:val="3"/>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sz w:val="24"/>
              </w:rPr>
            </w:pPr>
            <w:r>
              <w:rPr>
                <w:rFonts w:hint="eastAsia"/>
                <w:sz w:val="24"/>
              </w:rPr>
              <w:t>人民币</w:t>
            </w:r>
            <w:r>
              <w:rPr>
                <w:sz w:val="24"/>
                <w:u w:val="single"/>
              </w:rPr>
              <w:t xml:space="preserve">         </w:t>
            </w:r>
            <w:r>
              <w:rPr>
                <w:rFonts w:hint="eastAsia"/>
                <w:sz w:val="24"/>
                <w:u w:val="single"/>
              </w:rPr>
              <w:t xml:space="preserve">      </w:t>
            </w:r>
            <w:r>
              <w:rPr>
                <w:sz w:val="24"/>
                <w:u w:val="single"/>
              </w:rPr>
              <w:t xml:space="preserve">    </w:t>
            </w:r>
            <w:r>
              <w:rPr>
                <w:rFonts w:hint="eastAsia"/>
                <w:sz w:val="24"/>
              </w:rPr>
              <w:t>元（￥</w:t>
            </w:r>
            <w:r>
              <w:rPr>
                <w:sz w:val="24"/>
                <w:u w:val="single"/>
              </w:rPr>
              <w:t xml:space="preserve">          </w:t>
            </w:r>
            <w:r>
              <w:rPr>
                <w:rFonts w:hint="eastAsia"/>
                <w:sz w:val="24"/>
              </w:rPr>
              <w:t>）</w:t>
            </w:r>
          </w:p>
        </w:tc>
      </w:tr>
    </w:tbl>
    <w:p>
      <w:pPr>
        <w:spacing w:line="400" w:lineRule="exact"/>
        <w:jc w:val="center"/>
        <w:rPr>
          <w:rFonts w:ascii="宋体" w:hAnsi="宋体"/>
          <w:b/>
          <w:sz w:val="24"/>
          <w:szCs w:val="20"/>
        </w:rPr>
      </w:pPr>
      <w:r>
        <w:rPr>
          <w:rFonts w:hint="eastAsia"/>
        </w:rPr>
        <w:t xml:space="preserve">  </w:t>
      </w:r>
      <w:r>
        <w:rPr>
          <w:rFonts w:hint="eastAsia"/>
          <w:b/>
        </w:rPr>
        <w:t xml:space="preserve"> </w:t>
      </w:r>
    </w:p>
    <w:p>
      <w:pPr>
        <w:spacing w:line="360" w:lineRule="auto"/>
        <w:rPr>
          <w:sz w:val="24"/>
        </w:rPr>
      </w:pPr>
    </w:p>
    <w:p>
      <w:pPr>
        <w:snapToGrid w:val="0"/>
        <w:spacing w:beforeLines="50"/>
        <w:jc w:val="left"/>
        <w:rPr>
          <w:rFonts w:ascii="宋体" w:hAnsi="宋体"/>
          <w:sz w:val="24"/>
        </w:rPr>
      </w:pPr>
      <w:r>
        <w:rPr>
          <w:rFonts w:hint="eastAsia" w:ascii="宋体" w:hAnsi="宋体"/>
          <w:sz w:val="24"/>
        </w:rPr>
        <w:t>投标供应商全称（公章）：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napToGrid w:val="0"/>
        <w:spacing w:beforeLines="50"/>
        <w:jc w:val="left"/>
        <w:rPr>
          <w:rFonts w:ascii="宋体" w:hAnsi="宋体"/>
          <w:sz w:val="24"/>
          <w:szCs w:val="20"/>
          <w:u w:val="single"/>
        </w:rPr>
      </w:pPr>
      <w:r>
        <w:rPr>
          <w:rFonts w:hint="eastAsia" w:ascii="宋体" w:hAnsi="宋体"/>
          <w:sz w:val="24"/>
        </w:rPr>
        <w:t>法定代表人或其授权代表（盖章）：</w:t>
      </w:r>
      <w:r>
        <w:rPr>
          <w:rFonts w:ascii="宋体" w:hAnsi="宋体"/>
          <w:sz w:val="24"/>
          <w:u w:val="single"/>
        </w:rPr>
        <w:t xml:space="preserve">             </w:t>
      </w:r>
    </w:p>
    <w:p>
      <w:pPr>
        <w:snapToGrid w:val="0"/>
        <w:spacing w:beforeLines="50" w:after="50"/>
        <w:ind w:firstLine="6840" w:firstLineChars="2850"/>
        <w:rPr>
          <w:rFonts w:ascii="宋体" w:hAnsi="宋体"/>
          <w:sz w:val="24"/>
        </w:rPr>
      </w:pPr>
      <w:r>
        <w:rPr>
          <w:rFonts w:ascii="宋体" w:hAnsi="宋体"/>
          <w:sz w:val="24"/>
        </w:rPr>
        <w:t xml:space="preserve"> </w:t>
      </w:r>
      <w:r>
        <w:rPr>
          <w:rFonts w:hint="eastAsia" w:ascii="宋体" w:hAnsi="宋体"/>
          <w:sz w:val="24"/>
        </w:rPr>
        <w:t>年   月   日</w:t>
      </w:r>
    </w:p>
    <w:p>
      <w:pPr>
        <w:snapToGrid w:val="0"/>
        <w:spacing w:line="360" w:lineRule="auto"/>
        <w:ind w:firstLine="602" w:firstLineChars="250"/>
        <w:jc w:val="center"/>
        <w:rPr>
          <w:rFonts w:ascii="宋体" w:hAnsi="宋体"/>
          <w:b/>
          <w:sz w:val="24"/>
        </w:rPr>
      </w:pPr>
    </w:p>
    <w:p>
      <w:pPr>
        <w:spacing w:line="360" w:lineRule="auto"/>
        <w:jc w:val="center"/>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snapToGrid w:val="0"/>
        <w:spacing w:line="360" w:lineRule="auto"/>
        <w:jc w:val="center"/>
        <w:rPr>
          <w:rFonts w:ascii="宋体" w:hAnsi="宋体"/>
          <w:b/>
          <w:sz w:val="24"/>
        </w:rPr>
      </w:pPr>
      <w:r>
        <w:rPr>
          <w:rFonts w:hint="eastAsia" w:ascii="宋体" w:hAnsi="宋体"/>
          <w:b/>
          <w:sz w:val="24"/>
        </w:rPr>
        <w:t>四、政策分相关证明资料</w:t>
      </w:r>
    </w:p>
    <w:p>
      <w:pPr>
        <w:snapToGrid w:val="0"/>
        <w:spacing w:line="360" w:lineRule="auto"/>
        <w:ind w:firstLine="602" w:firstLineChars="250"/>
        <w:jc w:val="center"/>
        <w:rPr>
          <w:rFonts w:ascii="宋体" w:hAnsi="宋体"/>
          <w:b/>
          <w:sz w:val="24"/>
        </w:rPr>
      </w:pPr>
    </w:p>
    <w:p>
      <w:pPr>
        <w:snapToGrid w:val="0"/>
        <w:spacing w:line="360" w:lineRule="auto"/>
        <w:jc w:val="center"/>
        <w:rPr>
          <w:rFonts w:ascii="宋体" w:hAnsi="宋体"/>
          <w:b/>
          <w:sz w:val="24"/>
        </w:rPr>
      </w:pPr>
      <w:r>
        <w:rPr>
          <w:rFonts w:hint="eastAsia" w:ascii="宋体" w:hAnsi="宋体"/>
          <w:b/>
          <w:sz w:val="24"/>
        </w:rPr>
        <w:t>4.1小微企业声明函、网页证明资料</w:t>
      </w:r>
    </w:p>
    <w:p>
      <w:pPr>
        <w:snapToGrid w:val="0"/>
        <w:spacing w:line="360" w:lineRule="auto"/>
        <w:jc w:val="center"/>
      </w:pPr>
      <w:r>
        <w:rPr>
          <w:rFonts w:hint="eastAsia" w:ascii="宋体" w:hAnsi="宋体" w:cs="宋体"/>
          <w:color w:val="000000"/>
          <w:kern w:val="0"/>
          <w:sz w:val="24"/>
        </w:rPr>
        <w:t>【非小微企业不用提供】</w:t>
      </w:r>
    </w:p>
    <w:p>
      <w:pPr>
        <w:snapToGrid w:val="0"/>
        <w:spacing w:line="360" w:lineRule="auto"/>
        <w:ind w:firstLine="602" w:firstLineChars="250"/>
        <w:jc w:val="center"/>
        <w:rPr>
          <w:rFonts w:ascii="宋体" w:hAnsi="宋体"/>
          <w:b/>
          <w:sz w:val="24"/>
        </w:rPr>
      </w:pP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p>
    <w:p>
      <w:pPr>
        <w:spacing w:line="360" w:lineRule="auto"/>
        <w:ind w:firstLine="42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20"/>
        <w:rPr>
          <w:rFonts w:ascii="宋体" w:hAnsi="宋体"/>
          <w:sz w:val="24"/>
        </w:rPr>
      </w:pPr>
      <w:r>
        <w:rPr>
          <w:rFonts w:hint="eastAsia" w:ascii="宋体" w:hAnsi="宋体"/>
          <w:sz w:val="24"/>
        </w:rPr>
        <w:t>2、本公司参加__________________单位的__________________</w:t>
      </w:r>
    </w:p>
    <w:p>
      <w:pPr>
        <w:spacing w:line="360" w:lineRule="auto"/>
        <w:ind w:firstLine="420"/>
        <w:rPr>
          <w:rFonts w:ascii="宋体" w:hAnsi="宋体"/>
          <w:sz w:val="24"/>
        </w:rPr>
      </w:pPr>
      <w:r>
        <w:rPr>
          <w:rFonts w:hint="eastAsia" w:ascii="宋体" w:hAnsi="宋体"/>
          <w:sz w:val="24"/>
        </w:rPr>
        <w:t>________________________项目采购活动提供本企业制造的货物，由本企业承担工程、提供服务，或者提供其他______（请填写：中型、小型、微型）企业制造的货物。本条所称货物不包括使用大型企业注册商标的货物。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800" w:firstLineChars="2000"/>
        <w:rPr>
          <w:rFonts w:ascii="宋体" w:hAnsi="宋体"/>
          <w:sz w:val="24"/>
        </w:rPr>
      </w:pPr>
    </w:p>
    <w:p>
      <w:pPr>
        <w:spacing w:line="360" w:lineRule="auto"/>
        <w:ind w:firstLine="4800" w:firstLineChars="2000"/>
        <w:rPr>
          <w:rFonts w:ascii="宋体" w:hAnsi="宋体"/>
          <w:sz w:val="24"/>
        </w:rPr>
      </w:pPr>
      <w:r>
        <w:rPr>
          <w:rFonts w:hint="eastAsia" w:ascii="宋体" w:hAnsi="宋体"/>
          <w:sz w:val="24"/>
        </w:rPr>
        <w:t>企业名称（盖章）：</w:t>
      </w:r>
    </w:p>
    <w:p>
      <w:pPr>
        <w:spacing w:line="360" w:lineRule="auto"/>
        <w:ind w:firstLine="4800" w:firstLineChars="2000"/>
        <w:rPr>
          <w:rFonts w:ascii="宋体" w:hAnsi="宋体"/>
          <w:sz w:val="24"/>
        </w:rPr>
      </w:pPr>
    </w:p>
    <w:p>
      <w:pPr>
        <w:spacing w:line="360" w:lineRule="auto"/>
        <w:ind w:firstLine="4800" w:firstLineChars="2000"/>
        <w:rPr>
          <w:rFonts w:ascii="宋体"/>
          <w:b/>
          <w:sz w:val="24"/>
        </w:rPr>
      </w:pPr>
      <w:r>
        <w:rPr>
          <w:rFonts w:hint="eastAsia" w:ascii="宋体" w:hAnsi="宋体"/>
          <w:sz w:val="24"/>
        </w:rPr>
        <w:t>日　期：</w:t>
      </w:r>
    </w:p>
    <w:p>
      <w:pPr>
        <w:spacing w:line="440" w:lineRule="atLeast"/>
        <w:rPr>
          <w:rFonts w:ascii="宋体"/>
          <w:sz w:val="22"/>
        </w:rPr>
      </w:pPr>
      <w:r>
        <w:rPr>
          <w:rFonts w:hint="eastAsia" w:ascii="宋体"/>
          <w:sz w:val="22"/>
        </w:rPr>
        <w:t xml:space="preserve">小微企业名录 </w:t>
      </w:r>
      <w:r>
        <w:rPr>
          <w:rFonts w:ascii="宋体"/>
          <w:sz w:val="22"/>
        </w:rPr>
        <w:t>http://xwqy.gsxt.gov.cn/</w:t>
      </w:r>
      <w:r>
        <w:rPr>
          <w:rFonts w:hint="eastAsia" w:ascii="宋体"/>
          <w:sz w:val="22"/>
        </w:rPr>
        <w:t>（搜索结果查询截图复印件加盖投标供应商公章）</w:t>
      </w:r>
    </w:p>
    <w:p>
      <w:pPr>
        <w:spacing w:line="440" w:lineRule="atLeast"/>
        <w:rPr>
          <w:rFonts w:ascii="宋体"/>
          <w:sz w:val="22"/>
        </w:rPr>
      </w:pPr>
    </w:p>
    <w:p>
      <w:pPr>
        <w:pStyle w:val="14"/>
        <w:rPr>
          <w:rFonts w:ascii="宋体"/>
          <w:sz w:val="22"/>
        </w:rPr>
      </w:pPr>
      <w:r>
        <w:rPr>
          <w:rFonts w:ascii="宋体"/>
          <w:sz w:val="22"/>
        </w:rPr>
        <w:drawing>
          <wp:inline distT="0" distB="0" distL="0" distR="0">
            <wp:extent cx="5281930" cy="1215390"/>
            <wp:effectExtent l="19050" t="0" r="0" b="0"/>
            <wp:docPr id="1" name="图片 10" descr="1530926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1530926988(1)"/>
                    <pic:cNvPicPr>
                      <a:picLocks noChangeAspect="1" noChangeArrowheads="1"/>
                    </pic:cNvPicPr>
                  </pic:nvPicPr>
                  <pic:blipFill>
                    <a:blip r:embed="rId6" cstate="print"/>
                    <a:srcRect/>
                    <a:stretch>
                      <a:fillRect/>
                    </a:stretch>
                  </pic:blipFill>
                  <pic:spPr>
                    <a:xfrm>
                      <a:off x="0" y="0"/>
                      <a:ext cx="5281930" cy="1215390"/>
                    </a:xfrm>
                    <a:prstGeom prst="rect">
                      <a:avLst/>
                    </a:prstGeom>
                    <a:noFill/>
                    <a:ln w="9525">
                      <a:noFill/>
                      <a:miter lim="800000"/>
                      <a:headEnd/>
                      <a:tailEnd/>
                    </a:ln>
                  </pic:spPr>
                </pic:pic>
              </a:graphicData>
            </a:graphic>
          </wp:inline>
        </w:drawing>
      </w: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snapToGrid w:val="0"/>
        <w:spacing w:line="360" w:lineRule="auto"/>
        <w:jc w:val="center"/>
        <w:rPr>
          <w:rFonts w:ascii="宋体" w:hAnsi="宋体"/>
          <w:b/>
          <w:sz w:val="24"/>
        </w:rPr>
      </w:pPr>
      <w:r>
        <w:rPr>
          <w:rFonts w:hint="eastAsia" w:ascii="宋体" w:hAnsi="宋体"/>
          <w:b/>
          <w:sz w:val="24"/>
        </w:rPr>
        <w:t>4.2残疾人福利企业声明函</w:t>
      </w:r>
    </w:p>
    <w:p>
      <w:pPr>
        <w:widowControl/>
        <w:spacing w:line="360" w:lineRule="auto"/>
        <w:jc w:val="center"/>
      </w:pPr>
      <w:r>
        <w:rPr>
          <w:rFonts w:hint="eastAsia" w:ascii="宋体" w:hAnsi="宋体" w:cs="宋体"/>
          <w:color w:val="000000"/>
          <w:kern w:val="0"/>
          <w:sz w:val="24"/>
        </w:rPr>
        <w:t>【非残疾人福利性单位不用提供】</w:t>
      </w:r>
    </w:p>
    <w:p>
      <w:pPr>
        <w:snapToGrid w:val="0"/>
        <w:spacing w:line="360" w:lineRule="auto"/>
        <w:ind w:firstLine="602" w:firstLineChars="250"/>
        <w:jc w:val="center"/>
        <w:rPr>
          <w:rFonts w:ascii="宋体" w:hAnsi="宋体"/>
          <w:b/>
          <w:sz w:val="24"/>
        </w:rPr>
      </w:pPr>
    </w:p>
    <w:p>
      <w:pPr>
        <w:snapToGrid w:val="0"/>
        <w:spacing w:line="360" w:lineRule="auto"/>
        <w:ind w:firstLine="480" w:firstLineChars="200"/>
        <w:rPr>
          <w:rFonts w:ascii="宋体" w:hAnsi="宋体"/>
          <w:sz w:val="24"/>
        </w:rPr>
      </w:pPr>
      <w:r>
        <w:rPr>
          <w:rFonts w:hint="eastAsia" w:ascii="宋体" w:hAnsi="宋体"/>
          <w:sz w:val="24"/>
        </w:rPr>
        <w:t>本单位郑重声明，根据《财政部民政部中国残疾人联合会关于促进残疾人就业政府采购政策的通知》（财库〔</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z w:val="24"/>
        </w:rPr>
        <w:t>号）的规定，本单位为符合条件的残疾人福利性单位，且本单位参加</w:t>
      </w:r>
      <w:r>
        <w:rPr>
          <w:rFonts w:ascii="宋体" w:hAnsi="宋体"/>
          <w:sz w:val="24"/>
        </w:rPr>
        <w:t>______</w:t>
      </w:r>
      <w:r>
        <w:rPr>
          <w:rFonts w:hint="eastAsia" w:ascii="宋体" w:hAnsi="宋体"/>
          <w:sz w:val="24"/>
        </w:rPr>
        <w:t>单位的</w:t>
      </w:r>
      <w:r>
        <w:rPr>
          <w:rFonts w:ascii="宋体" w:hAnsi="宋体"/>
          <w:sz w:val="24"/>
        </w:rPr>
        <w:t>______</w:t>
      </w:r>
      <w:r>
        <w:rPr>
          <w:rFonts w:hint="eastAsia" w:ascii="宋体" w:hAnsi="宋体"/>
          <w:sz w:val="24"/>
        </w:rPr>
        <w:t>项目采购活动提供本单位制造的货物（由本单位承担工程</w:t>
      </w:r>
      <w:r>
        <w:rPr>
          <w:rFonts w:ascii="宋体" w:hAnsi="宋体"/>
          <w:sz w:val="24"/>
        </w:rPr>
        <w:t>/</w:t>
      </w:r>
      <w:r>
        <w:rPr>
          <w:rFonts w:hint="eastAsia" w:ascii="宋体" w:hAnsi="宋体"/>
          <w:sz w:val="24"/>
        </w:rPr>
        <w:t>提供服务），或者提供其他残疾人福利性单位制造的货物（不包括使用非残疾人福利性单位注册商标的货物）。</w:t>
      </w:r>
    </w:p>
    <w:p>
      <w:pPr>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napToGrid w:val="0"/>
        <w:spacing w:line="360" w:lineRule="auto"/>
        <w:ind w:firstLine="480" w:firstLineChars="200"/>
        <w:rPr>
          <w:rFonts w:ascii="宋体" w:hAnsi="宋体"/>
          <w:sz w:val="24"/>
        </w:rPr>
      </w:pPr>
    </w:p>
    <w:p>
      <w:pPr>
        <w:spacing w:line="588" w:lineRule="exact"/>
        <w:ind w:firstLine="480" w:firstLineChars="200"/>
        <w:rPr>
          <w:rFonts w:ascii="宋体" w:hAnsi="宋体"/>
          <w:sz w:val="24"/>
        </w:rPr>
      </w:pPr>
    </w:p>
    <w:p>
      <w:pPr>
        <w:snapToGrid w:val="0"/>
        <w:spacing w:line="360" w:lineRule="auto"/>
        <w:ind w:firstLine="480" w:firstLineChars="200"/>
        <w:jc w:val="right"/>
        <w:rPr>
          <w:rFonts w:ascii="宋体" w:hAnsi="宋体"/>
          <w:sz w:val="24"/>
        </w:rPr>
      </w:pPr>
      <w:r>
        <w:rPr>
          <w:rFonts w:hint="eastAsia" w:ascii="宋体" w:hAnsi="宋体"/>
          <w:sz w:val="24"/>
        </w:rPr>
        <w:t>单位名称（盖章）：</w:t>
      </w:r>
    </w:p>
    <w:p>
      <w:pPr>
        <w:snapToGrid w:val="0"/>
        <w:spacing w:line="360" w:lineRule="auto"/>
        <w:ind w:firstLine="480" w:firstLineChars="200"/>
        <w:jc w:val="right"/>
        <w:rPr>
          <w:rFonts w:ascii="宋体" w:hAnsi="宋体"/>
          <w:sz w:val="24"/>
        </w:rPr>
      </w:pPr>
      <w:r>
        <w:rPr>
          <w:rFonts w:hint="eastAsia" w:ascii="宋体" w:hAnsi="宋体"/>
          <w:sz w:val="24"/>
        </w:rPr>
        <w:t>日期：</w:t>
      </w:r>
    </w:p>
    <w:p>
      <w:pPr>
        <w:tabs>
          <w:tab w:val="left" w:pos="465"/>
        </w:tabs>
        <w:ind w:firstLine="2783" w:firstLineChars="990"/>
        <w:rPr>
          <w:rFonts w:ascii="仿宋" w:hAnsi="仿宋" w:eastAsia="仿宋"/>
          <w:b/>
          <w:bCs/>
          <w:szCs w:val="28"/>
        </w:rPr>
      </w:pPr>
    </w:p>
    <w:p>
      <w:pPr>
        <w:snapToGrid w:val="0"/>
        <w:spacing w:line="360" w:lineRule="auto"/>
        <w:rPr>
          <w:rFonts w:ascii="宋体" w:hAnsi="宋体"/>
          <w:b/>
          <w:sz w:val="24"/>
        </w:rPr>
      </w:pPr>
    </w:p>
    <w:p>
      <w:pPr>
        <w:tabs>
          <w:tab w:val="left" w:pos="4860"/>
        </w:tabs>
        <w:spacing w:line="588" w:lineRule="exact"/>
        <w:ind w:right="1560"/>
        <w:jc w:val="left"/>
        <w:rPr>
          <w:rFonts w:ascii="宋体"/>
          <w:sz w:val="22"/>
          <w:szCs w:val="22"/>
        </w:rPr>
      </w:pPr>
      <w:r>
        <w:rPr>
          <w:rFonts w:hint="eastAsia" w:ascii="宋体"/>
          <w:sz w:val="22"/>
          <w:szCs w:val="22"/>
        </w:rPr>
        <w:t>备注说明：</w:t>
      </w:r>
    </w:p>
    <w:p>
      <w:pPr>
        <w:spacing w:line="588" w:lineRule="exact"/>
        <w:ind w:firstLine="464" w:firstLineChars="200"/>
        <w:rPr>
          <w:rFonts w:ascii="宋体"/>
          <w:spacing w:val="6"/>
          <w:sz w:val="22"/>
          <w:szCs w:val="22"/>
        </w:rPr>
      </w:pPr>
      <w:r>
        <w:rPr>
          <w:rFonts w:hint="eastAsia" w:ascii="宋体"/>
          <w:spacing w:val="6"/>
          <w:sz w:val="22"/>
          <w:szCs w:val="22"/>
        </w:rPr>
        <w:t>1、如中标，将在中标公告中将此残疾人福利性单位声明函予以公示，接受社会监督；</w:t>
      </w:r>
    </w:p>
    <w:p>
      <w:pPr>
        <w:spacing w:line="588" w:lineRule="exact"/>
        <w:ind w:firstLine="464" w:firstLineChars="200"/>
        <w:rPr>
          <w:rFonts w:ascii="宋体"/>
          <w:spacing w:val="6"/>
          <w:sz w:val="22"/>
          <w:szCs w:val="22"/>
        </w:rPr>
      </w:pPr>
      <w:r>
        <w:rPr>
          <w:rFonts w:ascii="宋体"/>
          <w:spacing w:val="6"/>
          <w:sz w:val="22"/>
          <w:szCs w:val="22"/>
        </w:rPr>
        <w:t>2</w:t>
      </w:r>
      <w:r>
        <w:rPr>
          <w:rFonts w:hint="eastAsia" w:ascii="宋体"/>
          <w:spacing w:val="6"/>
          <w:sz w:val="22"/>
          <w:szCs w:val="22"/>
        </w:rPr>
        <w:t>、 供应商提供的《残疾人福利性单位声明函》与事实不符的，依照《政府采购法》第七十七条第一款的规定追究法律责任。</w:t>
      </w: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snapToGrid w:val="0"/>
        <w:spacing w:line="360" w:lineRule="auto"/>
        <w:jc w:val="center"/>
        <w:rPr>
          <w:rFonts w:ascii="宋体" w:hAnsi="宋体"/>
          <w:b/>
          <w:sz w:val="24"/>
        </w:rPr>
      </w:pPr>
      <w:r>
        <w:rPr>
          <w:rFonts w:hint="eastAsia" w:ascii="宋体" w:hAnsi="宋体"/>
          <w:b/>
          <w:sz w:val="24"/>
        </w:rPr>
        <w:t>4.3监狱企业声明函</w:t>
      </w:r>
    </w:p>
    <w:p>
      <w:pPr>
        <w:widowControl/>
        <w:jc w:val="center"/>
      </w:pPr>
      <w:r>
        <w:rPr>
          <w:rFonts w:hint="eastAsia" w:ascii="宋体" w:hAnsi="宋体" w:cs="宋体"/>
          <w:color w:val="000000"/>
          <w:kern w:val="0"/>
          <w:sz w:val="24"/>
        </w:rPr>
        <w:t>【非监狱企业的不用提供】</w:t>
      </w:r>
    </w:p>
    <w:p>
      <w:pPr>
        <w:widowControl/>
        <w:spacing w:line="360" w:lineRule="auto"/>
        <w:ind w:firstLine="480" w:firstLineChars="200"/>
        <w:jc w:val="left"/>
        <w:rPr>
          <w:rFonts w:ascii="宋体" w:hAnsi="宋体" w:cs="宋体"/>
          <w:color w:val="000000"/>
          <w:kern w:val="0"/>
          <w:sz w:val="24"/>
        </w:rPr>
      </w:pPr>
    </w:p>
    <w:p>
      <w:pPr>
        <w:widowControl/>
        <w:spacing w:line="360" w:lineRule="auto"/>
        <w:ind w:firstLine="480" w:firstLineChars="200"/>
        <w:jc w:val="left"/>
        <w:rPr>
          <w:sz w:val="24"/>
        </w:rPr>
      </w:pPr>
      <w:r>
        <w:rPr>
          <w:rFonts w:hint="eastAsia" w:ascii="宋体" w:hAnsi="宋体" w:cs="宋体"/>
          <w:color w:val="000000"/>
          <w:kern w:val="0"/>
          <w:sz w:val="24"/>
        </w:rPr>
        <w:t xml:space="preserve">本企业郑重声明，根据《关于政府采购支持监狱企业发展有关间想的通知》(财库[2014]68 号）的规定，本企业为监狱企业。 </w:t>
      </w:r>
    </w:p>
    <w:p>
      <w:pPr>
        <w:widowControl/>
        <w:spacing w:line="360" w:lineRule="auto"/>
        <w:ind w:firstLine="480" w:firstLineChars="200"/>
        <w:jc w:val="left"/>
        <w:rPr>
          <w:sz w:val="24"/>
        </w:rPr>
      </w:pPr>
      <w:r>
        <w:rPr>
          <w:rFonts w:hint="eastAsia" w:ascii="宋体" w:hAnsi="宋体" w:cs="宋体"/>
          <w:color w:val="000000"/>
          <w:kern w:val="0"/>
          <w:sz w:val="24"/>
        </w:rPr>
        <w:t xml:space="preserve">根据上述标准，我企业属于监狱企业的理由为: </w:t>
      </w:r>
    </w:p>
    <w:p>
      <w:pPr>
        <w:widowControl/>
        <w:spacing w:line="360" w:lineRule="auto"/>
        <w:ind w:firstLine="480" w:firstLineChars="200"/>
        <w:jc w:val="left"/>
        <w:rPr>
          <w:sz w:val="24"/>
        </w:rPr>
      </w:pPr>
      <w:r>
        <w:rPr>
          <w:rFonts w:hint="eastAsia" w:ascii="宋体" w:hAnsi="宋体" w:cs="宋体"/>
          <w:color w:val="000000"/>
          <w:kern w:val="0"/>
          <w:sz w:val="24"/>
        </w:rPr>
        <w:t>本企业为参加 (项目名称)</w:t>
      </w:r>
      <w:r>
        <w:rPr>
          <w:rFonts w:hint="eastAsia" w:ascii="宋体" w:hAnsi="宋体" w:cs="宋体"/>
          <w:color w:val="000000"/>
          <w:kern w:val="0"/>
          <w:sz w:val="24"/>
          <w:u w:val="single"/>
        </w:rPr>
        <w:t xml:space="preserve">           </w:t>
      </w:r>
      <w:r>
        <w:rPr>
          <w:rFonts w:hint="eastAsia" w:ascii="宋体" w:hAnsi="宋体" w:cs="宋体"/>
          <w:color w:val="000000"/>
          <w:kern w:val="0"/>
          <w:sz w:val="24"/>
        </w:rPr>
        <w:t>(项目编号: )</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采购活动提供本企业的产品。 </w:t>
      </w:r>
    </w:p>
    <w:p>
      <w:pPr>
        <w:widowControl/>
        <w:spacing w:line="360" w:lineRule="auto"/>
        <w:ind w:firstLine="480" w:firstLineChars="200"/>
        <w:jc w:val="left"/>
        <w:rPr>
          <w:sz w:val="24"/>
        </w:rPr>
      </w:pPr>
      <w:r>
        <w:rPr>
          <w:rFonts w:hint="eastAsia" w:ascii="宋体" w:hAnsi="宋体" w:cs="宋体"/>
          <w:color w:val="000000"/>
          <w:kern w:val="0"/>
          <w:sz w:val="24"/>
        </w:rPr>
        <w:t xml:space="preserve">本企业对上述声明的真实性负责。如有虚假，将依法承担相应责任。 </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sz w:val="24"/>
        </w:rPr>
      </w:pPr>
      <w:r>
        <w:rPr>
          <w:rFonts w:hint="eastAsia" w:ascii="宋体" w:hAnsi="宋体" w:cs="宋体"/>
          <w:color w:val="000000"/>
          <w:kern w:val="0"/>
          <w:sz w:val="24"/>
        </w:rPr>
        <w:t xml:space="preserve">供应商名称(盖章) : </w:t>
      </w:r>
    </w:p>
    <w:p>
      <w:pPr>
        <w:widowControl/>
        <w:spacing w:line="360" w:lineRule="auto"/>
        <w:jc w:val="left"/>
        <w:rPr>
          <w:sz w:val="24"/>
        </w:rPr>
      </w:pPr>
      <w:r>
        <w:rPr>
          <w:rFonts w:hint="eastAsia" w:ascii="宋体" w:hAnsi="宋体" w:cs="宋体"/>
          <w:color w:val="000000"/>
          <w:kern w:val="0"/>
          <w:sz w:val="24"/>
        </w:rPr>
        <w:t xml:space="preserve">日期: 年 月 日 </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监狱企业参加政府采购活动时，应当提供由省级以上监狱管理局、戒毒管理局(新 疆生产建设兵团)出具的属于监狱企业的证明文件。</w:t>
      </w:r>
    </w:p>
    <w:p>
      <w:pPr>
        <w:widowControl/>
        <w:spacing w:line="360" w:lineRule="auto"/>
        <w:ind w:firstLine="480" w:firstLineChars="200"/>
        <w:jc w:val="left"/>
        <w:rPr>
          <w:sz w:val="24"/>
        </w:rPr>
      </w:pPr>
      <w:r>
        <w:rPr>
          <w:rFonts w:hint="eastAsia" w:ascii="宋体" w:hAnsi="宋体" w:cs="宋体"/>
          <w:color w:val="000000"/>
          <w:kern w:val="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4"/>
        <w:spacing w:line="360" w:lineRule="auto"/>
        <w:rPr>
          <w:sz w:val="24"/>
          <w:szCs w:val="24"/>
        </w:rPr>
      </w:pPr>
    </w:p>
    <w:p>
      <w:pPr>
        <w:pStyle w:val="14"/>
        <w:spacing w:line="360" w:lineRule="auto"/>
        <w:rPr>
          <w:sz w:val="24"/>
          <w:szCs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pStyle w:val="21"/>
        <w:ind w:firstLine="280"/>
      </w:pPr>
    </w:p>
    <w:p>
      <w:pPr>
        <w:snapToGrid w:val="0"/>
        <w:spacing w:before="50" w:after="50" w:line="540" w:lineRule="exact"/>
        <w:jc w:val="center"/>
        <w:rPr>
          <w:rFonts w:ascii="宋体" w:hAnsi="宋体" w:cs="宋体"/>
          <w:b/>
          <w:sz w:val="24"/>
        </w:rPr>
      </w:pPr>
      <w:r>
        <w:rPr>
          <w:rFonts w:hint="eastAsia" w:ascii="宋体" w:hAnsi="宋体" w:cs="宋体"/>
          <w:b/>
          <w:sz w:val="24"/>
        </w:rPr>
        <w:t>五、招标代理服务费承诺函</w:t>
      </w:r>
    </w:p>
    <w:p>
      <w:pPr>
        <w:spacing w:line="540" w:lineRule="exact"/>
        <w:jc w:val="center"/>
        <w:rPr>
          <w:rFonts w:ascii="宋体" w:hAnsi="宋体"/>
          <w:b/>
          <w:sz w:val="24"/>
          <w:szCs w:val="20"/>
        </w:rPr>
      </w:pPr>
    </w:p>
    <w:p>
      <w:pPr>
        <w:tabs>
          <w:tab w:val="left" w:pos="2996"/>
        </w:tabs>
        <w:spacing w:line="480" w:lineRule="auto"/>
        <w:ind w:firstLine="480" w:firstLineChars="200"/>
        <w:rPr>
          <w:rFonts w:ascii="宋体" w:hAnsi="宋体" w:cs="宋体"/>
          <w:sz w:val="24"/>
        </w:rPr>
      </w:pPr>
      <w:r>
        <w:rPr>
          <w:rFonts w:hint="eastAsia" w:ascii="宋体" w:hAnsi="宋体" w:cs="宋体"/>
          <w:sz w:val="24"/>
        </w:rPr>
        <w:t>根据国家计委、物价局文件和招标文件的规定，一旦我公司中标，我公司同意按本招标文件规定向代理机构交纳招标代理费，</w:t>
      </w:r>
      <w:r>
        <w:rPr>
          <w:rFonts w:hint="eastAsia" w:ascii="宋体" w:hAnsi="宋体" w:cs="宋体"/>
          <w:sz w:val="24"/>
          <w:u w:val="single"/>
        </w:rPr>
        <w:t>招标代理服务费按人民</w:t>
      </w:r>
      <w:bookmarkStart w:id="33" w:name="_GoBack"/>
      <w:r>
        <w:rPr>
          <w:rFonts w:hint="eastAsia" w:ascii="宋体" w:hAnsi="宋体" w:cs="宋体"/>
          <w:sz w:val="24"/>
          <w:highlight w:val="none"/>
          <w:u w:val="single"/>
        </w:rPr>
        <w:t>币肆仟壹佰元整计</w:t>
      </w:r>
      <w:bookmarkEnd w:id="33"/>
      <w:r>
        <w:rPr>
          <w:rFonts w:hint="eastAsia" w:ascii="宋体" w:hAnsi="宋体" w:cs="宋体"/>
          <w:sz w:val="24"/>
          <w:u w:val="single"/>
        </w:rPr>
        <w:t>取，</w:t>
      </w:r>
      <w:r>
        <w:rPr>
          <w:rFonts w:hint="eastAsia" w:ascii="宋体" w:hAnsi="宋体" w:cs="宋体"/>
          <w:sz w:val="24"/>
        </w:rPr>
        <w:t>在收到中标通知书的当日一次性向招标代理机构缴清。</w:t>
      </w:r>
    </w:p>
    <w:p>
      <w:pPr>
        <w:spacing w:line="480" w:lineRule="auto"/>
        <w:rPr>
          <w:rFonts w:ascii="宋体" w:hAnsi="宋体" w:cs="宋体"/>
          <w:sz w:val="24"/>
        </w:rPr>
      </w:pPr>
    </w:p>
    <w:p>
      <w:pPr>
        <w:pStyle w:val="26"/>
        <w:spacing w:before="120" w:after="120"/>
        <w:rPr>
          <w:rFonts w:hAnsi="宋体" w:cs="宋体"/>
        </w:rPr>
      </w:pPr>
    </w:p>
    <w:p>
      <w:pPr>
        <w:pStyle w:val="26"/>
        <w:spacing w:before="120" w:after="120"/>
        <w:rPr>
          <w:rFonts w:hAnsi="宋体" w:cs="宋体"/>
        </w:rPr>
      </w:pPr>
    </w:p>
    <w:p>
      <w:pPr>
        <w:pStyle w:val="26"/>
        <w:spacing w:before="120" w:after="120"/>
        <w:rPr>
          <w:rFonts w:hAnsi="宋体" w:cs="宋体"/>
        </w:rPr>
      </w:pPr>
    </w:p>
    <w:p>
      <w:pPr>
        <w:pStyle w:val="26"/>
        <w:spacing w:before="120" w:after="120"/>
        <w:rPr>
          <w:rFonts w:hAnsi="宋体" w:cs="宋体"/>
        </w:rPr>
      </w:pPr>
    </w:p>
    <w:p>
      <w:pPr>
        <w:snapToGrid w:val="0"/>
        <w:spacing w:beforeLines="50"/>
        <w:rPr>
          <w:rFonts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snapToGrid w:val="0"/>
        <w:spacing w:beforeLines="50" w:after="50"/>
        <w:rPr>
          <w:rFonts w:ascii="宋体" w:hAnsi="宋体" w:cs="宋体"/>
          <w:sz w:val="24"/>
        </w:rPr>
      </w:pPr>
      <w:r>
        <w:rPr>
          <w:rFonts w:hint="eastAsia" w:cs="宋体"/>
          <w:sz w:val="24"/>
        </w:rPr>
        <w:t>供应商</w:t>
      </w: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snapToGrid w:val="0"/>
        <w:spacing w:beforeLines="50" w:after="50"/>
        <w:ind w:firstLine="6240" w:firstLineChars="2600"/>
        <w:rPr>
          <w:rFonts w:ascii="宋体" w:hAnsi="宋体" w:cs="宋体"/>
          <w:sz w:val="24"/>
        </w:rPr>
      </w:pPr>
    </w:p>
    <w:p>
      <w:pPr>
        <w:snapToGrid w:val="0"/>
        <w:spacing w:beforeLines="50" w:after="50"/>
        <w:ind w:firstLine="6240" w:firstLineChars="2600"/>
        <w:rPr>
          <w:rFonts w:ascii="宋体" w:hAnsi="宋体" w:cs="宋体"/>
          <w:sz w:val="24"/>
        </w:rPr>
      </w:pPr>
      <w:r>
        <w:rPr>
          <w:rFonts w:hint="eastAsia" w:ascii="宋体" w:hAnsi="宋体" w:cs="宋体"/>
          <w:sz w:val="24"/>
        </w:rPr>
        <w:t>年    月    日</w:t>
      </w:r>
    </w:p>
    <w:p>
      <w:pPr>
        <w:tabs>
          <w:tab w:val="left" w:pos="3780"/>
        </w:tabs>
        <w:spacing w:after="160"/>
        <w:jc w:val="center"/>
        <w:rPr>
          <w:rFonts w:ascii="宋体" w:hAnsi="宋体" w:cs="宋体"/>
          <w:position w:val="-6"/>
        </w:rPr>
      </w:pPr>
    </w:p>
    <w:p>
      <w:pPr>
        <w:tabs>
          <w:tab w:val="left" w:pos="3780"/>
        </w:tabs>
        <w:spacing w:after="160"/>
        <w:jc w:val="center"/>
        <w:rPr>
          <w:rFonts w:ascii="宋体" w:hAnsi="宋体" w:cs="宋体"/>
          <w:position w:val="-6"/>
        </w:rPr>
      </w:pPr>
    </w:p>
    <w:p>
      <w:pPr>
        <w:ind w:firstLine="480"/>
        <w:rPr>
          <w:sz w:val="24"/>
          <w:u w:val="single"/>
        </w:rPr>
      </w:pPr>
    </w:p>
    <w:p>
      <w:pPr>
        <w:ind w:firstLine="480"/>
        <w:rPr>
          <w:sz w:val="24"/>
          <w:u w:val="single"/>
        </w:rPr>
      </w:pPr>
      <w:r>
        <w:rPr>
          <w:rFonts w:hint="eastAsia"/>
          <w:sz w:val="24"/>
          <w:u w:val="single"/>
        </w:rPr>
        <w:t>代理费汇款账号：</w:t>
      </w:r>
    </w:p>
    <w:p>
      <w:pPr>
        <w:ind w:firstLine="480"/>
        <w:rPr>
          <w:sz w:val="24"/>
          <w:u w:val="single"/>
        </w:rPr>
      </w:pPr>
      <w:r>
        <w:rPr>
          <w:rFonts w:hint="eastAsia"/>
          <w:sz w:val="24"/>
          <w:u w:val="single"/>
        </w:rPr>
        <w:t>账户名称：湖州星兴工程咨询有限公司</w:t>
      </w:r>
    </w:p>
    <w:p>
      <w:pPr>
        <w:ind w:firstLine="480"/>
        <w:rPr>
          <w:sz w:val="24"/>
          <w:u w:val="single"/>
        </w:rPr>
      </w:pPr>
      <w:r>
        <w:rPr>
          <w:rFonts w:hint="eastAsia"/>
          <w:sz w:val="24"/>
          <w:u w:val="single"/>
        </w:rPr>
        <w:t>开户行：工商银行湖州仁皇山支行</w:t>
      </w:r>
    </w:p>
    <w:p>
      <w:pPr>
        <w:ind w:firstLine="480"/>
        <w:rPr>
          <w:sz w:val="24"/>
          <w:u w:val="single"/>
        </w:rPr>
      </w:pPr>
      <w:r>
        <w:rPr>
          <w:rFonts w:hint="eastAsia"/>
          <w:sz w:val="24"/>
          <w:u w:val="single"/>
        </w:rPr>
        <w:t>账</w:t>
      </w:r>
      <w:r>
        <w:rPr>
          <w:sz w:val="24"/>
          <w:u w:val="single"/>
        </w:rPr>
        <w:t xml:space="preserve">  </w:t>
      </w:r>
      <w:r>
        <w:rPr>
          <w:rFonts w:hint="eastAsia"/>
          <w:sz w:val="24"/>
          <w:u w:val="single"/>
        </w:rPr>
        <w:t>号：</w:t>
      </w:r>
      <w:r>
        <w:rPr>
          <w:sz w:val="24"/>
          <w:u w:val="single"/>
        </w:rPr>
        <w:t xml:space="preserve">1205210209000060768   </w:t>
      </w:r>
    </w:p>
    <w:p>
      <w:pPr>
        <w:snapToGrid w:val="0"/>
        <w:spacing w:before="50" w:after="50" w:line="540" w:lineRule="exact"/>
        <w:rPr>
          <w:rFonts w:ascii="宋体" w:hAnsi="宋体"/>
          <w:b/>
          <w:sz w:val="24"/>
          <w:szCs w:val="30"/>
        </w:rPr>
      </w:pPr>
    </w:p>
    <w:p>
      <w:pPr>
        <w:pStyle w:val="14"/>
        <w:spacing w:line="360" w:lineRule="auto"/>
        <w:rPr>
          <w:sz w:val="24"/>
          <w:szCs w:val="24"/>
        </w:rPr>
      </w:pPr>
    </w:p>
    <w:p>
      <w:pPr>
        <w:pStyle w:val="36"/>
        <w:spacing w:after="120" w:line="360" w:lineRule="auto"/>
        <w:ind w:firstLine="482" w:firstLineChars="200"/>
        <w:jc w:val="center"/>
        <w:rPr>
          <w:b/>
          <w:bCs/>
        </w:rPr>
      </w:pPr>
      <w:r>
        <w:rPr>
          <w:rFonts w:hint="eastAsia"/>
          <w:b/>
          <w:bCs/>
        </w:rPr>
        <w:t>六、 其他投标供应商认为有必要提供的资料。</w:t>
      </w:r>
    </w:p>
    <w:p>
      <w:pPr>
        <w:pStyle w:val="14"/>
        <w:ind w:firstLine="0"/>
        <w:rPr>
          <w:rFonts w:ascii="宋体"/>
          <w:sz w:val="22"/>
        </w:rPr>
      </w:pPr>
    </w:p>
    <w:sectPr>
      <w:headerReference r:id="rId3" w:type="default"/>
      <w:footerReference r:id="rId4" w:type="default"/>
      <w:pgSz w:w="11907" w:h="16840"/>
      <w:pgMar w:top="1134" w:right="1247" w:bottom="1191" w:left="1128" w:header="454" w:footer="10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黑体" w:hAnsi="MS PGothic"/>
      </w:rPr>
    </w:pPr>
    <w:r>
      <w:rPr>
        <w:sz w:val="21"/>
      </w:rPr>
      <w:pict>
        <v:shape id="_x0000_s4097" o:spid="_x0000_s4097" o:spt="202" type="#_x0000_t202" style="position:absolute;left:0pt;margin-left:443.6pt;margin-top:0pt;height:144pt;width:144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0"/>
                </w:pPr>
                <w:r>
                  <w:fldChar w:fldCharType="begin"/>
                </w:r>
                <w:r>
                  <w:instrText xml:space="preserve"> PAGE  \* MERGEFORMAT </w:instrText>
                </w:r>
                <w:r>
                  <w:fldChar w:fldCharType="separate"/>
                </w:r>
                <w:r>
                  <w:t>9</w:t>
                </w:r>
                <w:r>
                  <w:fldChar w:fldCharType="end"/>
                </w:r>
              </w:p>
            </w:txbxContent>
          </v:textbox>
        </v:shape>
      </w:pict>
    </w:r>
    <w:r>
      <w:rPr>
        <w:rFonts w:hint="eastAsia"/>
        <w:color w:val="000000"/>
        <w:sz w:val="21"/>
        <w:szCs w:val="21"/>
      </w:rPr>
      <w:t>湖州星兴工程咨询有限公司        电话：0572-2630018      湖州市赵湾仁皇佳苑108-2幢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88"/>
        <w:tab w:val="clear" w:pos="8306"/>
      </w:tabs>
      <w:jc w:val="both"/>
      <w:rPr>
        <w:rFonts w:ascii="宋体" w:hAnsi="宋体" w:cs="宋体"/>
        <w:snapToGrid w:val="0"/>
        <w:sz w:val="21"/>
        <w:szCs w:val="21"/>
      </w:rPr>
    </w:pPr>
  </w:p>
  <w:p>
    <w:pPr>
      <w:pStyle w:val="31"/>
      <w:tabs>
        <w:tab w:val="left" w:pos="8388"/>
        <w:tab w:val="clear" w:pos="8306"/>
      </w:tabs>
      <w:jc w:val="both"/>
      <w:rPr>
        <w:rFonts w:ascii="宋体" w:hAnsi="宋体" w:cs="宋体"/>
        <w:sz w:val="21"/>
        <w:szCs w:val="21"/>
      </w:rPr>
    </w:pPr>
    <w:r>
      <w:rPr>
        <w:rFonts w:hint="eastAsia" w:ascii="宋体" w:hAnsi="宋体" w:cs="宋体"/>
        <w:snapToGrid w:val="0"/>
        <w:sz w:val="21"/>
        <w:szCs w:val="21"/>
        <w:lang w:eastAsia="zh-CN"/>
      </w:rPr>
      <w:t>织里镇智慧红绿灯建设监理项目</w:t>
    </w:r>
    <w:r>
      <w:rPr>
        <w:rFonts w:hint="eastAsia" w:ascii="宋体" w:hAnsi="宋体" w:cs="宋体"/>
        <w:snapToGrid w:val="0"/>
        <w:sz w:val="21"/>
        <w:szCs w:val="21"/>
        <w:lang w:val="en-US" w:eastAsia="zh-CN"/>
      </w:rPr>
      <w:t xml:space="preserve"> </w:t>
    </w:r>
    <w:r>
      <w:rPr>
        <w:rFonts w:hint="eastAsia" w:ascii="宋体" w:hAnsi="宋体" w:cs="宋体"/>
        <w:snapToGrid w:val="0"/>
        <w:sz w:val="21"/>
        <w:szCs w:val="21"/>
        <w:lang w:eastAsia="zh-CN"/>
      </w:rPr>
      <w:t xml:space="preserve"> </w:t>
    </w:r>
    <w:r>
      <w:rPr>
        <w:rFonts w:hint="eastAsia" w:ascii="宋体" w:hAnsi="宋体" w:cs="宋体"/>
        <w:snapToGrid w:val="0"/>
        <w:sz w:val="21"/>
        <w:szCs w:val="21"/>
      </w:rPr>
      <w:t xml:space="preserve">                       </w:t>
    </w:r>
    <w:r>
      <w:rPr>
        <w:rFonts w:hint="eastAsia" w:ascii="宋体" w:hAnsi="宋体" w:cs="宋体"/>
        <w:snapToGrid w:val="0"/>
        <w:sz w:val="21"/>
        <w:szCs w:val="21"/>
        <w:lang w:val="en-US" w:eastAsia="zh-CN"/>
      </w:rPr>
      <w:t xml:space="preserve">                     </w:t>
    </w:r>
    <w:r>
      <w:rPr>
        <w:rFonts w:hint="eastAsia" w:ascii="宋体" w:hAnsi="宋体" w:cs="宋体"/>
        <w:snapToGrid w:val="0"/>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FD4D2"/>
    <w:multiLevelType w:val="singleLevel"/>
    <w:tmpl w:val="B84FD4D2"/>
    <w:lvl w:ilvl="0" w:tentative="0">
      <w:start w:val="1"/>
      <w:numFmt w:val="decimal"/>
      <w:suff w:val="nothing"/>
      <w:lvlText w:val="%1、"/>
      <w:lvlJc w:val="left"/>
    </w:lvl>
  </w:abstractNum>
  <w:abstractNum w:abstractNumId="1">
    <w:nsid w:val="E327E1F2"/>
    <w:multiLevelType w:val="singleLevel"/>
    <w:tmpl w:val="E327E1F2"/>
    <w:lvl w:ilvl="0" w:tentative="0">
      <w:start w:val="1"/>
      <w:numFmt w:val="chineseCounting"/>
      <w:suff w:val="nothing"/>
      <w:lvlText w:val="%1、"/>
      <w:lvlJc w:val="left"/>
      <w:rPr>
        <w:rFonts w:hint="eastAsia"/>
      </w:rPr>
    </w:lvl>
  </w:abstractNum>
  <w:abstractNum w:abstractNumId="2">
    <w:nsid w:val="FDF116DE"/>
    <w:multiLevelType w:val="singleLevel"/>
    <w:tmpl w:val="FDF116DE"/>
    <w:lvl w:ilvl="0" w:tentative="0">
      <w:start w:val="1"/>
      <w:numFmt w:val="chineseCounting"/>
      <w:suff w:val="nothing"/>
      <w:lvlText w:val="（%1）"/>
      <w:lvlJc w:val="left"/>
      <w:rPr>
        <w:rFonts w:hint="eastAsia"/>
      </w:rPr>
    </w:lvl>
  </w:abstractNum>
  <w:abstractNum w:abstractNumId="3">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4">
    <w:nsid w:val="FFFFFF82"/>
    <w:multiLevelType w:val="singleLevel"/>
    <w:tmpl w:val="FFFFFF82"/>
    <w:lvl w:ilvl="0" w:tentative="0">
      <w:start w:val="1"/>
      <w:numFmt w:val="bullet"/>
      <w:pStyle w:val="19"/>
      <w:lvlText w:val=""/>
      <w:lvlJc w:val="left"/>
      <w:pPr>
        <w:tabs>
          <w:tab w:val="left" w:pos="1200"/>
        </w:tabs>
        <w:ind w:left="1200" w:hanging="360"/>
      </w:pPr>
      <w:rPr>
        <w:rFonts w:hint="default" w:ascii="Wingdings" w:hAnsi="Wingdings"/>
      </w:rPr>
    </w:lvl>
  </w:abstractNum>
  <w:abstractNum w:abstractNumId="5">
    <w:nsid w:val="139079B9"/>
    <w:multiLevelType w:val="singleLevel"/>
    <w:tmpl w:val="139079B9"/>
    <w:lvl w:ilvl="0" w:tentative="0">
      <w:start w:val="2"/>
      <w:numFmt w:val="decimal"/>
      <w:lvlText w:val="%1."/>
      <w:lvlJc w:val="left"/>
      <w:pPr>
        <w:tabs>
          <w:tab w:val="left" w:pos="312"/>
        </w:tabs>
      </w:pPr>
    </w:lvl>
  </w:abstractNum>
  <w:abstractNum w:abstractNumId="6">
    <w:nsid w:val="307DE30D"/>
    <w:multiLevelType w:val="singleLevel"/>
    <w:tmpl w:val="307DE30D"/>
    <w:lvl w:ilvl="0" w:tentative="0">
      <w:start w:val="2"/>
      <w:numFmt w:val="chineseCounting"/>
      <w:suff w:val="space"/>
      <w:lvlText w:val="第%1章"/>
      <w:lvlJc w:val="left"/>
      <w:rPr>
        <w:rFonts w:hint="eastAsia"/>
      </w:rPr>
    </w:lvl>
  </w:abstractNum>
  <w:abstractNum w:abstractNumId="7">
    <w:nsid w:val="60AE39CC"/>
    <w:multiLevelType w:val="multilevel"/>
    <w:tmpl w:val="60AE39CC"/>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9"/>
      <w:lvlText w:val="           "/>
      <w:lvlJc w:val="left"/>
      <w:pPr>
        <w:tabs>
          <w:tab w:val="left" w:pos="1440"/>
        </w:tabs>
        <w:ind w:left="1152" w:hanging="1152"/>
      </w:pPr>
      <w:rPr>
        <w:rFonts w:hint="eastAsia"/>
      </w:rPr>
    </w:lvl>
    <w:lvl w:ilvl="6" w:tentative="0">
      <w:start w:val="1"/>
      <w:numFmt w:val="decimal"/>
      <w:pStyle w:val="10"/>
      <w:lvlText w:val="%1.%2.%3.%4.%5.%6.%7"/>
      <w:lvlJc w:val="left"/>
      <w:pPr>
        <w:tabs>
          <w:tab w:val="left" w:pos="2520"/>
        </w:tabs>
        <w:ind w:left="1296" w:hanging="1296"/>
      </w:pPr>
      <w:rPr>
        <w:rFonts w:hint="eastAsia"/>
      </w:rPr>
    </w:lvl>
    <w:lvl w:ilvl="7" w:tentative="0">
      <w:start w:val="1"/>
      <w:numFmt w:val="decimal"/>
      <w:pStyle w:val="11"/>
      <w:lvlText w:val="%1.%2.%3.%4.%5.%6.%7.%8"/>
      <w:lvlJc w:val="left"/>
      <w:pPr>
        <w:tabs>
          <w:tab w:val="left" w:pos="1440"/>
        </w:tabs>
        <w:ind w:left="1440" w:hanging="1440"/>
      </w:pPr>
      <w:rPr>
        <w:rFonts w:hint="eastAsia"/>
      </w:rPr>
    </w:lvl>
    <w:lvl w:ilvl="8" w:tentative="0">
      <w:start w:val="1"/>
      <w:numFmt w:val="decimal"/>
      <w:pStyle w:val="12"/>
      <w:lvlText w:val="%1.%2.%3.%4.%5.%6.%7.%8.%9"/>
      <w:lvlJc w:val="left"/>
      <w:pPr>
        <w:tabs>
          <w:tab w:val="left" w:pos="1584"/>
        </w:tabs>
        <w:ind w:left="1584" w:hanging="1584"/>
      </w:pPr>
      <w:rPr>
        <w:rFonts w:hint="eastAsia"/>
      </w:rPr>
    </w:lvl>
  </w:abstractNum>
  <w:num w:numId="1">
    <w:abstractNumId w:val="7"/>
  </w:num>
  <w:num w:numId="2">
    <w:abstractNumId w:val="4"/>
  </w:num>
  <w:num w:numId="3">
    <w:abstractNumId w:val="3"/>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4E48"/>
    <w:rsid w:val="000006B4"/>
    <w:rsid w:val="000007E4"/>
    <w:rsid w:val="00000FEC"/>
    <w:rsid w:val="00001C64"/>
    <w:rsid w:val="00003D00"/>
    <w:rsid w:val="00004639"/>
    <w:rsid w:val="00005C6E"/>
    <w:rsid w:val="00005D9D"/>
    <w:rsid w:val="0000609E"/>
    <w:rsid w:val="00006378"/>
    <w:rsid w:val="0000673A"/>
    <w:rsid w:val="00011A3E"/>
    <w:rsid w:val="000126C5"/>
    <w:rsid w:val="00015824"/>
    <w:rsid w:val="00015EF2"/>
    <w:rsid w:val="00016668"/>
    <w:rsid w:val="00017645"/>
    <w:rsid w:val="00020D43"/>
    <w:rsid w:val="00020EFB"/>
    <w:rsid w:val="00021451"/>
    <w:rsid w:val="00022443"/>
    <w:rsid w:val="000233E6"/>
    <w:rsid w:val="00024B55"/>
    <w:rsid w:val="000256CF"/>
    <w:rsid w:val="00027D87"/>
    <w:rsid w:val="00030720"/>
    <w:rsid w:val="00031679"/>
    <w:rsid w:val="00032E33"/>
    <w:rsid w:val="000341E2"/>
    <w:rsid w:val="00034488"/>
    <w:rsid w:val="0003471A"/>
    <w:rsid w:val="000349A0"/>
    <w:rsid w:val="0003574D"/>
    <w:rsid w:val="00035752"/>
    <w:rsid w:val="0003627D"/>
    <w:rsid w:val="00037665"/>
    <w:rsid w:val="00037F55"/>
    <w:rsid w:val="00041814"/>
    <w:rsid w:val="00043CCD"/>
    <w:rsid w:val="0004481C"/>
    <w:rsid w:val="00045A61"/>
    <w:rsid w:val="000516E4"/>
    <w:rsid w:val="00051EE9"/>
    <w:rsid w:val="00052DBB"/>
    <w:rsid w:val="00053BA4"/>
    <w:rsid w:val="0005559D"/>
    <w:rsid w:val="00057159"/>
    <w:rsid w:val="000571F3"/>
    <w:rsid w:val="0005747C"/>
    <w:rsid w:val="00057CB4"/>
    <w:rsid w:val="000610ED"/>
    <w:rsid w:val="000618FD"/>
    <w:rsid w:val="0006399B"/>
    <w:rsid w:val="00063ED0"/>
    <w:rsid w:val="00065560"/>
    <w:rsid w:val="00066AEF"/>
    <w:rsid w:val="00066E08"/>
    <w:rsid w:val="000737D2"/>
    <w:rsid w:val="000739C8"/>
    <w:rsid w:val="00074C4F"/>
    <w:rsid w:val="00075446"/>
    <w:rsid w:val="00075763"/>
    <w:rsid w:val="00076278"/>
    <w:rsid w:val="00076CD5"/>
    <w:rsid w:val="00076DCA"/>
    <w:rsid w:val="0007747B"/>
    <w:rsid w:val="00077713"/>
    <w:rsid w:val="00077780"/>
    <w:rsid w:val="00080AA5"/>
    <w:rsid w:val="00084129"/>
    <w:rsid w:val="00084E47"/>
    <w:rsid w:val="000864BC"/>
    <w:rsid w:val="00086A51"/>
    <w:rsid w:val="00086B4D"/>
    <w:rsid w:val="00086B76"/>
    <w:rsid w:val="00087359"/>
    <w:rsid w:val="00087551"/>
    <w:rsid w:val="0009104E"/>
    <w:rsid w:val="000911F8"/>
    <w:rsid w:val="000918E9"/>
    <w:rsid w:val="00092CD3"/>
    <w:rsid w:val="00092E76"/>
    <w:rsid w:val="00095E80"/>
    <w:rsid w:val="00097B83"/>
    <w:rsid w:val="00097D35"/>
    <w:rsid w:val="000A12B2"/>
    <w:rsid w:val="000A134C"/>
    <w:rsid w:val="000A2363"/>
    <w:rsid w:val="000A2FC9"/>
    <w:rsid w:val="000A359E"/>
    <w:rsid w:val="000A4A49"/>
    <w:rsid w:val="000A5B8E"/>
    <w:rsid w:val="000A6713"/>
    <w:rsid w:val="000B021B"/>
    <w:rsid w:val="000B29AF"/>
    <w:rsid w:val="000B4D21"/>
    <w:rsid w:val="000B66FB"/>
    <w:rsid w:val="000B7CB9"/>
    <w:rsid w:val="000C1898"/>
    <w:rsid w:val="000C3124"/>
    <w:rsid w:val="000C5CAB"/>
    <w:rsid w:val="000C5CD6"/>
    <w:rsid w:val="000C67B9"/>
    <w:rsid w:val="000C7A22"/>
    <w:rsid w:val="000D07D7"/>
    <w:rsid w:val="000D0F71"/>
    <w:rsid w:val="000D14D9"/>
    <w:rsid w:val="000D1D42"/>
    <w:rsid w:val="000D2DBE"/>
    <w:rsid w:val="000D3A1B"/>
    <w:rsid w:val="000D4174"/>
    <w:rsid w:val="000D5789"/>
    <w:rsid w:val="000D672B"/>
    <w:rsid w:val="000D73D5"/>
    <w:rsid w:val="000D7CCE"/>
    <w:rsid w:val="000D7F5F"/>
    <w:rsid w:val="000E29F4"/>
    <w:rsid w:val="000E3FAC"/>
    <w:rsid w:val="000E40AF"/>
    <w:rsid w:val="000E4ED4"/>
    <w:rsid w:val="000E526D"/>
    <w:rsid w:val="000E5BEB"/>
    <w:rsid w:val="000F38F3"/>
    <w:rsid w:val="000F48A6"/>
    <w:rsid w:val="000F4A8A"/>
    <w:rsid w:val="000F63C9"/>
    <w:rsid w:val="000F6D52"/>
    <w:rsid w:val="000F70F9"/>
    <w:rsid w:val="001019A4"/>
    <w:rsid w:val="00101E7C"/>
    <w:rsid w:val="00102F8E"/>
    <w:rsid w:val="00104914"/>
    <w:rsid w:val="001055CE"/>
    <w:rsid w:val="00107E28"/>
    <w:rsid w:val="001102D6"/>
    <w:rsid w:val="00111D8B"/>
    <w:rsid w:val="0011234E"/>
    <w:rsid w:val="00113D3D"/>
    <w:rsid w:val="00114C0A"/>
    <w:rsid w:val="0012174E"/>
    <w:rsid w:val="00125885"/>
    <w:rsid w:val="00125C58"/>
    <w:rsid w:val="001261EA"/>
    <w:rsid w:val="00126655"/>
    <w:rsid w:val="00127FEA"/>
    <w:rsid w:val="001326CC"/>
    <w:rsid w:val="001329E5"/>
    <w:rsid w:val="00132C2A"/>
    <w:rsid w:val="00132F9E"/>
    <w:rsid w:val="001345A3"/>
    <w:rsid w:val="0013520D"/>
    <w:rsid w:val="00137655"/>
    <w:rsid w:val="001425AE"/>
    <w:rsid w:val="001455CA"/>
    <w:rsid w:val="00145AFD"/>
    <w:rsid w:val="00145B6A"/>
    <w:rsid w:val="0014678D"/>
    <w:rsid w:val="0014727E"/>
    <w:rsid w:val="00147644"/>
    <w:rsid w:val="0015062B"/>
    <w:rsid w:val="001509EA"/>
    <w:rsid w:val="00151340"/>
    <w:rsid w:val="001522D2"/>
    <w:rsid w:val="00152353"/>
    <w:rsid w:val="00152840"/>
    <w:rsid w:val="00152DB7"/>
    <w:rsid w:val="001543C1"/>
    <w:rsid w:val="001554C4"/>
    <w:rsid w:val="00155704"/>
    <w:rsid w:val="00156609"/>
    <w:rsid w:val="001625E5"/>
    <w:rsid w:val="00163E62"/>
    <w:rsid w:val="00164FC6"/>
    <w:rsid w:val="00165614"/>
    <w:rsid w:val="00165CE2"/>
    <w:rsid w:val="001662D4"/>
    <w:rsid w:val="00167820"/>
    <w:rsid w:val="00167D75"/>
    <w:rsid w:val="00173549"/>
    <w:rsid w:val="00173D9B"/>
    <w:rsid w:val="00175C06"/>
    <w:rsid w:val="00176078"/>
    <w:rsid w:val="00176E63"/>
    <w:rsid w:val="00177185"/>
    <w:rsid w:val="0018050D"/>
    <w:rsid w:val="00180954"/>
    <w:rsid w:val="00180AE6"/>
    <w:rsid w:val="00183168"/>
    <w:rsid w:val="00185247"/>
    <w:rsid w:val="00186C85"/>
    <w:rsid w:val="00190B98"/>
    <w:rsid w:val="001912E7"/>
    <w:rsid w:val="00191FF8"/>
    <w:rsid w:val="00192534"/>
    <w:rsid w:val="001929B8"/>
    <w:rsid w:val="00192C15"/>
    <w:rsid w:val="00195551"/>
    <w:rsid w:val="00197193"/>
    <w:rsid w:val="00197FAF"/>
    <w:rsid w:val="001A1613"/>
    <w:rsid w:val="001A6B3B"/>
    <w:rsid w:val="001B0C1E"/>
    <w:rsid w:val="001B178D"/>
    <w:rsid w:val="001B2A4A"/>
    <w:rsid w:val="001B5168"/>
    <w:rsid w:val="001B68B9"/>
    <w:rsid w:val="001B79EE"/>
    <w:rsid w:val="001B7DAC"/>
    <w:rsid w:val="001C141E"/>
    <w:rsid w:val="001C1E56"/>
    <w:rsid w:val="001C2BC7"/>
    <w:rsid w:val="001C3C26"/>
    <w:rsid w:val="001C45E0"/>
    <w:rsid w:val="001C4C9A"/>
    <w:rsid w:val="001D1C6F"/>
    <w:rsid w:val="001D21C5"/>
    <w:rsid w:val="001D34FA"/>
    <w:rsid w:val="001D3EA7"/>
    <w:rsid w:val="001D56D0"/>
    <w:rsid w:val="001D58FB"/>
    <w:rsid w:val="001E2638"/>
    <w:rsid w:val="001E4395"/>
    <w:rsid w:val="001E799F"/>
    <w:rsid w:val="001F0282"/>
    <w:rsid w:val="001F364A"/>
    <w:rsid w:val="001F3937"/>
    <w:rsid w:val="001F5A39"/>
    <w:rsid w:val="001F6363"/>
    <w:rsid w:val="001F7865"/>
    <w:rsid w:val="001F7A0E"/>
    <w:rsid w:val="001F7A82"/>
    <w:rsid w:val="002005B9"/>
    <w:rsid w:val="00201914"/>
    <w:rsid w:val="0020224E"/>
    <w:rsid w:val="00202472"/>
    <w:rsid w:val="00202CD5"/>
    <w:rsid w:val="00202E28"/>
    <w:rsid w:val="002039C8"/>
    <w:rsid w:val="002049C5"/>
    <w:rsid w:val="00204B83"/>
    <w:rsid w:val="002074C4"/>
    <w:rsid w:val="00207A59"/>
    <w:rsid w:val="00210540"/>
    <w:rsid w:val="00210B1E"/>
    <w:rsid w:val="0021276F"/>
    <w:rsid w:val="00213AF4"/>
    <w:rsid w:val="0021557D"/>
    <w:rsid w:val="00216820"/>
    <w:rsid w:val="00217987"/>
    <w:rsid w:val="00224F11"/>
    <w:rsid w:val="002257A2"/>
    <w:rsid w:val="00225B92"/>
    <w:rsid w:val="002304CE"/>
    <w:rsid w:val="002306EF"/>
    <w:rsid w:val="00230DE5"/>
    <w:rsid w:val="00232C9A"/>
    <w:rsid w:val="002356F5"/>
    <w:rsid w:val="00236C01"/>
    <w:rsid w:val="00237FA1"/>
    <w:rsid w:val="00245542"/>
    <w:rsid w:val="00245FE7"/>
    <w:rsid w:val="0024603D"/>
    <w:rsid w:val="00246630"/>
    <w:rsid w:val="00247808"/>
    <w:rsid w:val="00251F52"/>
    <w:rsid w:val="00252946"/>
    <w:rsid w:val="00254D64"/>
    <w:rsid w:val="002615CC"/>
    <w:rsid w:val="00261ECB"/>
    <w:rsid w:val="00262D59"/>
    <w:rsid w:val="00263392"/>
    <w:rsid w:val="0026374F"/>
    <w:rsid w:val="00265BE2"/>
    <w:rsid w:val="00271A26"/>
    <w:rsid w:val="002731B6"/>
    <w:rsid w:val="00273B90"/>
    <w:rsid w:val="00273EE7"/>
    <w:rsid w:val="00274006"/>
    <w:rsid w:val="00275310"/>
    <w:rsid w:val="002772DE"/>
    <w:rsid w:val="002819D4"/>
    <w:rsid w:val="00282DFE"/>
    <w:rsid w:val="0028313A"/>
    <w:rsid w:val="002841EF"/>
    <w:rsid w:val="00286021"/>
    <w:rsid w:val="00286952"/>
    <w:rsid w:val="00286B1F"/>
    <w:rsid w:val="002901C6"/>
    <w:rsid w:val="002911DB"/>
    <w:rsid w:val="002913EA"/>
    <w:rsid w:val="002944B8"/>
    <w:rsid w:val="002947BB"/>
    <w:rsid w:val="002947ED"/>
    <w:rsid w:val="00295270"/>
    <w:rsid w:val="00296F1F"/>
    <w:rsid w:val="002A0074"/>
    <w:rsid w:val="002A1033"/>
    <w:rsid w:val="002A2D66"/>
    <w:rsid w:val="002A5548"/>
    <w:rsid w:val="002A5E87"/>
    <w:rsid w:val="002A7472"/>
    <w:rsid w:val="002A7BCC"/>
    <w:rsid w:val="002B0042"/>
    <w:rsid w:val="002B07AF"/>
    <w:rsid w:val="002B206F"/>
    <w:rsid w:val="002B231B"/>
    <w:rsid w:val="002B235A"/>
    <w:rsid w:val="002B2B68"/>
    <w:rsid w:val="002B44BC"/>
    <w:rsid w:val="002B48F6"/>
    <w:rsid w:val="002C01E9"/>
    <w:rsid w:val="002C07B2"/>
    <w:rsid w:val="002C0BE4"/>
    <w:rsid w:val="002C1549"/>
    <w:rsid w:val="002C16AD"/>
    <w:rsid w:val="002C20E0"/>
    <w:rsid w:val="002C271F"/>
    <w:rsid w:val="002C3028"/>
    <w:rsid w:val="002C3EFC"/>
    <w:rsid w:val="002C7F25"/>
    <w:rsid w:val="002C7F88"/>
    <w:rsid w:val="002D0336"/>
    <w:rsid w:val="002D09A5"/>
    <w:rsid w:val="002D2353"/>
    <w:rsid w:val="002D346A"/>
    <w:rsid w:val="002D3A82"/>
    <w:rsid w:val="002D3B8D"/>
    <w:rsid w:val="002D47CD"/>
    <w:rsid w:val="002E0938"/>
    <w:rsid w:val="002E21CF"/>
    <w:rsid w:val="002E254E"/>
    <w:rsid w:val="002E275C"/>
    <w:rsid w:val="002E4525"/>
    <w:rsid w:val="002F55E7"/>
    <w:rsid w:val="002F58DA"/>
    <w:rsid w:val="002F695A"/>
    <w:rsid w:val="003009DA"/>
    <w:rsid w:val="0030212D"/>
    <w:rsid w:val="00302B85"/>
    <w:rsid w:val="0030653F"/>
    <w:rsid w:val="00307264"/>
    <w:rsid w:val="00307BF4"/>
    <w:rsid w:val="00310A92"/>
    <w:rsid w:val="00310AD2"/>
    <w:rsid w:val="0031126E"/>
    <w:rsid w:val="003115D3"/>
    <w:rsid w:val="0031292C"/>
    <w:rsid w:val="00314101"/>
    <w:rsid w:val="003210A5"/>
    <w:rsid w:val="00321BB2"/>
    <w:rsid w:val="00322AB0"/>
    <w:rsid w:val="00326BFD"/>
    <w:rsid w:val="00326C1D"/>
    <w:rsid w:val="00330FEB"/>
    <w:rsid w:val="00332F23"/>
    <w:rsid w:val="00333A85"/>
    <w:rsid w:val="00334802"/>
    <w:rsid w:val="00335161"/>
    <w:rsid w:val="00337E90"/>
    <w:rsid w:val="0034071A"/>
    <w:rsid w:val="0034071D"/>
    <w:rsid w:val="00342A1D"/>
    <w:rsid w:val="00342D91"/>
    <w:rsid w:val="003433A5"/>
    <w:rsid w:val="003451B3"/>
    <w:rsid w:val="00346493"/>
    <w:rsid w:val="00346F76"/>
    <w:rsid w:val="00347A74"/>
    <w:rsid w:val="00350C64"/>
    <w:rsid w:val="00353DBB"/>
    <w:rsid w:val="00354088"/>
    <w:rsid w:val="0035553F"/>
    <w:rsid w:val="003555A8"/>
    <w:rsid w:val="00356713"/>
    <w:rsid w:val="003575FF"/>
    <w:rsid w:val="003629E7"/>
    <w:rsid w:val="003633E9"/>
    <w:rsid w:val="00364C98"/>
    <w:rsid w:val="0036513A"/>
    <w:rsid w:val="00366B31"/>
    <w:rsid w:val="00371683"/>
    <w:rsid w:val="003722FA"/>
    <w:rsid w:val="00380D67"/>
    <w:rsid w:val="00381344"/>
    <w:rsid w:val="0038432D"/>
    <w:rsid w:val="003857A5"/>
    <w:rsid w:val="00386345"/>
    <w:rsid w:val="00386515"/>
    <w:rsid w:val="00386769"/>
    <w:rsid w:val="003872E8"/>
    <w:rsid w:val="00390AEF"/>
    <w:rsid w:val="00392196"/>
    <w:rsid w:val="003924F1"/>
    <w:rsid w:val="00392DE0"/>
    <w:rsid w:val="00393D08"/>
    <w:rsid w:val="00394394"/>
    <w:rsid w:val="003956E2"/>
    <w:rsid w:val="00395D21"/>
    <w:rsid w:val="0039638E"/>
    <w:rsid w:val="003968A6"/>
    <w:rsid w:val="00397269"/>
    <w:rsid w:val="00397368"/>
    <w:rsid w:val="003A060C"/>
    <w:rsid w:val="003A069E"/>
    <w:rsid w:val="003A0F0E"/>
    <w:rsid w:val="003A1410"/>
    <w:rsid w:val="003A18CD"/>
    <w:rsid w:val="003A572A"/>
    <w:rsid w:val="003A7F5D"/>
    <w:rsid w:val="003B2618"/>
    <w:rsid w:val="003B273D"/>
    <w:rsid w:val="003B51B2"/>
    <w:rsid w:val="003B521C"/>
    <w:rsid w:val="003B524C"/>
    <w:rsid w:val="003B5F91"/>
    <w:rsid w:val="003B6F83"/>
    <w:rsid w:val="003C09E3"/>
    <w:rsid w:val="003C10C2"/>
    <w:rsid w:val="003C16ED"/>
    <w:rsid w:val="003C299A"/>
    <w:rsid w:val="003C3790"/>
    <w:rsid w:val="003C3DB0"/>
    <w:rsid w:val="003C5596"/>
    <w:rsid w:val="003C599C"/>
    <w:rsid w:val="003C6092"/>
    <w:rsid w:val="003D3FD1"/>
    <w:rsid w:val="003D465C"/>
    <w:rsid w:val="003D4A0C"/>
    <w:rsid w:val="003D542D"/>
    <w:rsid w:val="003E0228"/>
    <w:rsid w:val="003E2C04"/>
    <w:rsid w:val="003E2D6A"/>
    <w:rsid w:val="003E3451"/>
    <w:rsid w:val="003E5215"/>
    <w:rsid w:val="003E54DF"/>
    <w:rsid w:val="003E5D2C"/>
    <w:rsid w:val="003E6BB4"/>
    <w:rsid w:val="003E6FC9"/>
    <w:rsid w:val="003F3352"/>
    <w:rsid w:val="003F371D"/>
    <w:rsid w:val="003F3AD6"/>
    <w:rsid w:val="003F59B0"/>
    <w:rsid w:val="003F6354"/>
    <w:rsid w:val="00405C14"/>
    <w:rsid w:val="004061D7"/>
    <w:rsid w:val="00407728"/>
    <w:rsid w:val="00414A33"/>
    <w:rsid w:val="0041641E"/>
    <w:rsid w:val="004165B7"/>
    <w:rsid w:val="0041683F"/>
    <w:rsid w:val="004177D7"/>
    <w:rsid w:val="004205D1"/>
    <w:rsid w:val="004211E6"/>
    <w:rsid w:val="00421BA6"/>
    <w:rsid w:val="004223D1"/>
    <w:rsid w:val="00422AED"/>
    <w:rsid w:val="004244C9"/>
    <w:rsid w:val="00427C34"/>
    <w:rsid w:val="00431A63"/>
    <w:rsid w:val="00432153"/>
    <w:rsid w:val="00434157"/>
    <w:rsid w:val="00437751"/>
    <w:rsid w:val="00441A5B"/>
    <w:rsid w:val="004421F7"/>
    <w:rsid w:val="00442665"/>
    <w:rsid w:val="004437D1"/>
    <w:rsid w:val="0044392E"/>
    <w:rsid w:val="0044463D"/>
    <w:rsid w:val="00447F34"/>
    <w:rsid w:val="00452299"/>
    <w:rsid w:val="00453421"/>
    <w:rsid w:val="00457C22"/>
    <w:rsid w:val="0046048A"/>
    <w:rsid w:val="004638DB"/>
    <w:rsid w:val="00465FEF"/>
    <w:rsid w:val="0046650E"/>
    <w:rsid w:val="00466682"/>
    <w:rsid w:val="004712CA"/>
    <w:rsid w:val="00472215"/>
    <w:rsid w:val="004730B7"/>
    <w:rsid w:val="0047403F"/>
    <w:rsid w:val="00475BB4"/>
    <w:rsid w:val="00476512"/>
    <w:rsid w:val="004766B2"/>
    <w:rsid w:val="00476BCA"/>
    <w:rsid w:val="00476D84"/>
    <w:rsid w:val="00477022"/>
    <w:rsid w:val="004770BB"/>
    <w:rsid w:val="0047778E"/>
    <w:rsid w:val="00477F1F"/>
    <w:rsid w:val="00482117"/>
    <w:rsid w:val="00482248"/>
    <w:rsid w:val="0048285A"/>
    <w:rsid w:val="00482E7B"/>
    <w:rsid w:val="004844AE"/>
    <w:rsid w:val="00485123"/>
    <w:rsid w:val="0048572B"/>
    <w:rsid w:val="004865F5"/>
    <w:rsid w:val="0048689E"/>
    <w:rsid w:val="00491047"/>
    <w:rsid w:val="00492105"/>
    <w:rsid w:val="00493649"/>
    <w:rsid w:val="00494735"/>
    <w:rsid w:val="00495D51"/>
    <w:rsid w:val="004972E5"/>
    <w:rsid w:val="0049758E"/>
    <w:rsid w:val="00497BA7"/>
    <w:rsid w:val="004A00E9"/>
    <w:rsid w:val="004A213D"/>
    <w:rsid w:val="004A4114"/>
    <w:rsid w:val="004A7CB9"/>
    <w:rsid w:val="004B1A47"/>
    <w:rsid w:val="004B1D36"/>
    <w:rsid w:val="004B21EC"/>
    <w:rsid w:val="004B2808"/>
    <w:rsid w:val="004B34DE"/>
    <w:rsid w:val="004B6332"/>
    <w:rsid w:val="004B6822"/>
    <w:rsid w:val="004B68D8"/>
    <w:rsid w:val="004B77A9"/>
    <w:rsid w:val="004C1C68"/>
    <w:rsid w:val="004C2E7A"/>
    <w:rsid w:val="004C4030"/>
    <w:rsid w:val="004C537C"/>
    <w:rsid w:val="004C6EE7"/>
    <w:rsid w:val="004C7CD7"/>
    <w:rsid w:val="004D0365"/>
    <w:rsid w:val="004D049E"/>
    <w:rsid w:val="004D1D81"/>
    <w:rsid w:val="004D283D"/>
    <w:rsid w:val="004D2B5A"/>
    <w:rsid w:val="004D57FB"/>
    <w:rsid w:val="004D5FA5"/>
    <w:rsid w:val="004D6F47"/>
    <w:rsid w:val="004E0974"/>
    <w:rsid w:val="004E0A93"/>
    <w:rsid w:val="004E1F3C"/>
    <w:rsid w:val="004E22CB"/>
    <w:rsid w:val="004E2DF8"/>
    <w:rsid w:val="004E4D24"/>
    <w:rsid w:val="004E55B5"/>
    <w:rsid w:val="004E62B0"/>
    <w:rsid w:val="004F058F"/>
    <w:rsid w:val="004F0A2E"/>
    <w:rsid w:val="004F15EA"/>
    <w:rsid w:val="004F2777"/>
    <w:rsid w:val="004F3740"/>
    <w:rsid w:val="004F4390"/>
    <w:rsid w:val="004F6992"/>
    <w:rsid w:val="004F69F6"/>
    <w:rsid w:val="004F7659"/>
    <w:rsid w:val="005009B9"/>
    <w:rsid w:val="00502268"/>
    <w:rsid w:val="00502388"/>
    <w:rsid w:val="00504781"/>
    <w:rsid w:val="005070F9"/>
    <w:rsid w:val="005104FF"/>
    <w:rsid w:val="00510704"/>
    <w:rsid w:val="00513D85"/>
    <w:rsid w:val="00513E2A"/>
    <w:rsid w:val="00515858"/>
    <w:rsid w:val="005168A6"/>
    <w:rsid w:val="00516BA8"/>
    <w:rsid w:val="00517DD2"/>
    <w:rsid w:val="00520259"/>
    <w:rsid w:val="00522A52"/>
    <w:rsid w:val="005250C9"/>
    <w:rsid w:val="00525430"/>
    <w:rsid w:val="0052606B"/>
    <w:rsid w:val="00531EA1"/>
    <w:rsid w:val="00533FCB"/>
    <w:rsid w:val="005344A7"/>
    <w:rsid w:val="00535912"/>
    <w:rsid w:val="0053653C"/>
    <w:rsid w:val="00541CDE"/>
    <w:rsid w:val="005421AD"/>
    <w:rsid w:val="00543010"/>
    <w:rsid w:val="0054323E"/>
    <w:rsid w:val="005441A7"/>
    <w:rsid w:val="00544204"/>
    <w:rsid w:val="00545728"/>
    <w:rsid w:val="00545BAC"/>
    <w:rsid w:val="00545DD3"/>
    <w:rsid w:val="005502B3"/>
    <w:rsid w:val="00550D5F"/>
    <w:rsid w:val="00550E89"/>
    <w:rsid w:val="005510F5"/>
    <w:rsid w:val="0055135C"/>
    <w:rsid w:val="0055158C"/>
    <w:rsid w:val="00551670"/>
    <w:rsid w:val="00551E26"/>
    <w:rsid w:val="00551F07"/>
    <w:rsid w:val="0055461E"/>
    <w:rsid w:val="005564AA"/>
    <w:rsid w:val="005566C8"/>
    <w:rsid w:val="00560274"/>
    <w:rsid w:val="00560D5C"/>
    <w:rsid w:val="00564BCE"/>
    <w:rsid w:val="005666EF"/>
    <w:rsid w:val="00570DB5"/>
    <w:rsid w:val="00570F53"/>
    <w:rsid w:val="00570FE6"/>
    <w:rsid w:val="00572038"/>
    <w:rsid w:val="00572D78"/>
    <w:rsid w:val="0057326D"/>
    <w:rsid w:val="005768CC"/>
    <w:rsid w:val="00576A6F"/>
    <w:rsid w:val="005776ED"/>
    <w:rsid w:val="00580607"/>
    <w:rsid w:val="005807FB"/>
    <w:rsid w:val="00580BF9"/>
    <w:rsid w:val="00581715"/>
    <w:rsid w:val="00582849"/>
    <w:rsid w:val="0058339C"/>
    <w:rsid w:val="00583C08"/>
    <w:rsid w:val="0058495D"/>
    <w:rsid w:val="00586158"/>
    <w:rsid w:val="005903E4"/>
    <w:rsid w:val="005909E6"/>
    <w:rsid w:val="0059518D"/>
    <w:rsid w:val="005955E9"/>
    <w:rsid w:val="00595DB8"/>
    <w:rsid w:val="005A0353"/>
    <w:rsid w:val="005A1180"/>
    <w:rsid w:val="005A4448"/>
    <w:rsid w:val="005A5AC7"/>
    <w:rsid w:val="005A6568"/>
    <w:rsid w:val="005B04EC"/>
    <w:rsid w:val="005B5846"/>
    <w:rsid w:val="005B7195"/>
    <w:rsid w:val="005B71A8"/>
    <w:rsid w:val="005C159E"/>
    <w:rsid w:val="005C1623"/>
    <w:rsid w:val="005C1FA1"/>
    <w:rsid w:val="005C32C9"/>
    <w:rsid w:val="005C3C57"/>
    <w:rsid w:val="005C4042"/>
    <w:rsid w:val="005C4DA7"/>
    <w:rsid w:val="005C54BD"/>
    <w:rsid w:val="005C6772"/>
    <w:rsid w:val="005D1173"/>
    <w:rsid w:val="005D2652"/>
    <w:rsid w:val="005D30CA"/>
    <w:rsid w:val="005D3B29"/>
    <w:rsid w:val="005D3F86"/>
    <w:rsid w:val="005D486B"/>
    <w:rsid w:val="005D770A"/>
    <w:rsid w:val="005E01AB"/>
    <w:rsid w:val="005E43BD"/>
    <w:rsid w:val="005E6C25"/>
    <w:rsid w:val="005E754E"/>
    <w:rsid w:val="005E7E3F"/>
    <w:rsid w:val="005F37C5"/>
    <w:rsid w:val="005F3940"/>
    <w:rsid w:val="005F43D5"/>
    <w:rsid w:val="005F4BAF"/>
    <w:rsid w:val="005F5772"/>
    <w:rsid w:val="005F79D5"/>
    <w:rsid w:val="00601356"/>
    <w:rsid w:val="00601ADE"/>
    <w:rsid w:val="00602E24"/>
    <w:rsid w:val="006053A9"/>
    <w:rsid w:val="00607DBE"/>
    <w:rsid w:val="00610210"/>
    <w:rsid w:val="00611DC4"/>
    <w:rsid w:val="006124D2"/>
    <w:rsid w:val="006135A8"/>
    <w:rsid w:val="0061501B"/>
    <w:rsid w:val="00615231"/>
    <w:rsid w:val="00620507"/>
    <w:rsid w:val="006221D9"/>
    <w:rsid w:val="00623712"/>
    <w:rsid w:val="006261AC"/>
    <w:rsid w:val="0063501C"/>
    <w:rsid w:val="0063527A"/>
    <w:rsid w:val="0064035E"/>
    <w:rsid w:val="00641B56"/>
    <w:rsid w:val="00643D7A"/>
    <w:rsid w:val="006442B7"/>
    <w:rsid w:val="00644532"/>
    <w:rsid w:val="00644C71"/>
    <w:rsid w:val="00644D42"/>
    <w:rsid w:val="00644F37"/>
    <w:rsid w:val="0064644B"/>
    <w:rsid w:val="00646E5F"/>
    <w:rsid w:val="00651366"/>
    <w:rsid w:val="006517B8"/>
    <w:rsid w:val="0065192D"/>
    <w:rsid w:val="0065313E"/>
    <w:rsid w:val="0065378C"/>
    <w:rsid w:val="0065380F"/>
    <w:rsid w:val="00653CF4"/>
    <w:rsid w:val="00654EE0"/>
    <w:rsid w:val="00655272"/>
    <w:rsid w:val="006573B9"/>
    <w:rsid w:val="006602F1"/>
    <w:rsid w:val="0066060F"/>
    <w:rsid w:val="00661E30"/>
    <w:rsid w:val="006641C8"/>
    <w:rsid w:val="00664249"/>
    <w:rsid w:val="00664350"/>
    <w:rsid w:val="006659E4"/>
    <w:rsid w:val="00665E10"/>
    <w:rsid w:val="00666F98"/>
    <w:rsid w:val="00667337"/>
    <w:rsid w:val="00671091"/>
    <w:rsid w:val="00672397"/>
    <w:rsid w:val="006723C6"/>
    <w:rsid w:val="0067582B"/>
    <w:rsid w:val="00675EA6"/>
    <w:rsid w:val="006772F7"/>
    <w:rsid w:val="00680CF9"/>
    <w:rsid w:val="0068139A"/>
    <w:rsid w:val="00681D53"/>
    <w:rsid w:val="006843D9"/>
    <w:rsid w:val="006868C8"/>
    <w:rsid w:val="006914F4"/>
    <w:rsid w:val="006941A7"/>
    <w:rsid w:val="00694E4E"/>
    <w:rsid w:val="006953CA"/>
    <w:rsid w:val="00695FA0"/>
    <w:rsid w:val="0069691B"/>
    <w:rsid w:val="006A0031"/>
    <w:rsid w:val="006A01F7"/>
    <w:rsid w:val="006A4AFB"/>
    <w:rsid w:val="006A5D7C"/>
    <w:rsid w:val="006A60F3"/>
    <w:rsid w:val="006B03D5"/>
    <w:rsid w:val="006B05A0"/>
    <w:rsid w:val="006B0ED8"/>
    <w:rsid w:val="006B1939"/>
    <w:rsid w:val="006B19E6"/>
    <w:rsid w:val="006B33A6"/>
    <w:rsid w:val="006B366C"/>
    <w:rsid w:val="006B6EBF"/>
    <w:rsid w:val="006B7E4A"/>
    <w:rsid w:val="006C285C"/>
    <w:rsid w:val="006C2B15"/>
    <w:rsid w:val="006C45BF"/>
    <w:rsid w:val="006C653C"/>
    <w:rsid w:val="006C6FAE"/>
    <w:rsid w:val="006D0583"/>
    <w:rsid w:val="006D0938"/>
    <w:rsid w:val="006D25BE"/>
    <w:rsid w:val="006D40E1"/>
    <w:rsid w:val="006D5796"/>
    <w:rsid w:val="006D6882"/>
    <w:rsid w:val="006D739B"/>
    <w:rsid w:val="006E0515"/>
    <w:rsid w:val="006E1F5E"/>
    <w:rsid w:val="006E2FD2"/>
    <w:rsid w:val="006E47BD"/>
    <w:rsid w:val="006E4B68"/>
    <w:rsid w:val="006E676E"/>
    <w:rsid w:val="006E69C1"/>
    <w:rsid w:val="006E7559"/>
    <w:rsid w:val="006F02CD"/>
    <w:rsid w:val="006F2B42"/>
    <w:rsid w:val="006F3D22"/>
    <w:rsid w:val="006F6098"/>
    <w:rsid w:val="006F6DEF"/>
    <w:rsid w:val="007019C1"/>
    <w:rsid w:val="0070321E"/>
    <w:rsid w:val="007143A1"/>
    <w:rsid w:val="00722B4E"/>
    <w:rsid w:val="00722E43"/>
    <w:rsid w:val="0072408B"/>
    <w:rsid w:val="007241EF"/>
    <w:rsid w:val="00724BF7"/>
    <w:rsid w:val="007272FF"/>
    <w:rsid w:val="00727A33"/>
    <w:rsid w:val="00727E7E"/>
    <w:rsid w:val="00730680"/>
    <w:rsid w:val="00730E32"/>
    <w:rsid w:val="00732652"/>
    <w:rsid w:val="00732F2C"/>
    <w:rsid w:val="00733057"/>
    <w:rsid w:val="00733811"/>
    <w:rsid w:val="00734125"/>
    <w:rsid w:val="0073417A"/>
    <w:rsid w:val="00734223"/>
    <w:rsid w:val="0073580F"/>
    <w:rsid w:val="00735D3B"/>
    <w:rsid w:val="00736C4E"/>
    <w:rsid w:val="007376DD"/>
    <w:rsid w:val="00740501"/>
    <w:rsid w:val="00743E85"/>
    <w:rsid w:val="00746748"/>
    <w:rsid w:val="007476E4"/>
    <w:rsid w:val="00747980"/>
    <w:rsid w:val="007500F3"/>
    <w:rsid w:val="00750362"/>
    <w:rsid w:val="007517E5"/>
    <w:rsid w:val="0075285E"/>
    <w:rsid w:val="007531AF"/>
    <w:rsid w:val="00753F42"/>
    <w:rsid w:val="00754E2F"/>
    <w:rsid w:val="007578D4"/>
    <w:rsid w:val="00760AE6"/>
    <w:rsid w:val="007626D7"/>
    <w:rsid w:val="007629B0"/>
    <w:rsid w:val="00762AE6"/>
    <w:rsid w:val="00762FB6"/>
    <w:rsid w:val="00763A5A"/>
    <w:rsid w:val="00763EF6"/>
    <w:rsid w:val="00766F69"/>
    <w:rsid w:val="00767FFD"/>
    <w:rsid w:val="007712A4"/>
    <w:rsid w:val="0077251E"/>
    <w:rsid w:val="00772FBD"/>
    <w:rsid w:val="0077327B"/>
    <w:rsid w:val="00775B89"/>
    <w:rsid w:val="00776580"/>
    <w:rsid w:val="00776EF3"/>
    <w:rsid w:val="0077773D"/>
    <w:rsid w:val="00781997"/>
    <w:rsid w:val="00782F1A"/>
    <w:rsid w:val="0078454A"/>
    <w:rsid w:val="007856C5"/>
    <w:rsid w:val="0078585D"/>
    <w:rsid w:val="00790EC3"/>
    <w:rsid w:val="00791418"/>
    <w:rsid w:val="00792DA2"/>
    <w:rsid w:val="00793268"/>
    <w:rsid w:val="00794F3B"/>
    <w:rsid w:val="00795A5E"/>
    <w:rsid w:val="00795AB0"/>
    <w:rsid w:val="007966FC"/>
    <w:rsid w:val="00796C33"/>
    <w:rsid w:val="007A20F9"/>
    <w:rsid w:val="007A3469"/>
    <w:rsid w:val="007A3AF2"/>
    <w:rsid w:val="007B0315"/>
    <w:rsid w:val="007B206B"/>
    <w:rsid w:val="007B56B6"/>
    <w:rsid w:val="007B5895"/>
    <w:rsid w:val="007B71CA"/>
    <w:rsid w:val="007C0EA8"/>
    <w:rsid w:val="007C2762"/>
    <w:rsid w:val="007C5492"/>
    <w:rsid w:val="007C6B1D"/>
    <w:rsid w:val="007D0E21"/>
    <w:rsid w:val="007D10D8"/>
    <w:rsid w:val="007D286F"/>
    <w:rsid w:val="007D287D"/>
    <w:rsid w:val="007D2965"/>
    <w:rsid w:val="007D2F05"/>
    <w:rsid w:val="007D51EC"/>
    <w:rsid w:val="007D6504"/>
    <w:rsid w:val="007D79B3"/>
    <w:rsid w:val="007E031B"/>
    <w:rsid w:val="007E0B66"/>
    <w:rsid w:val="007E0C15"/>
    <w:rsid w:val="007E0F7D"/>
    <w:rsid w:val="007E18E8"/>
    <w:rsid w:val="007E197D"/>
    <w:rsid w:val="007E1E3B"/>
    <w:rsid w:val="007E7EEA"/>
    <w:rsid w:val="007F0FE7"/>
    <w:rsid w:val="007F1932"/>
    <w:rsid w:val="007F1A80"/>
    <w:rsid w:val="007F5FC0"/>
    <w:rsid w:val="007F683F"/>
    <w:rsid w:val="008007C8"/>
    <w:rsid w:val="00800E9E"/>
    <w:rsid w:val="00806E32"/>
    <w:rsid w:val="00807F39"/>
    <w:rsid w:val="0081104F"/>
    <w:rsid w:val="0081349C"/>
    <w:rsid w:val="008140B5"/>
    <w:rsid w:val="00814EE8"/>
    <w:rsid w:val="00815510"/>
    <w:rsid w:val="008169F6"/>
    <w:rsid w:val="00816CC9"/>
    <w:rsid w:val="0082047E"/>
    <w:rsid w:val="008209A9"/>
    <w:rsid w:val="00821600"/>
    <w:rsid w:val="00822FC9"/>
    <w:rsid w:val="00823339"/>
    <w:rsid w:val="00825106"/>
    <w:rsid w:val="0082662F"/>
    <w:rsid w:val="008305C0"/>
    <w:rsid w:val="008341E0"/>
    <w:rsid w:val="008348E6"/>
    <w:rsid w:val="00835BB9"/>
    <w:rsid w:val="008369A2"/>
    <w:rsid w:val="00837235"/>
    <w:rsid w:val="00837565"/>
    <w:rsid w:val="00840648"/>
    <w:rsid w:val="00840DCC"/>
    <w:rsid w:val="00840FFE"/>
    <w:rsid w:val="008455B9"/>
    <w:rsid w:val="0084637D"/>
    <w:rsid w:val="0084712F"/>
    <w:rsid w:val="0084786B"/>
    <w:rsid w:val="00847C38"/>
    <w:rsid w:val="00850DA9"/>
    <w:rsid w:val="0085148E"/>
    <w:rsid w:val="00851ECE"/>
    <w:rsid w:val="00854534"/>
    <w:rsid w:val="008546F0"/>
    <w:rsid w:val="00855503"/>
    <w:rsid w:val="008578C4"/>
    <w:rsid w:val="00860C28"/>
    <w:rsid w:val="00862FFD"/>
    <w:rsid w:val="00863155"/>
    <w:rsid w:val="00864E19"/>
    <w:rsid w:val="008701AC"/>
    <w:rsid w:val="00871860"/>
    <w:rsid w:val="00872F9B"/>
    <w:rsid w:val="008733C9"/>
    <w:rsid w:val="00873BD7"/>
    <w:rsid w:val="00875249"/>
    <w:rsid w:val="00875ECD"/>
    <w:rsid w:val="00876599"/>
    <w:rsid w:val="00876EF9"/>
    <w:rsid w:val="00880BC2"/>
    <w:rsid w:val="00882066"/>
    <w:rsid w:val="00885CAE"/>
    <w:rsid w:val="0088641C"/>
    <w:rsid w:val="0088673E"/>
    <w:rsid w:val="008870EE"/>
    <w:rsid w:val="0088713E"/>
    <w:rsid w:val="00887D95"/>
    <w:rsid w:val="00890AF5"/>
    <w:rsid w:val="00892F8C"/>
    <w:rsid w:val="00894073"/>
    <w:rsid w:val="0089431B"/>
    <w:rsid w:val="0089498F"/>
    <w:rsid w:val="008956AC"/>
    <w:rsid w:val="008962B8"/>
    <w:rsid w:val="00897306"/>
    <w:rsid w:val="008A0079"/>
    <w:rsid w:val="008A1D84"/>
    <w:rsid w:val="008A3867"/>
    <w:rsid w:val="008A3989"/>
    <w:rsid w:val="008A5583"/>
    <w:rsid w:val="008A6732"/>
    <w:rsid w:val="008B1025"/>
    <w:rsid w:val="008B48C2"/>
    <w:rsid w:val="008B552B"/>
    <w:rsid w:val="008B5F34"/>
    <w:rsid w:val="008B62EF"/>
    <w:rsid w:val="008B67A9"/>
    <w:rsid w:val="008C0102"/>
    <w:rsid w:val="008C042D"/>
    <w:rsid w:val="008C24FF"/>
    <w:rsid w:val="008C282C"/>
    <w:rsid w:val="008C4D47"/>
    <w:rsid w:val="008C554B"/>
    <w:rsid w:val="008D0E45"/>
    <w:rsid w:val="008D18AE"/>
    <w:rsid w:val="008D3FE7"/>
    <w:rsid w:val="008D55B9"/>
    <w:rsid w:val="008D7FEA"/>
    <w:rsid w:val="008E0EFE"/>
    <w:rsid w:val="008E12B3"/>
    <w:rsid w:val="008E2F85"/>
    <w:rsid w:val="008E3414"/>
    <w:rsid w:val="008E380D"/>
    <w:rsid w:val="008E4380"/>
    <w:rsid w:val="008E4AE0"/>
    <w:rsid w:val="008E4ED3"/>
    <w:rsid w:val="008E550B"/>
    <w:rsid w:val="008E6ACB"/>
    <w:rsid w:val="008E703C"/>
    <w:rsid w:val="008E7AFB"/>
    <w:rsid w:val="008E7C2E"/>
    <w:rsid w:val="008F0C63"/>
    <w:rsid w:val="008F2D1A"/>
    <w:rsid w:val="008F4B69"/>
    <w:rsid w:val="008F6A11"/>
    <w:rsid w:val="00901E39"/>
    <w:rsid w:val="00904908"/>
    <w:rsid w:val="0090534A"/>
    <w:rsid w:val="009054C5"/>
    <w:rsid w:val="00906710"/>
    <w:rsid w:val="00906868"/>
    <w:rsid w:val="00906BA1"/>
    <w:rsid w:val="00906FEF"/>
    <w:rsid w:val="00907E5B"/>
    <w:rsid w:val="00912E39"/>
    <w:rsid w:val="0091445F"/>
    <w:rsid w:val="00917574"/>
    <w:rsid w:val="0092031B"/>
    <w:rsid w:val="009203C7"/>
    <w:rsid w:val="00921AF7"/>
    <w:rsid w:val="00921D9E"/>
    <w:rsid w:val="0092387F"/>
    <w:rsid w:val="00926405"/>
    <w:rsid w:val="00931362"/>
    <w:rsid w:val="00931FF3"/>
    <w:rsid w:val="00935EBC"/>
    <w:rsid w:val="009374B0"/>
    <w:rsid w:val="00937973"/>
    <w:rsid w:val="0094062A"/>
    <w:rsid w:val="00940979"/>
    <w:rsid w:val="0094171F"/>
    <w:rsid w:val="0094332F"/>
    <w:rsid w:val="00943C03"/>
    <w:rsid w:val="00947307"/>
    <w:rsid w:val="00947A1F"/>
    <w:rsid w:val="00953416"/>
    <w:rsid w:val="00953FB3"/>
    <w:rsid w:val="009551B7"/>
    <w:rsid w:val="0095533A"/>
    <w:rsid w:val="0095552E"/>
    <w:rsid w:val="00957F10"/>
    <w:rsid w:val="00960954"/>
    <w:rsid w:val="00961AB7"/>
    <w:rsid w:val="00961C02"/>
    <w:rsid w:val="00962101"/>
    <w:rsid w:val="009636F6"/>
    <w:rsid w:val="0096428F"/>
    <w:rsid w:val="0096432B"/>
    <w:rsid w:val="00965974"/>
    <w:rsid w:val="009670BB"/>
    <w:rsid w:val="009672E7"/>
    <w:rsid w:val="00971576"/>
    <w:rsid w:val="009721FC"/>
    <w:rsid w:val="009732EE"/>
    <w:rsid w:val="00976D29"/>
    <w:rsid w:val="0098318A"/>
    <w:rsid w:val="00985ED4"/>
    <w:rsid w:val="00985F34"/>
    <w:rsid w:val="00987F51"/>
    <w:rsid w:val="009914DA"/>
    <w:rsid w:val="00991F3F"/>
    <w:rsid w:val="009933F1"/>
    <w:rsid w:val="00993CE9"/>
    <w:rsid w:val="00994127"/>
    <w:rsid w:val="00994757"/>
    <w:rsid w:val="00997A66"/>
    <w:rsid w:val="009A2F1A"/>
    <w:rsid w:val="009A33FC"/>
    <w:rsid w:val="009A4031"/>
    <w:rsid w:val="009A54FA"/>
    <w:rsid w:val="009A6DC7"/>
    <w:rsid w:val="009A7D18"/>
    <w:rsid w:val="009B0228"/>
    <w:rsid w:val="009B25CE"/>
    <w:rsid w:val="009B314B"/>
    <w:rsid w:val="009B3584"/>
    <w:rsid w:val="009B4820"/>
    <w:rsid w:val="009B4F4B"/>
    <w:rsid w:val="009B5EE4"/>
    <w:rsid w:val="009B6C99"/>
    <w:rsid w:val="009C14F7"/>
    <w:rsid w:val="009C1864"/>
    <w:rsid w:val="009C198E"/>
    <w:rsid w:val="009C2748"/>
    <w:rsid w:val="009C3618"/>
    <w:rsid w:val="009C47CD"/>
    <w:rsid w:val="009C4BCE"/>
    <w:rsid w:val="009C65FD"/>
    <w:rsid w:val="009C7378"/>
    <w:rsid w:val="009D0648"/>
    <w:rsid w:val="009D431C"/>
    <w:rsid w:val="009D6385"/>
    <w:rsid w:val="009D69CB"/>
    <w:rsid w:val="009E0B52"/>
    <w:rsid w:val="009E0F20"/>
    <w:rsid w:val="009E263E"/>
    <w:rsid w:val="009E3C12"/>
    <w:rsid w:val="009E4456"/>
    <w:rsid w:val="009E5EA4"/>
    <w:rsid w:val="009F0B90"/>
    <w:rsid w:val="009F102D"/>
    <w:rsid w:val="009F1269"/>
    <w:rsid w:val="009F2B2F"/>
    <w:rsid w:val="009F32FE"/>
    <w:rsid w:val="009F4619"/>
    <w:rsid w:val="00A0035D"/>
    <w:rsid w:val="00A01B8A"/>
    <w:rsid w:val="00A053CE"/>
    <w:rsid w:val="00A05854"/>
    <w:rsid w:val="00A0602C"/>
    <w:rsid w:val="00A12260"/>
    <w:rsid w:val="00A13EB8"/>
    <w:rsid w:val="00A1588A"/>
    <w:rsid w:val="00A1594C"/>
    <w:rsid w:val="00A16709"/>
    <w:rsid w:val="00A16ABB"/>
    <w:rsid w:val="00A209BE"/>
    <w:rsid w:val="00A20F40"/>
    <w:rsid w:val="00A21F57"/>
    <w:rsid w:val="00A310E4"/>
    <w:rsid w:val="00A3166E"/>
    <w:rsid w:val="00A318BC"/>
    <w:rsid w:val="00A32203"/>
    <w:rsid w:val="00A32FA9"/>
    <w:rsid w:val="00A353C1"/>
    <w:rsid w:val="00A36937"/>
    <w:rsid w:val="00A42506"/>
    <w:rsid w:val="00A42687"/>
    <w:rsid w:val="00A432F1"/>
    <w:rsid w:val="00A4442B"/>
    <w:rsid w:val="00A46A25"/>
    <w:rsid w:val="00A511EB"/>
    <w:rsid w:val="00A53572"/>
    <w:rsid w:val="00A53826"/>
    <w:rsid w:val="00A5487A"/>
    <w:rsid w:val="00A57C72"/>
    <w:rsid w:val="00A61B8C"/>
    <w:rsid w:val="00A6204C"/>
    <w:rsid w:val="00A6316F"/>
    <w:rsid w:val="00A64EBC"/>
    <w:rsid w:val="00A64F35"/>
    <w:rsid w:val="00A664AD"/>
    <w:rsid w:val="00A67013"/>
    <w:rsid w:val="00A70C5B"/>
    <w:rsid w:val="00A70FF3"/>
    <w:rsid w:val="00A72AAC"/>
    <w:rsid w:val="00A72E1E"/>
    <w:rsid w:val="00A7515F"/>
    <w:rsid w:val="00A75484"/>
    <w:rsid w:val="00A75FBB"/>
    <w:rsid w:val="00A7791A"/>
    <w:rsid w:val="00A779D8"/>
    <w:rsid w:val="00A802FC"/>
    <w:rsid w:val="00A84763"/>
    <w:rsid w:val="00A84A9E"/>
    <w:rsid w:val="00A85179"/>
    <w:rsid w:val="00A8642C"/>
    <w:rsid w:val="00A86BC0"/>
    <w:rsid w:val="00A87FD9"/>
    <w:rsid w:val="00A913C1"/>
    <w:rsid w:val="00A91F9E"/>
    <w:rsid w:val="00A94035"/>
    <w:rsid w:val="00A9506D"/>
    <w:rsid w:val="00A957EA"/>
    <w:rsid w:val="00A95B04"/>
    <w:rsid w:val="00A9632C"/>
    <w:rsid w:val="00A96844"/>
    <w:rsid w:val="00AA2657"/>
    <w:rsid w:val="00AA323D"/>
    <w:rsid w:val="00AA34E7"/>
    <w:rsid w:val="00AA4283"/>
    <w:rsid w:val="00AA5B48"/>
    <w:rsid w:val="00AA6144"/>
    <w:rsid w:val="00AB00C6"/>
    <w:rsid w:val="00AB0970"/>
    <w:rsid w:val="00AB189B"/>
    <w:rsid w:val="00AB56B9"/>
    <w:rsid w:val="00AB6861"/>
    <w:rsid w:val="00AB6B02"/>
    <w:rsid w:val="00AC0B8A"/>
    <w:rsid w:val="00AC3FD3"/>
    <w:rsid w:val="00AC5432"/>
    <w:rsid w:val="00AC60E8"/>
    <w:rsid w:val="00AC72A2"/>
    <w:rsid w:val="00AD00EC"/>
    <w:rsid w:val="00AD0413"/>
    <w:rsid w:val="00AD0910"/>
    <w:rsid w:val="00AD2B8F"/>
    <w:rsid w:val="00AD2D98"/>
    <w:rsid w:val="00AD39C7"/>
    <w:rsid w:val="00AD3ECE"/>
    <w:rsid w:val="00AD453C"/>
    <w:rsid w:val="00AD4854"/>
    <w:rsid w:val="00AD4953"/>
    <w:rsid w:val="00AD5E16"/>
    <w:rsid w:val="00AD7456"/>
    <w:rsid w:val="00AE0044"/>
    <w:rsid w:val="00AE06FE"/>
    <w:rsid w:val="00AE1B16"/>
    <w:rsid w:val="00AE28A6"/>
    <w:rsid w:val="00AE3943"/>
    <w:rsid w:val="00AE48F6"/>
    <w:rsid w:val="00AE4F72"/>
    <w:rsid w:val="00AE59E5"/>
    <w:rsid w:val="00AE5FE6"/>
    <w:rsid w:val="00AE602F"/>
    <w:rsid w:val="00AE6F2A"/>
    <w:rsid w:val="00AF008B"/>
    <w:rsid w:val="00AF2671"/>
    <w:rsid w:val="00AF2F74"/>
    <w:rsid w:val="00AF3CA7"/>
    <w:rsid w:val="00AF3E04"/>
    <w:rsid w:val="00AF3F17"/>
    <w:rsid w:val="00AF4A4C"/>
    <w:rsid w:val="00AF4A9A"/>
    <w:rsid w:val="00AF788A"/>
    <w:rsid w:val="00AF7B82"/>
    <w:rsid w:val="00B03559"/>
    <w:rsid w:val="00B042A1"/>
    <w:rsid w:val="00B043F0"/>
    <w:rsid w:val="00B05B79"/>
    <w:rsid w:val="00B06998"/>
    <w:rsid w:val="00B1160B"/>
    <w:rsid w:val="00B1198C"/>
    <w:rsid w:val="00B12FC8"/>
    <w:rsid w:val="00B13583"/>
    <w:rsid w:val="00B14368"/>
    <w:rsid w:val="00B14A91"/>
    <w:rsid w:val="00B156DA"/>
    <w:rsid w:val="00B1755B"/>
    <w:rsid w:val="00B203D3"/>
    <w:rsid w:val="00B209E0"/>
    <w:rsid w:val="00B22710"/>
    <w:rsid w:val="00B22746"/>
    <w:rsid w:val="00B22A5C"/>
    <w:rsid w:val="00B23371"/>
    <w:rsid w:val="00B2495E"/>
    <w:rsid w:val="00B257DC"/>
    <w:rsid w:val="00B315A0"/>
    <w:rsid w:val="00B32F52"/>
    <w:rsid w:val="00B33E45"/>
    <w:rsid w:val="00B344A7"/>
    <w:rsid w:val="00B345A1"/>
    <w:rsid w:val="00B354D3"/>
    <w:rsid w:val="00B36E51"/>
    <w:rsid w:val="00B40ED1"/>
    <w:rsid w:val="00B41770"/>
    <w:rsid w:val="00B4235D"/>
    <w:rsid w:val="00B424DE"/>
    <w:rsid w:val="00B42CF6"/>
    <w:rsid w:val="00B433D8"/>
    <w:rsid w:val="00B438F3"/>
    <w:rsid w:val="00B43974"/>
    <w:rsid w:val="00B43F4F"/>
    <w:rsid w:val="00B46412"/>
    <w:rsid w:val="00B4707D"/>
    <w:rsid w:val="00B519A3"/>
    <w:rsid w:val="00B55451"/>
    <w:rsid w:val="00B55770"/>
    <w:rsid w:val="00B55872"/>
    <w:rsid w:val="00B57048"/>
    <w:rsid w:val="00B60196"/>
    <w:rsid w:val="00B65806"/>
    <w:rsid w:val="00B664E5"/>
    <w:rsid w:val="00B66757"/>
    <w:rsid w:val="00B66B1E"/>
    <w:rsid w:val="00B67CC7"/>
    <w:rsid w:val="00B7213E"/>
    <w:rsid w:val="00B767F5"/>
    <w:rsid w:val="00B77857"/>
    <w:rsid w:val="00B83A2F"/>
    <w:rsid w:val="00B85C82"/>
    <w:rsid w:val="00B86C3E"/>
    <w:rsid w:val="00B90FF1"/>
    <w:rsid w:val="00B9121A"/>
    <w:rsid w:val="00B9148F"/>
    <w:rsid w:val="00B915AC"/>
    <w:rsid w:val="00B92DB0"/>
    <w:rsid w:val="00B93AB0"/>
    <w:rsid w:val="00B949F2"/>
    <w:rsid w:val="00B960CD"/>
    <w:rsid w:val="00B96E3C"/>
    <w:rsid w:val="00B97696"/>
    <w:rsid w:val="00BA2D9A"/>
    <w:rsid w:val="00BA2F55"/>
    <w:rsid w:val="00BA32DB"/>
    <w:rsid w:val="00BA3F4C"/>
    <w:rsid w:val="00BA60C0"/>
    <w:rsid w:val="00BA6E38"/>
    <w:rsid w:val="00BB281B"/>
    <w:rsid w:val="00BB3161"/>
    <w:rsid w:val="00BB32E8"/>
    <w:rsid w:val="00BB3ED9"/>
    <w:rsid w:val="00BB4152"/>
    <w:rsid w:val="00BB4647"/>
    <w:rsid w:val="00BB5F24"/>
    <w:rsid w:val="00BB6B21"/>
    <w:rsid w:val="00BB6FD7"/>
    <w:rsid w:val="00BB777B"/>
    <w:rsid w:val="00BC0B06"/>
    <w:rsid w:val="00BC1935"/>
    <w:rsid w:val="00BC2AE6"/>
    <w:rsid w:val="00BC469F"/>
    <w:rsid w:val="00BD21D3"/>
    <w:rsid w:val="00BD2655"/>
    <w:rsid w:val="00BD2765"/>
    <w:rsid w:val="00BD4362"/>
    <w:rsid w:val="00BE1566"/>
    <w:rsid w:val="00BE29C8"/>
    <w:rsid w:val="00BE2DED"/>
    <w:rsid w:val="00BE401B"/>
    <w:rsid w:val="00BE55A2"/>
    <w:rsid w:val="00BE56A3"/>
    <w:rsid w:val="00BE56A9"/>
    <w:rsid w:val="00BE5E82"/>
    <w:rsid w:val="00BF0672"/>
    <w:rsid w:val="00BF1AA1"/>
    <w:rsid w:val="00BF5862"/>
    <w:rsid w:val="00BF5CCA"/>
    <w:rsid w:val="00BF606D"/>
    <w:rsid w:val="00C03704"/>
    <w:rsid w:val="00C06CD2"/>
    <w:rsid w:val="00C0751F"/>
    <w:rsid w:val="00C13A30"/>
    <w:rsid w:val="00C1436A"/>
    <w:rsid w:val="00C14F7A"/>
    <w:rsid w:val="00C16FAC"/>
    <w:rsid w:val="00C17276"/>
    <w:rsid w:val="00C22611"/>
    <w:rsid w:val="00C2264C"/>
    <w:rsid w:val="00C253F0"/>
    <w:rsid w:val="00C26372"/>
    <w:rsid w:val="00C26BF5"/>
    <w:rsid w:val="00C31E95"/>
    <w:rsid w:val="00C32E00"/>
    <w:rsid w:val="00C35AFD"/>
    <w:rsid w:val="00C35E7C"/>
    <w:rsid w:val="00C37BD2"/>
    <w:rsid w:val="00C405CA"/>
    <w:rsid w:val="00C41712"/>
    <w:rsid w:val="00C41E37"/>
    <w:rsid w:val="00C4205A"/>
    <w:rsid w:val="00C42C68"/>
    <w:rsid w:val="00C43205"/>
    <w:rsid w:val="00C4414C"/>
    <w:rsid w:val="00C44473"/>
    <w:rsid w:val="00C45969"/>
    <w:rsid w:val="00C478D2"/>
    <w:rsid w:val="00C47D47"/>
    <w:rsid w:val="00C50855"/>
    <w:rsid w:val="00C50981"/>
    <w:rsid w:val="00C52BBD"/>
    <w:rsid w:val="00C5410C"/>
    <w:rsid w:val="00C54BF8"/>
    <w:rsid w:val="00C555FD"/>
    <w:rsid w:val="00C5560B"/>
    <w:rsid w:val="00C556A7"/>
    <w:rsid w:val="00C5608D"/>
    <w:rsid w:val="00C56427"/>
    <w:rsid w:val="00C60112"/>
    <w:rsid w:val="00C61C11"/>
    <w:rsid w:val="00C61F9E"/>
    <w:rsid w:val="00C64C81"/>
    <w:rsid w:val="00C6550B"/>
    <w:rsid w:val="00C70406"/>
    <w:rsid w:val="00C70F3E"/>
    <w:rsid w:val="00C71E1E"/>
    <w:rsid w:val="00C727B5"/>
    <w:rsid w:val="00C72A90"/>
    <w:rsid w:val="00C738B9"/>
    <w:rsid w:val="00C75114"/>
    <w:rsid w:val="00C77317"/>
    <w:rsid w:val="00C81DAD"/>
    <w:rsid w:val="00C822BF"/>
    <w:rsid w:val="00C8261C"/>
    <w:rsid w:val="00C82986"/>
    <w:rsid w:val="00C8655C"/>
    <w:rsid w:val="00C90655"/>
    <w:rsid w:val="00C91426"/>
    <w:rsid w:val="00C915BD"/>
    <w:rsid w:val="00C91C60"/>
    <w:rsid w:val="00C9282B"/>
    <w:rsid w:val="00C92ED0"/>
    <w:rsid w:val="00C931B6"/>
    <w:rsid w:val="00C93BE3"/>
    <w:rsid w:val="00C94D8A"/>
    <w:rsid w:val="00C95EC2"/>
    <w:rsid w:val="00C97E65"/>
    <w:rsid w:val="00CA10C1"/>
    <w:rsid w:val="00CA23BB"/>
    <w:rsid w:val="00CA2E4D"/>
    <w:rsid w:val="00CA3812"/>
    <w:rsid w:val="00CA4014"/>
    <w:rsid w:val="00CA76B8"/>
    <w:rsid w:val="00CB0871"/>
    <w:rsid w:val="00CB2722"/>
    <w:rsid w:val="00CB35FC"/>
    <w:rsid w:val="00CB3C87"/>
    <w:rsid w:val="00CB45A3"/>
    <w:rsid w:val="00CB4B4F"/>
    <w:rsid w:val="00CB4CDD"/>
    <w:rsid w:val="00CB68BB"/>
    <w:rsid w:val="00CB76C6"/>
    <w:rsid w:val="00CC2841"/>
    <w:rsid w:val="00CC4972"/>
    <w:rsid w:val="00CC6B35"/>
    <w:rsid w:val="00CC78B0"/>
    <w:rsid w:val="00CD319E"/>
    <w:rsid w:val="00CD337D"/>
    <w:rsid w:val="00CD496E"/>
    <w:rsid w:val="00CD6290"/>
    <w:rsid w:val="00CD753D"/>
    <w:rsid w:val="00CE639D"/>
    <w:rsid w:val="00CE6AB1"/>
    <w:rsid w:val="00CE6E38"/>
    <w:rsid w:val="00CF62D1"/>
    <w:rsid w:val="00CF6607"/>
    <w:rsid w:val="00CF66E1"/>
    <w:rsid w:val="00CF67F9"/>
    <w:rsid w:val="00CF7050"/>
    <w:rsid w:val="00D006E2"/>
    <w:rsid w:val="00D00A37"/>
    <w:rsid w:val="00D01734"/>
    <w:rsid w:val="00D02BA4"/>
    <w:rsid w:val="00D058A6"/>
    <w:rsid w:val="00D073EE"/>
    <w:rsid w:val="00D07ECD"/>
    <w:rsid w:val="00D103D2"/>
    <w:rsid w:val="00D10725"/>
    <w:rsid w:val="00D1100E"/>
    <w:rsid w:val="00D125B6"/>
    <w:rsid w:val="00D13D1D"/>
    <w:rsid w:val="00D17572"/>
    <w:rsid w:val="00D17DB8"/>
    <w:rsid w:val="00D22483"/>
    <w:rsid w:val="00D24EEC"/>
    <w:rsid w:val="00D253B4"/>
    <w:rsid w:val="00D259AB"/>
    <w:rsid w:val="00D26C68"/>
    <w:rsid w:val="00D30549"/>
    <w:rsid w:val="00D330DA"/>
    <w:rsid w:val="00D332FD"/>
    <w:rsid w:val="00D3573C"/>
    <w:rsid w:val="00D35F9B"/>
    <w:rsid w:val="00D360A9"/>
    <w:rsid w:val="00D37948"/>
    <w:rsid w:val="00D41E5B"/>
    <w:rsid w:val="00D43DDF"/>
    <w:rsid w:val="00D44B2F"/>
    <w:rsid w:val="00D44D5A"/>
    <w:rsid w:val="00D450A9"/>
    <w:rsid w:val="00D46304"/>
    <w:rsid w:val="00D478DD"/>
    <w:rsid w:val="00D50D09"/>
    <w:rsid w:val="00D518D8"/>
    <w:rsid w:val="00D533CE"/>
    <w:rsid w:val="00D534E9"/>
    <w:rsid w:val="00D5514B"/>
    <w:rsid w:val="00D55BAB"/>
    <w:rsid w:val="00D5685E"/>
    <w:rsid w:val="00D60485"/>
    <w:rsid w:val="00D608CB"/>
    <w:rsid w:val="00D6171E"/>
    <w:rsid w:val="00D62936"/>
    <w:rsid w:val="00D630A5"/>
    <w:rsid w:val="00D63B7F"/>
    <w:rsid w:val="00D647F2"/>
    <w:rsid w:val="00D64CDA"/>
    <w:rsid w:val="00D65B65"/>
    <w:rsid w:val="00D665C3"/>
    <w:rsid w:val="00D674CF"/>
    <w:rsid w:val="00D72716"/>
    <w:rsid w:val="00D729B6"/>
    <w:rsid w:val="00D736E3"/>
    <w:rsid w:val="00D7385C"/>
    <w:rsid w:val="00D73B19"/>
    <w:rsid w:val="00D76D14"/>
    <w:rsid w:val="00D77112"/>
    <w:rsid w:val="00D77212"/>
    <w:rsid w:val="00D7724D"/>
    <w:rsid w:val="00D77847"/>
    <w:rsid w:val="00D82282"/>
    <w:rsid w:val="00D825F5"/>
    <w:rsid w:val="00D83DB1"/>
    <w:rsid w:val="00D84950"/>
    <w:rsid w:val="00D84BE2"/>
    <w:rsid w:val="00D84C75"/>
    <w:rsid w:val="00D84E16"/>
    <w:rsid w:val="00D87170"/>
    <w:rsid w:val="00D87492"/>
    <w:rsid w:val="00D879DE"/>
    <w:rsid w:val="00D90C4D"/>
    <w:rsid w:val="00D91B3E"/>
    <w:rsid w:val="00D9208A"/>
    <w:rsid w:val="00D92E84"/>
    <w:rsid w:val="00D93754"/>
    <w:rsid w:val="00D940BA"/>
    <w:rsid w:val="00D948B4"/>
    <w:rsid w:val="00D94C36"/>
    <w:rsid w:val="00D96ADC"/>
    <w:rsid w:val="00DA0FDB"/>
    <w:rsid w:val="00DA1896"/>
    <w:rsid w:val="00DA2A42"/>
    <w:rsid w:val="00DA57F6"/>
    <w:rsid w:val="00DA5989"/>
    <w:rsid w:val="00DA6132"/>
    <w:rsid w:val="00DB0571"/>
    <w:rsid w:val="00DB37DD"/>
    <w:rsid w:val="00DB391A"/>
    <w:rsid w:val="00DB406B"/>
    <w:rsid w:val="00DB712D"/>
    <w:rsid w:val="00DB7585"/>
    <w:rsid w:val="00DC0B24"/>
    <w:rsid w:val="00DC3F09"/>
    <w:rsid w:val="00DC5798"/>
    <w:rsid w:val="00DC72DC"/>
    <w:rsid w:val="00DC7D28"/>
    <w:rsid w:val="00DD04C8"/>
    <w:rsid w:val="00DD18DA"/>
    <w:rsid w:val="00DD2601"/>
    <w:rsid w:val="00DD413A"/>
    <w:rsid w:val="00DD4EFD"/>
    <w:rsid w:val="00DE1020"/>
    <w:rsid w:val="00DE21D8"/>
    <w:rsid w:val="00DE27B0"/>
    <w:rsid w:val="00DE5E6F"/>
    <w:rsid w:val="00DE75E3"/>
    <w:rsid w:val="00DF1744"/>
    <w:rsid w:val="00DF1F33"/>
    <w:rsid w:val="00DF2CA4"/>
    <w:rsid w:val="00DF2F4B"/>
    <w:rsid w:val="00DF355B"/>
    <w:rsid w:val="00DF361E"/>
    <w:rsid w:val="00DF40AB"/>
    <w:rsid w:val="00DF4471"/>
    <w:rsid w:val="00DF4E7E"/>
    <w:rsid w:val="00DF5BA1"/>
    <w:rsid w:val="00DF63D3"/>
    <w:rsid w:val="00DF6759"/>
    <w:rsid w:val="00E00071"/>
    <w:rsid w:val="00E075F2"/>
    <w:rsid w:val="00E1123D"/>
    <w:rsid w:val="00E12A64"/>
    <w:rsid w:val="00E12E2A"/>
    <w:rsid w:val="00E13EDB"/>
    <w:rsid w:val="00E1405A"/>
    <w:rsid w:val="00E146A1"/>
    <w:rsid w:val="00E159A9"/>
    <w:rsid w:val="00E204EC"/>
    <w:rsid w:val="00E20B66"/>
    <w:rsid w:val="00E21A73"/>
    <w:rsid w:val="00E21F73"/>
    <w:rsid w:val="00E24988"/>
    <w:rsid w:val="00E25F48"/>
    <w:rsid w:val="00E25FD0"/>
    <w:rsid w:val="00E3099C"/>
    <w:rsid w:val="00E30DF9"/>
    <w:rsid w:val="00E3630C"/>
    <w:rsid w:val="00E36454"/>
    <w:rsid w:val="00E366BC"/>
    <w:rsid w:val="00E3682A"/>
    <w:rsid w:val="00E3712A"/>
    <w:rsid w:val="00E37F31"/>
    <w:rsid w:val="00E40FD3"/>
    <w:rsid w:val="00E41120"/>
    <w:rsid w:val="00E415B8"/>
    <w:rsid w:val="00E416D0"/>
    <w:rsid w:val="00E42CB4"/>
    <w:rsid w:val="00E44898"/>
    <w:rsid w:val="00E44913"/>
    <w:rsid w:val="00E450E7"/>
    <w:rsid w:val="00E453A3"/>
    <w:rsid w:val="00E45EB9"/>
    <w:rsid w:val="00E46136"/>
    <w:rsid w:val="00E467E1"/>
    <w:rsid w:val="00E46A44"/>
    <w:rsid w:val="00E50677"/>
    <w:rsid w:val="00E52735"/>
    <w:rsid w:val="00E54368"/>
    <w:rsid w:val="00E54F31"/>
    <w:rsid w:val="00E57227"/>
    <w:rsid w:val="00E57C7F"/>
    <w:rsid w:val="00E60085"/>
    <w:rsid w:val="00E610EB"/>
    <w:rsid w:val="00E61370"/>
    <w:rsid w:val="00E61A1E"/>
    <w:rsid w:val="00E640FF"/>
    <w:rsid w:val="00E6421A"/>
    <w:rsid w:val="00E658C7"/>
    <w:rsid w:val="00E663E6"/>
    <w:rsid w:val="00E67BAC"/>
    <w:rsid w:val="00E70617"/>
    <w:rsid w:val="00E745A4"/>
    <w:rsid w:val="00E751A0"/>
    <w:rsid w:val="00E7649D"/>
    <w:rsid w:val="00E76537"/>
    <w:rsid w:val="00E76A76"/>
    <w:rsid w:val="00E77373"/>
    <w:rsid w:val="00E82F2E"/>
    <w:rsid w:val="00E854C1"/>
    <w:rsid w:val="00E85C43"/>
    <w:rsid w:val="00E8627D"/>
    <w:rsid w:val="00E90B04"/>
    <w:rsid w:val="00E9415F"/>
    <w:rsid w:val="00E962D1"/>
    <w:rsid w:val="00E9694A"/>
    <w:rsid w:val="00E974AD"/>
    <w:rsid w:val="00EA029B"/>
    <w:rsid w:val="00EA0682"/>
    <w:rsid w:val="00EA084E"/>
    <w:rsid w:val="00EA0B48"/>
    <w:rsid w:val="00EA0CB2"/>
    <w:rsid w:val="00EA2351"/>
    <w:rsid w:val="00EA3283"/>
    <w:rsid w:val="00EA3BEF"/>
    <w:rsid w:val="00EA3CCB"/>
    <w:rsid w:val="00EA545B"/>
    <w:rsid w:val="00EA58D8"/>
    <w:rsid w:val="00EA5C4D"/>
    <w:rsid w:val="00EA5E0E"/>
    <w:rsid w:val="00EA67F3"/>
    <w:rsid w:val="00EA788B"/>
    <w:rsid w:val="00EB3326"/>
    <w:rsid w:val="00EB3A10"/>
    <w:rsid w:val="00EB59BD"/>
    <w:rsid w:val="00EB7D49"/>
    <w:rsid w:val="00EC117C"/>
    <w:rsid w:val="00EC359E"/>
    <w:rsid w:val="00EC452F"/>
    <w:rsid w:val="00EC5EA7"/>
    <w:rsid w:val="00ED08B8"/>
    <w:rsid w:val="00ED16A4"/>
    <w:rsid w:val="00ED23E9"/>
    <w:rsid w:val="00ED2E90"/>
    <w:rsid w:val="00ED445D"/>
    <w:rsid w:val="00EE03E2"/>
    <w:rsid w:val="00EE389F"/>
    <w:rsid w:val="00EE3DBE"/>
    <w:rsid w:val="00EE478E"/>
    <w:rsid w:val="00EE5038"/>
    <w:rsid w:val="00EE577E"/>
    <w:rsid w:val="00EE5855"/>
    <w:rsid w:val="00EE6A16"/>
    <w:rsid w:val="00EF026F"/>
    <w:rsid w:val="00EF0FAF"/>
    <w:rsid w:val="00EF152D"/>
    <w:rsid w:val="00EF2BA3"/>
    <w:rsid w:val="00EF4724"/>
    <w:rsid w:val="00EF4B1F"/>
    <w:rsid w:val="00EF4CD0"/>
    <w:rsid w:val="00EF66D0"/>
    <w:rsid w:val="00EF7E78"/>
    <w:rsid w:val="00F005C5"/>
    <w:rsid w:val="00F009BE"/>
    <w:rsid w:val="00F00D15"/>
    <w:rsid w:val="00F03583"/>
    <w:rsid w:val="00F05894"/>
    <w:rsid w:val="00F06907"/>
    <w:rsid w:val="00F07E5C"/>
    <w:rsid w:val="00F1040C"/>
    <w:rsid w:val="00F12586"/>
    <w:rsid w:val="00F14BA9"/>
    <w:rsid w:val="00F152D8"/>
    <w:rsid w:val="00F16CEC"/>
    <w:rsid w:val="00F20D61"/>
    <w:rsid w:val="00F21F57"/>
    <w:rsid w:val="00F2382D"/>
    <w:rsid w:val="00F24E48"/>
    <w:rsid w:val="00F26F4D"/>
    <w:rsid w:val="00F30453"/>
    <w:rsid w:val="00F330C7"/>
    <w:rsid w:val="00F402CE"/>
    <w:rsid w:val="00F40656"/>
    <w:rsid w:val="00F42516"/>
    <w:rsid w:val="00F42DD9"/>
    <w:rsid w:val="00F45187"/>
    <w:rsid w:val="00F459A6"/>
    <w:rsid w:val="00F47B27"/>
    <w:rsid w:val="00F5152E"/>
    <w:rsid w:val="00F53A75"/>
    <w:rsid w:val="00F55B60"/>
    <w:rsid w:val="00F56B27"/>
    <w:rsid w:val="00F57061"/>
    <w:rsid w:val="00F601D1"/>
    <w:rsid w:val="00F60B7B"/>
    <w:rsid w:val="00F616C1"/>
    <w:rsid w:val="00F619D4"/>
    <w:rsid w:val="00F643A3"/>
    <w:rsid w:val="00F64573"/>
    <w:rsid w:val="00F64898"/>
    <w:rsid w:val="00F65F08"/>
    <w:rsid w:val="00F6636D"/>
    <w:rsid w:val="00F674A5"/>
    <w:rsid w:val="00F71259"/>
    <w:rsid w:val="00F71448"/>
    <w:rsid w:val="00F72F4B"/>
    <w:rsid w:val="00F74028"/>
    <w:rsid w:val="00F748FE"/>
    <w:rsid w:val="00F759BC"/>
    <w:rsid w:val="00F80520"/>
    <w:rsid w:val="00F806B9"/>
    <w:rsid w:val="00F816BF"/>
    <w:rsid w:val="00F81C40"/>
    <w:rsid w:val="00F81FC9"/>
    <w:rsid w:val="00F85E7A"/>
    <w:rsid w:val="00F87386"/>
    <w:rsid w:val="00F90871"/>
    <w:rsid w:val="00F93130"/>
    <w:rsid w:val="00F93CC1"/>
    <w:rsid w:val="00F9410C"/>
    <w:rsid w:val="00F944A9"/>
    <w:rsid w:val="00F94B31"/>
    <w:rsid w:val="00F95CF3"/>
    <w:rsid w:val="00F970C0"/>
    <w:rsid w:val="00FA0F79"/>
    <w:rsid w:val="00FA1D04"/>
    <w:rsid w:val="00FA7F4B"/>
    <w:rsid w:val="00FB0E68"/>
    <w:rsid w:val="00FB278A"/>
    <w:rsid w:val="00FB64E9"/>
    <w:rsid w:val="00FB69C7"/>
    <w:rsid w:val="00FB71F7"/>
    <w:rsid w:val="00FB74E5"/>
    <w:rsid w:val="00FB7A8B"/>
    <w:rsid w:val="00FC0317"/>
    <w:rsid w:val="00FC0721"/>
    <w:rsid w:val="00FC0F6A"/>
    <w:rsid w:val="00FC3C61"/>
    <w:rsid w:val="00FD2271"/>
    <w:rsid w:val="00FD27BE"/>
    <w:rsid w:val="00FE0387"/>
    <w:rsid w:val="00FE12D2"/>
    <w:rsid w:val="00FE3A90"/>
    <w:rsid w:val="00FE3BD8"/>
    <w:rsid w:val="00FE5441"/>
    <w:rsid w:val="00FE5DB2"/>
    <w:rsid w:val="00FE72A5"/>
    <w:rsid w:val="00FE76F6"/>
    <w:rsid w:val="00FF1FDB"/>
    <w:rsid w:val="00FF7612"/>
    <w:rsid w:val="011B2E38"/>
    <w:rsid w:val="014138E5"/>
    <w:rsid w:val="014F09D3"/>
    <w:rsid w:val="01615741"/>
    <w:rsid w:val="01DA494C"/>
    <w:rsid w:val="01FE6AD1"/>
    <w:rsid w:val="0235346A"/>
    <w:rsid w:val="025A5526"/>
    <w:rsid w:val="02737E72"/>
    <w:rsid w:val="02796579"/>
    <w:rsid w:val="02865B55"/>
    <w:rsid w:val="028E6C98"/>
    <w:rsid w:val="02C92703"/>
    <w:rsid w:val="02E818DE"/>
    <w:rsid w:val="03093C3C"/>
    <w:rsid w:val="032911FF"/>
    <w:rsid w:val="037B4CD4"/>
    <w:rsid w:val="038D5CEA"/>
    <w:rsid w:val="03994022"/>
    <w:rsid w:val="03C0318C"/>
    <w:rsid w:val="03C46021"/>
    <w:rsid w:val="040468B6"/>
    <w:rsid w:val="041846B5"/>
    <w:rsid w:val="0427262A"/>
    <w:rsid w:val="04825E12"/>
    <w:rsid w:val="04DE1B9F"/>
    <w:rsid w:val="052722A7"/>
    <w:rsid w:val="055B0C43"/>
    <w:rsid w:val="057B2127"/>
    <w:rsid w:val="05951BA5"/>
    <w:rsid w:val="05A60F67"/>
    <w:rsid w:val="05FF1BD0"/>
    <w:rsid w:val="060B2289"/>
    <w:rsid w:val="061C5287"/>
    <w:rsid w:val="062A4B06"/>
    <w:rsid w:val="065B42D2"/>
    <w:rsid w:val="06AC7621"/>
    <w:rsid w:val="06EF2962"/>
    <w:rsid w:val="070F74DD"/>
    <w:rsid w:val="07156B69"/>
    <w:rsid w:val="074F7401"/>
    <w:rsid w:val="075876B9"/>
    <w:rsid w:val="07980D6B"/>
    <w:rsid w:val="079B6C48"/>
    <w:rsid w:val="07BA25DA"/>
    <w:rsid w:val="07D872D8"/>
    <w:rsid w:val="07DA754D"/>
    <w:rsid w:val="07F0265E"/>
    <w:rsid w:val="08061125"/>
    <w:rsid w:val="08270B6E"/>
    <w:rsid w:val="084A5596"/>
    <w:rsid w:val="0865444A"/>
    <w:rsid w:val="089E6A7F"/>
    <w:rsid w:val="08D401D8"/>
    <w:rsid w:val="08FB4267"/>
    <w:rsid w:val="08FC2784"/>
    <w:rsid w:val="093C27E8"/>
    <w:rsid w:val="09441DC3"/>
    <w:rsid w:val="0A196D7F"/>
    <w:rsid w:val="0A3227B1"/>
    <w:rsid w:val="0A38682C"/>
    <w:rsid w:val="0A403C01"/>
    <w:rsid w:val="0A663363"/>
    <w:rsid w:val="0AD4573C"/>
    <w:rsid w:val="0AED62B0"/>
    <w:rsid w:val="0AF30670"/>
    <w:rsid w:val="0B7E7969"/>
    <w:rsid w:val="0B9139BA"/>
    <w:rsid w:val="0BD70BDD"/>
    <w:rsid w:val="0BD93022"/>
    <w:rsid w:val="0BFD5CFE"/>
    <w:rsid w:val="0C461145"/>
    <w:rsid w:val="0C5D5313"/>
    <w:rsid w:val="0C6A6E26"/>
    <w:rsid w:val="0CE93FC6"/>
    <w:rsid w:val="0CEC0D29"/>
    <w:rsid w:val="0D181C6E"/>
    <w:rsid w:val="0D2160AD"/>
    <w:rsid w:val="0D282AD2"/>
    <w:rsid w:val="0D604131"/>
    <w:rsid w:val="0D6C0CA2"/>
    <w:rsid w:val="0D7F7494"/>
    <w:rsid w:val="0D835B86"/>
    <w:rsid w:val="0DCF28A1"/>
    <w:rsid w:val="0DD66368"/>
    <w:rsid w:val="0DE038F1"/>
    <w:rsid w:val="0E0B5ADC"/>
    <w:rsid w:val="0E2C316A"/>
    <w:rsid w:val="0E7058D0"/>
    <w:rsid w:val="0EA8609D"/>
    <w:rsid w:val="0EC00228"/>
    <w:rsid w:val="0EDE4D23"/>
    <w:rsid w:val="0F065B31"/>
    <w:rsid w:val="0F0A345E"/>
    <w:rsid w:val="0F45280D"/>
    <w:rsid w:val="0F512B06"/>
    <w:rsid w:val="0F78649A"/>
    <w:rsid w:val="0FF50DDF"/>
    <w:rsid w:val="0FFA158B"/>
    <w:rsid w:val="0FFA61C2"/>
    <w:rsid w:val="106B3C5C"/>
    <w:rsid w:val="10863276"/>
    <w:rsid w:val="1092732D"/>
    <w:rsid w:val="10AD73F6"/>
    <w:rsid w:val="10BE3305"/>
    <w:rsid w:val="10EA6F1D"/>
    <w:rsid w:val="10F11796"/>
    <w:rsid w:val="11001891"/>
    <w:rsid w:val="113C6D55"/>
    <w:rsid w:val="113D3267"/>
    <w:rsid w:val="119C31AD"/>
    <w:rsid w:val="11C43225"/>
    <w:rsid w:val="120A4FDB"/>
    <w:rsid w:val="122036B8"/>
    <w:rsid w:val="12321E85"/>
    <w:rsid w:val="1241258B"/>
    <w:rsid w:val="12775979"/>
    <w:rsid w:val="13005243"/>
    <w:rsid w:val="13090143"/>
    <w:rsid w:val="13213645"/>
    <w:rsid w:val="13A62A82"/>
    <w:rsid w:val="146B482B"/>
    <w:rsid w:val="14761774"/>
    <w:rsid w:val="14A24235"/>
    <w:rsid w:val="14F75923"/>
    <w:rsid w:val="14FD7476"/>
    <w:rsid w:val="150B3A4D"/>
    <w:rsid w:val="150F76B4"/>
    <w:rsid w:val="15896112"/>
    <w:rsid w:val="159F3D93"/>
    <w:rsid w:val="15C208E5"/>
    <w:rsid w:val="15C262DE"/>
    <w:rsid w:val="161C5FCC"/>
    <w:rsid w:val="162C162E"/>
    <w:rsid w:val="16342843"/>
    <w:rsid w:val="16E07C28"/>
    <w:rsid w:val="16F4705D"/>
    <w:rsid w:val="17064FFA"/>
    <w:rsid w:val="170F3D1F"/>
    <w:rsid w:val="172B7A6D"/>
    <w:rsid w:val="17447C31"/>
    <w:rsid w:val="174D6CD7"/>
    <w:rsid w:val="17A70CCC"/>
    <w:rsid w:val="17D8205C"/>
    <w:rsid w:val="17DD680B"/>
    <w:rsid w:val="18573657"/>
    <w:rsid w:val="187A4051"/>
    <w:rsid w:val="18B05777"/>
    <w:rsid w:val="18D61DE5"/>
    <w:rsid w:val="18E43D2A"/>
    <w:rsid w:val="1906188C"/>
    <w:rsid w:val="196C5B08"/>
    <w:rsid w:val="197A4451"/>
    <w:rsid w:val="198E7FC2"/>
    <w:rsid w:val="19BC7890"/>
    <w:rsid w:val="19FE0FFC"/>
    <w:rsid w:val="1A240CBD"/>
    <w:rsid w:val="1A2C6E15"/>
    <w:rsid w:val="1A474250"/>
    <w:rsid w:val="1A5672E2"/>
    <w:rsid w:val="1A67124F"/>
    <w:rsid w:val="1A6B25B7"/>
    <w:rsid w:val="1B3A6E7C"/>
    <w:rsid w:val="1B525540"/>
    <w:rsid w:val="1B5A6C2C"/>
    <w:rsid w:val="1B7366C4"/>
    <w:rsid w:val="1B8536C2"/>
    <w:rsid w:val="1B944DE0"/>
    <w:rsid w:val="1BDA68E8"/>
    <w:rsid w:val="1BF3616B"/>
    <w:rsid w:val="1C6A22D3"/>
    <w:rsid w:val="1C8E5EB0"/>
    <w:rsid w:val="1CA13AB6"/>
    <w:rsid w:val="1CBE1806"/>
    <w:rsid w:val="1CC90D33"/>
    <w:rsid w:val="1D4266ED"/>
    <w:rsid w:val="1D4A702D"/>
    <w:rsid w:val="1D4C35EE"/>
    <w:rsid w:val="1D5E59CA"/>
    <w:rsid w:val="1DC028A5"/>
    <w:rsid w:val="1DD713A5"/>
    <w:rsid w:val="1DE76CA3"/>
    <w:rsid w:val="1E47721C"/>
    <w:rsid w:val="1E62073C"/>
    <w:rsid w:val="1E76023A"/>
    <w:rsid w:val="1E9800F2"/>
    <w:rsid w:val="1EA772E0"/>
    <w:rsid w:val="1F0B766F"/>
    <w:rsid w:val="1F510700"/>
    <w:rsid w:val="1F746EDA"/>
    <w:rsid w:val="1F8867A0"/>
    <w:rsid w:val="202B2AD1"/>
    <w:rsid w:val="20345C14"/>
    <w:rsid w:val="20586B61"/>
    <w:rsid w:val="20A4693D"/>
    <w:rsid w:val="20D969A9"/>
    <w:rsid w:val="218A28CF"/>
    <w:rsid w:val="223F6733"/>
    <w:rsid w:val="225079A5"/>
    <w:rsid w:val="228D621F"/>
    <w:rsid w:val="22D24B74"/>
    <w:rsid w:val="22EC3F7C"/>
    <w:rsid w:val="23340BFF"/>
    <w:rsid w:val="236741D1"/>
    <w:rsid w:val="239B11C1"/>
    <w:rsid w:val="23B72EC4"/>
    <w:rsid w:val="23FF155B"/>
    <w:rsid w:val="24641FE2"/>
    <w:rsid w:val="2470011C"/>
    <w:rsid w:val="247E6012"/>
    <w:rsid w:val="24BD5A48"/>
    <w:rsid w:val="24CE481E"/>
    <w:rsid w:val="24DC4388"/>
    <w:rsid w:val="24E42B5E"/>
    <w:rsid w:val="250C4699"/>
    <w:rsid w:val="252D46D4"/>
    <w:rsid w:val="25551A7D"/>
    <w:rsid w:val="259E1D9A"/>
    <w:rsid w:val="261628B1"/>
    <w:rsid w:val="2624247F"/>
    <w:rsid w:val="262F00B4"/>
    <w:rsid w:val="26351B89"/>
    <w:rsid w:val="26413A7C"/>
    <w:rsid w:val="26783060"/>
    <w:rsid w:val="26831404"/>
    <w:rsid w:val="2685562C"/>
    <w:rsid w:val="268C7630"/>
    <w:rsid w:val="26B71A11"/>
    <w:rsid w:val="26C124AA"/>
    <w:rsid w:val="27076935"/>
    <w:rsid w:val="27356745"/>
    <w:rsid w:val="277116C7"/>
    <w:rsid w:val="277306A7"/>
    <w:rsid w:val="27775FB1"/>
    <w:rsid w:val="277C7C49"/>
    <w:rsid w:val="27BF4197"/>
    <w:rsid w:val="27C1387D"/>
    <w:rsid w:val="27E865E2"/>
    <w:rsid w:val="27F6251A"/>
    <w:rsid w:val="280B06AA"/>
    <w:rsid w:val="285F5C43"/>
    <w:rsid w:val="28B353A4"/>
    <w:rsid w:val="290134AB"/>
    <w:rsid w:val="2A3C48D7"/>
    <w:rsid w:val="2A595FE0"/>
    <w:rsid w:val="2A6339FD"/>
    <w:rsid w:val="2AB501B1"/>
    <w:rsid w:val="2AC47FF9"/>
    <w:rsid w:val="2ACB689F"/>
    <w:rsid w:val="2ACE26E2"/>
    <w:rsid w:val="2AD72C79"/>
    <w:rsid w:val="2AEB697C"/>
    <w:rsid w:val="2B273182"/>
    <w:rsid w:val="2B2D3C43"/>
    <w:rsid w:val="2B663DCA"/>
    <w:rsid w:val="2B690E35"/>
    <w:rsid w:val="2B725E2E"/>
    <w:rsid w:val="2B824762"/>
    <w:rsid w:val="2BAE0891"/>
    <w:rsid w:val="2BAE295A"/>
    <w:rsid w:val="2BC53C4F"/>
    <w:rsid w:val="2C4F5413"/>
    <w:rsid w:val="2C5D393E"/>
    <w:rsid w:val="2C83799A"/>
    <w:rsid w:val="2CAF694B"/>
    <w:rsid w:val="2CB915BF"/>
    <w:rsid w:val="2CDF29EC"/>
    <w:rsid w:val="2CE848AE"/>
    <w:rsid w:val="2CFC5E84"/>
    <w:rsid w:val="2D0960A0"/>
    <w:rsid w:val="2D1D3028"/>
    <w:rsid w:val="2D3765B4"/>
    <w:rsid w:val="2D7132D9"/>
    <w:rsid w:val="2D801130"/>
    <w:rsid w:val="2DAB2C4C"/>
    <w:rsid w:val="2DE65545"/>
    <w:rsid w:val="2DEA10A4"/>
    <w:rsid w:val="2DF62DE2"/>
    <w:rsid w:val="2E0229EA"/>
    <w:rsid w:val="2E065E15"/>
    <w:rsid w:val="2E1C2B25"/>
    <w:rsid w:val="2E216D40"/>
    <w:rsid w:val="2EBD5180"/>
    <w:rsid w:val="2F146F4C"/>
    <w:rsid w:val="2F662E71"/>
    <w:rsid w:val="2F835385"/>
    <w:rsid w:val="30054C1A"/>
    <w:rsid w:val="30341909"/>
    <w:rsid w:val="303F44B9"/>
    <w:rsid w:val="30495113"/>
    <w:rsid w:val="305665A7"/>
    <w:rsid w:val="305C20A1"/>
    <w:rsid w:val="30CF6095"/>
    <w:rsid w:val="31036440"/>
    <w:rsid w:val="310373D9"/>
    <w:rsid w:val="310C5EFC"/>
    <w:rsid w:val="315E60D3"/>
    <w:rsid w:val="31671CC5"/>
    <w:rsid w:val="31C2036C"/>
    <w:rsid w:val="31D82A83"/>
    <w:rsid w:val="32463868"/>
    <w:rsid w:val="32B45AA4"/>
    <w:rsid w:val="32CB7333"/>
    <w:rsid w:val="32CE51C1"/>
    <w:rsid w:val="32D50688"/>
    <w:rsid w:val="32F45ED0"/>
    <w:rsid w:val="335638F9"/>
    <w:rsid w:val="33671832"/>
    <w:rsid w:val="33776D2E"/>
    <w:rsid w:val="33817245"/>
    <w:rsid w:val="339B60C3"/>
    <w:rsid w:val="33A52BAB"/>
    <w:rsid w:val="33BF5CCA"/>
    <w:rsid w:val="33F35587"/>
    <w:rsid w:val="33F70AD6"/>
    <w:rsid w:val="34000267"/>
    <w:rsid w:val="3430176B"/>
    <w:rsid w:val="347A0EE3"/>
    <w:rsid w:val="34B26218"/>
    <w:rsid w:val="34C80B5E"/>
    <w:rsid w:val="34CF25C8"/>
    <w:rsid w:val="34E25B33"/>
    <w:rsid w:val="35070581"/>
    <w:rsid w:val="350C1AD9"/>
    <w:rsid w:val="35483AA0"/>
    <w:rsid w:val="354C3131"/>
    <w:rsid w:val="356F0D73"/>
    <w:rsid w:val="35796698"/>
    <w:rsid w:val="3598666A"/>
    <w:rsid w:val="35D17E72"/>
    <w:rsid w:val="36227DB5"/>
    <w:rsid w:val="36275D20"/>
    <w:rsid w:val="36907792"/>
    <w:rsid w:val="36A729CD"/>
    <w:rsid w:val="36AA1EFA"/>
    <w:rsid w:val="36C61BC9"/>
    <w:rsid w:val="36D5068E"/>
    <w:rsid w:val="36DD78DE"/>
    <w:rsid w:val="36EE41F0"/>
    <w:rsid w:val="36F64B18"/>
    <w:rsid w:val="37E10067"/>
    <w:rsid w:val="37ED2812"/>
    <w:rsid w:val="37FE7CB3"/>
    <w:rsid w:val="3846652A"/>
    <w:rsid w:val="3862254C"/>
    <w:rsid w:val="38803313"/>
    <w:rsid w:val="397B0DF2"/>
    <w:rsid w:val="39914F3D"/>
    <w:rsid w:val="39A40797"/>
    <w:rsid w:val="39DF4CCC"/>
    <w:rsid w:val="3A4C3C47"/>
    <w:rsid w:val="3A8B2F81"/>
    <w:rsid w:val="3A966060"/>
    <w:rsid w:val="3AD86FFF"/>
    <w:rsid w:val="3B1A14D8"/>
    <w:rsid w:val="3B1D5897"/>
    <w:rsid w:val="3B226F49"/>
    <w:rsid w:val="3B6254C9"/>
    <w:rsid w:val="3BC95FBF"/>
    <w:rsid w:val="3C5C3C4C"/>
    <w:rsid w:val="3C896008"/>
    <w:rsid w:val="3C90539A"/>
    <w:rsid w:val="3CFB05AA"/>
    <w:rsid w:val="3D116A98"/>
    <w:rsid w:val="3D2804EB"/>
    <w:rsid w:val="3D646BB5"/>
    <w:rsid w:val="3D7F1700"/>
    <w:rsid w:val="3D9A7397"/>
    <w:rsid w:val="3DB25BC4"/>
    <w:rsid w:val="3DF061FB"/>
    <w:rsid w:val="3DF3229D"/>
    <w:rsid w:val="3E36138F"/>
    <w:rsid w:val="3E757720"/>
    <w:rsid w:val="3EDE2AD3"/>
    <w:rsid w:val="3EED1610"/>
    <w:rsid w:val="3F167E9E"/>
    <w:rsid w:val="3F256345"/>
    <w:rsid w:val="3F4E0FAA"/>
    <w:rsid w:val="3F7976C9"/>
    <w:rsid w:val="3FE644CA"/>
    <w:rsid w:val="40062DA2"/>
    <w:rsid w:val="400D4F11"/>
    <w:rsid w:val="4015433D"/>
    <w:rsid w:val="4040705C"/>
    <w:rsid w:val="40527268"/>
    <w:rsid w:val="405D5087"/>
    <w:rsid w:val="40842783"/>
    <w:rsid w:val="40890670"/>
    <w:rsid w:val="40A86AC1"/>
    <w:rsid w:val="40B756B8"/>
    <w:rsid w:val="41040A34"/>
    <w:rsid w:val="411738D0"/>
    <w:rsid w:val="4118372D"/>
    <w:rsid w:val="41297CC4"/>
    <w:rsid w:val="41335FC9"/>
    <w:rsid w:val="414C08A2"/>
    <w:rsid w:val="415E4253"/>
    <w:rsid w:val="41701131"/>
    <w:rsid w:val="418C37E1"/>
    <w:rsid w:val="419E7847"/>
    <w:rsid w:val="41C02DEF"/>
    <w:rsid w:val="41CC2635"/>
    <w:rsid w:val="41FF5609"/>
    <w:rsid w:val="420E5AA6"/>
    <w:rsid w:val="421A31B0"/>
    <w:rsid w:val="421E323E"/>
    <w:rsid w:val="422E5CC6"/>
    <w:rsid w:val="425959B4"/>
    <w:rsid w:val="42670E32"/>
    <w:rsid w:val="42F669E1"/>
    <w:rsid w:val="43225772"/>
    <w:rsid w:val="434863BE"/>
    <w:rsid w:val="434B5C56"/>
    <w:rsid w:val="43C041BF"/>
    <w:rsid w:val="43DC0E27"/>
    <w:rsid w:val="4421677D"/>
    <w:rsid w:val="4481496D"/>
    <w:rsid w:val="44B36ACE"/>
    <w:rsid w:val="44BC77EC"/>
    <w:rsid w:val="45202377"/>
    <w:rsid w:val="452B3604"/>
    <w:rsid w:val="454B3178"/>
    <w:rsid w:val="45C5329B"/>
    <w:rsid w:val="45EC25C2"/>
    <w:rsid w:val="46850C8B"/>
    <w:rsid w:val="4697602E"/>
    <w:rsid w:val="46DA0FD0"/>
    <w:rsid w:val="47056033"/>
    <w:rsid w:val="472E7904"/>
    <w:rsid w:val="47315CBD"/>
    <w:rsid w:val="47441C4C"/>
    <w:rsid w:val="477A43F1"/>
    <w:rsid w:val="478E64B4"/>
    <w:rsid w:val="47FB429C"/>
    <w:rsid w:val="48614361"/>
    <w:rsid w:val="48676BD1"/>
    <w:rsid w:val="48C52015"/>
    <w:rsid w:val="48D10788"/>
    <w:rsid w:val="48EC0CD5"/>
    <w:rsid w:val="494C6832"/>
    <w:rsid w:val="49690EDC"/>
    <w:rsid w:val="49AA3128"/>
    <w:rsid w:val="4A1A65EB"/>
    <w:rsid w:val="4A5D49A7"/>
    <w:rsid w:val="4A982E33"/>
    <w:rsid w:val="4A9B5279"/>
    <w:rsid w:val="4AA7140E"/>
    <w:rsid w:val="4AF414C6"/>
    <w:rsid w:val="4B153778"/>
    <w:rsid w:val="4B44154F"/>
    <w:rsid w:val="4B892AAA"/>
    <w:rsid w:val="4B9D4D6D"/>
    <w:rsid w:val="4BD07D8A"/>
    <w:rsid w:val="4C0D0A7A"/>
    <w:rsid w:val="4C2F21BB"/>
    <w:rsid w:val="4C363F71"/>
    <w:rsid w:val="4C406F9B"/>
    <w:rsid w:val="4C470607"/>
    <w:rsid w:val="4C512114"/>
    <w:rsid w:val="4C6407B2"/>
    <w:rsid w:val="4C891825"/>
    <w:rsid w:val="4D434F37"/>
    <w:rsid w:val="4D872C2D"/>
    <w:rsid w:val="4DA42B01"/>
    <w:rsid w:val="4DF87660"/>
    <w:rsid w:val="4E1D510A"/>
    <w:rsid w:val="4E33529A"/>
    <w:rsid w:val="4E4850BC"/>
    <w:rsid w:val="4E537B49"/>
    <w:rsid w:val="4E9056D4"/>
    <w:rsid w:val="4EAA1951"/>
    <w:rsid w:val="4EAD4631"/>
    <w:rsid w:val="4F0E1AF7"/>
    <w:rsid w:val="4F2B26A8"/>
    <w:rsid w:val="4F7B62B4"/>
    <w:rsid w:val="4F82241C"/>
    <w:rsid w:val="504B72C7"/>
    <w:rsid w:val="50620D6F"/>
    <w:rsid w:val="50802B94"/>
    <w:rsid w:val="509D71CD"/>
    <w:rsid w:val="50A26286"/>
    <w:rsid w:val="50B452D3"/>
    <w:rsid w:val="51736D6C"/>
    <w:rsid w:val="51890802"/>
    <w:rsid w:val="51B0261D"/>
    <w:rsid w:val="51B54ABE"/>
    <w:rsid w:val="520F1FC0"/>
    <w:rsid w:val="52113A28"/>
    <w:rsid w:val="521D51AA"/>
    <w:rsid w:val="52810C43"/>
    <w:rsid w:val="52965DD2"/>
    <w:rsid w:val="52A655FF"/>
    <w:rsid w:val="52EB46C4"/>
    <w:rsid w:val="52F52B65"/>
    <w:rsid w:val="52F6000E"/>
    <w:rsid w:val="53221C65"/>
    <w:rsid w:val="535C4FE2"/>
    <w:rsid w:val="538D51C5"/>
    <w:rsid w:val="53BD0613"/>
    <w:rsid w:val="53E1152A"/>
    <w:rsid w:val="53EA562E"/>
    <w:rsid w:val="54900B7F"/>
    <w:rsid w:val="54A06503"/>
    <w:rsid w:val="54C063C2"/>
    <w:rsid w:val="54D02D1F"/>
    <w:rsid w:val="55006F88"/>
    <w:rsid w:val="551754FD"/>
    <w:rsid w:val="554A02FD"/>
    <w:rsid w:val="55D25814"/>
    <w:rsid w:val="56121BBE"/>
    <w:rsid w:val="56A8086F"/>
    <w:rsid w:val="56B05992"/>
    <w:rsid w:val="5784326D"/>
    <w:rsid w:val="5785532F"/>
    <w:rsid w:val="579C2294"/>
    <w:rsid w:val="57CA3325"/>
    <w:rsid w:val="57D127B8"/>
    <w:rsid w:val="57F04382"/>
    <w:rsid w:val="582608A0"/>
    <w:rsid w:val="584C0094"/>
    <w:rsid w:val="58912831"/>
    <w:rsid w:val="58B56E27"/>
    <w:rsid w:val="58FD06B1"/>
    <w:rsid w:val="59426C92"/>
    <w:rsid w:val="59672CF3"/>
    <w:rsid w:val="59A27512"/>
    <w:rsid w:val="59A92C6E"/>
    <w:rsid w:val="59E0555A"/>
    <w:rsid w:val="59EA1A56"/>
    <w:rsid w:val="5A010482"/>
    <w:rsid w:val="5A400A16"/>
    <w:rsid w:val="5A63477E"/>
    <w:rsid w:val="5AC27CF4"/>
    <w:rsid w:val="5B091427"/>
    <w:rsid w:val="5B9010D6"/>
    <w:rsid w:val="5BA73880"/>
    <w:rsid w:val="5C3345B7"/>
    <w:rsid w:val="5C4243F4"/>
    <w:rsid w:val="5C567561"/>
    <w:rsid w:val="5C8F6241"/>
    <w:rsid w:val="5CAA5AB9"/>
    <w:rsid w:val="5CDE6D82"/>
    <w:rsid w:val="5D0E5C53"/>
    <w:rsid w:val="5D212BDD"/>
    <w:rsid w:val="5D22290C"/>
    <w:rsid w:val="5D557AD9"/>
    <w:rsid w:val="5D62442A"/>
    <w:rsid w:val="5DD169CD"/>
    <w:rsid w:val="5DD26365"/>
    <w:rsid w:val="5E976BC8"/>
    <w:rsid w:val="5ED250AE"/>
    <w:rsid w:val="5F4E20AD"/>
    <w:rsid w:val="5F7210FD"/>
    <w:rsid w:val="5F865174"/>
    <w:rsid w:val="5F9920D2"/>
    <w:rsid w:val="5FC13F0A"/>
    <w:rsid w:val="5FC62184"/>
    <w:rsid w:val="5FD51631"/>
    <w:rsid w:val="5FDE72F6"/>
    <w:rsid w:val="607508FE"/>
    <w:rsid w:val="60B94E52"/>
    <w:rsid w:val="612D341A"/>
    <w:rsid w:val="619B022F"/>
    <w:rsid w:val="61E1537F"/>
    <w:rsid w:val="62652A9E"/>
    <w:rsid w:val="628E10FA"/>
    <w:rsid w:val="629054FC"/>
    <w:rsid w:val="6299512D"/>
    <w:rsid w:val="629A5576"/>
    <w:rsid w:val="62D26DDC"/>
    <w:rsid w:val="62F01C69"/>
    <w:rsid w:val="62F91C62"/>
    <w:rsid w:val="63072BCC"/>
    <w:rsid w:val="6315696A"/>
    <w:rsid w:val="63285926"/>
    <w:rsid w:val="633E62C9"/>
    <w:rsid w:val="6356073C"/>
    <w:rsid w:val="63C170AD"/>
    <w:rsid w:val="63F15388"/>
    <w:rsid w:val="64016839"/>
    <w:rsid w:val="642072AD"/>
    <w:rsid w:val="645F1DFD"/>
    <w:rsid w:val="64603DE6"/>
    <w:rsid w:val="646E127E"/>
    <w:rsid w:val="64862944"/>
    <w:rsid w:val="64E42B53"/>
    <w:rsid w:val="64FA5ACB"/>
    <w:rsid w:val="65BE7A05"/>
    <w:rsid w:val="65D30E3D"/>
    <w:rsid w:val="663E63C4"/>
    <w:rsid w:val="666A2FB9"/>
    <w:rsid w:val="668F2B06"/>
    <w:rsid w:val="66E61903"/>
    <w:rsid w:val="670A5417"/>
    <w:rsid w:val="673C6ECE"/>
    <w:rsid w:val="675E6B93"/>
    <w:rsid w:val="67E824B1"/>
    <w:rsid w:val="67F66FA0"/>
    <w:rsid w:val="68367F94"/>
    <w:rsid w:val="689C0DA3"/>
    <w:rsid w:val="68E5526D"/>
    <w:rsid w:val="69150C63"/>
    <w:rsid w:val="697F30FA"/>
    <w:rsid w:val="698D3F53"/>
    <w:rsid w:val="699679EA"/>
    <w:rsid w:val="6A173A58"/>
    <w:rsid w:val="6A2A2600"/>
    <w:rsid w:val="6AA17E18"/>
    <w:rsid w:val="6AF5154A"/>
    <w:rsid w:val="6AFD504E"/>
    <w:rsid w:val="6B794D1E"/>
    <w:rsid w:val="6BAF2A84"/>
    <w:rsid w:val="6BEF7C67"/>
    <w:rsid w:val="6BF277B0"/>
    <w:rsid w:val="6BF35B12"/>
    <w:rsid w:val="6C1C6C2A"/>
    <w:rsid w:val="6C364E41"/>
    <w:rsid w:val="6C3919F6"/>
    <w:rsid w:val="6C4F62CC"/>
    <w:rsid w:val="6C61224A"/>
    <w:rsid w:val="6C821243"/>
    <w:rsid w:val="6CAC3350"/>
    <w:rsid w:val="6CB42814"/>
    <w:rsid w:val="6CE0687E"/>
    <w:rsid w:val="6CEE4FD5"/>
    <w:rsid w:val="6CFA1218"/>
    <w:rsid w:val="6D096903"/>
    <w:rsid w:val="6D121BA4"/>
    <w:rsid w:val="6D440804"/>
    <w:rsid w:val="6D5F1A40"/>
    <w:rsid w:val="6D9A17E6"/>
    <w:rsid w:val="6DA53478"/>
    <w:rsid w:val="6E9C533A"/>
    <w:rsid w:val="6E9F3112"/>
    <w:rsid w:val="6F1714D7"/>
    <w:rsid w:val="6F7B648A"/>
    <w:rsid w:val="6FA515F0"/>
    <w:rsid w:val="6FF26397"/>
    <w:rsid w:val="70055143"/>
    <w:rsid w:val="70292EC5"/>
    <w:rsid w:val="705C0FC6"/>
    <w:rsid w:val="70737D6B"/>
    <w:rsid w:val="70A13A10"/>
    <w:rsid w:val="70AF4C61"/>
    <w:rsid w:val="70E316BB"/>
    <w:rsid w:val="71117641"/>
    <w:rsid w:val="71156382"/>
    <w:rsid w:val="719E6475"/>
    <w:rsid w:val="71D5275B"/>
    <w:rsid w:val="726B2F4E"/>
    <w:rsid w:val="72811B07"/>
    <w:rsid w:val="72A75400"/>
    <w:rsid w:val="72E14ADE"/>
    <w:rsid w:val="72EF7D33"/>
    <w:rsid w:val="73171221"/>
    <w:rsid w:val="734A5E0F"/>
    <w:rsid w:val="734C0143"/>
    <w:rsid w:val="734D08F1"/>
    <w:rsid w:val="735B6634"/>
    <w:rsid w:val="737A756E"/>
    <w:rsid w:val="74426AAA"/>
    <w:rsid w:val="74AE50F0"/>
    <w:rsid w:val="75616574"/>
    <w:rsid w:val="756C7A6D"/>
    <w:rsid w:val="75A57FB9"/>
    <w:rsid w:val="75DA0D53"/>
    <w:rsid w:val="75E70D2F"/>
    <w:rsid w:val="75E7449A"/>
    <w:rsid w:val="76065314"/>
    <w:rsid w:val="76170497"/>
    <w:rsid w:val="761D4037"/>
    <w:rsid w:val="76200EC2"/>
    <w:rsid w:val="763A521F"/>
    <w:rsid w:val="764F0ABE"/>
    <w:rsid w:val="768B2D96"/>
    <w:rsid w:val="76C4558B"/>
    <w:rsid w:val="774016E4"/>
    <w:rsid w:val="77475ACF"/>
    <w:rsid w:val="78DF4892"/>
    <w:rsid w:val="78F138E1"/>
    <w:rsid w:val="79496D12"/>
    <w:rsid w:val="797A3212"/>
    <w:rsid w:val="79B460D7"/>
    <w:rsid w:val="79BC2804"/>
    <w:rsid w:val="79C83864"/>
    <w:rsid w:val="79E50D3A"/>
    <w:rsid w:val="79FD5FD5"/>
    <w:rsid w:val="7A03782A"/>
    <w:rsid w:val="7A1A1324"/>
    <w:rsid w:val="7A570C5B"/>
    <w:rsid w:val="7A737C87"/>
    <w:rsid w:val="7A745A5C"/>
    <w:rsid w:val="7AA26E1C"/>
    <w:rsid w:val="7ACE4E37"/>
    <w:rsid w:val="7B1F45AC"/>
    <w:rsid w:val="7B265B3C"/>
    <w:rsid w:val="7B324AC3"/>
    <w:rsid w:val="7B387682"/>
    <w:rsid w:val="7B54266E"/>
    <w:rsid w:val="7BA42308"/>
    <w:rsid w:val="7BB068AE"/>
    <w:rsid w:val="7BB45549"/>
    <w:rsid w:val="7BBA3926"/>
    <w:rsid w:val="7BBC6A2C"/>
    <w:rsid w:val="7BCC5B97"/>
    <w:rsid w:val="7BED7271"/>
    <w:rsid w:val="7C017373"/>
    <w:rsid w:val="7C0977CC"/>
    <w:rsid w:val="7CBF0447"/>
    <w:rsid w:val="7D136B9C"/>
    <w:rsid w:val="7D7332D9"/>
    <w:rsid w:val="7DD476D6"/>
    <w:rsid w:val="7E0C2354"/>
    <w:rsid w:val="7E1728EB"/>
    <w:rsid w:val="7E996DD5"/>
    <w:rsid w:val="7EAD35DD"/>
    <w:rsid w:val="7EF94AB0"/>
    <w:rsid w:val="7F012B24"/>
    <w:rsid w:val="7F1A2C2A"/>
    <w:rsid w:val="7FAC736E"/>
    <w:rsid w:val="7FB0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qFormat/>
    <w:uiPriority w:val="0"/>
    <w:pPr>
      <w:keepNext/>
      <w:widowControl/>
      <w:numPr>
        <w:ilvl w:val="0"/>
        <w:numId w:val="1"/>
      </w:numPr>
      <w:jc w:val="center"/>
      <w:outlineLvl w:val="0"/>
    </w:pPr>
    <w:rPr>
      <w:rFonts w:ascii="黑体" w:eastAsia="黑体"/>
      <w:kern w:val="0"/>
      <w:sz w:val="52"/>
      <w:szCs w:val="20"/>
    </w:rPr>
  </w:style>
  <w:style w:type="paragraph" w:styleId="5">
    <w:name w:val="heading 2"/>
    <w:basedOn w:val="1"/>
    <w:next w:val="1"/>
    <w:link w:val="80"/>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9"/>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7">
    <w:name w:val="heading 4"/>
    <w:basedOn w:val="1"/>
    <w:next w:val="1"/>
    <w:qFormat/>
    <w:uiPriority w:val="0"/>
    <w:pPr>
      <w:keepNext/>
      <w:keepLines/>
      <w:widowControl/>
      <w:spacing w:before="120" w:after="120" w:line="360" w:lineRule="auto"/>
      <w:jc w:val="center"/>
      <w:outlineLvl w:val="3"/>
    </w:pPr>
    <w:rPr>
      <w:rFonts w:ascii="Arial" w:hAnsi="Arial" w:eastAsia="黑体"/>
      <w:kern w:val="0"/>
      <w:szCs w:val="20"/>
    </w:rPr>
  </w:style>
  <w:style w:type="paragraph" w:styleId="8">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9">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10">
    <w:name w:val="heading 7"/>
    <w:basedOn w:val="1"/>
    <w:next w:val="1"/>
    <w:qFormat/>
    <w:uiPriority w:val="0"/>
    <w:pPr>
      <w:keepNext/>
      <w:keepLines/>
      <w:widowControl/>
      <w:numPr>
        <w:ilvl w:val="6"/>
        <w:numId w:val="1"/>
      </w:numPr>
      <w:spacing w:before="240" w:after="64" w:line="320" w:lineRule="auto"/>
      <w:jc w:val="left"/>
      <w:outlineLvl w:val="6"/>
    </w:pPr>
    <w:rPr>
      <w:b/>
      <w:bCs/>
      <w:kern w:val="0"/>
      <w:sz w:val="24"/>
    </w:rPr>
  </w:style>
  <w:style w:type="paragraph" w:styleId="11">
    <w:name w:val="heading 8"/>
    <w:basedOn w:val="1"/>
    <w:next w:val="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2">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 w:val="21"/>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0"/>
        <w:tab w:val="left" w:pos="993"/>
        <w:tab w:val="left" w:pos="1134"/>
      </w:tabs>
      <w:spacing w:after="120" w:line="240" w:lineRule="auto"/>
      <w:ind w:left="420" w:leftChars="200" w:firstLine="420" w:firstLineChars="200"/>
    </w:pPr>
    <w:rPr>
      <w:rFonts w:ascii="Calibri" w:hAnsi="Calibri"/>
      <w:sz w:val="21"/>
      <w:szCs w:val="24"/>
    </w:rPr>
  </w:style>
  <w:style w:type="paragraph" w:styleId="3">
    <w:name w:val="Body Text Indent"/>
    <w:basedOn w:val="1"/>
    <w:qFormat/>
    <w:uiPriority w:val="0"/>
    <w:pPr>
      <w:widowControl/>
      <w:tabs>
        <w:tab w:val="left" w:pos="0"/>
        <w:tab w:val="left" w:pos="993"/>
        <w:tab w:val="left" w:pos="1134"/>
      </w:tabs>
      <w:spacing w:line="500" w:lineRule="exact"/>
      <w:ind w:firstLine="567"/>
    </w:pPr>
    <w:rPr>
      <w:rFonts w:ascii="宋体"/>
      <w:kern w:val="0"/>
      <w:szCs w:val="20"/>
    </w:rPr>
  </w:style>
  <w:style w:type="paragraph" w:styleId="13">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4">
    <w:name w:val="Normal Indent"/>
    <w:basedOn w:val="1"/>
    <w:next w:val="1"/>
    <w:link w:val="81"/>
    <w:qFormat/>
    <w:uiPriority w:val="0"/>
    <w:pPr>
      <w:ind w:firstLine="420"/>
    </w:pPr>
    <w:rPr>
      <w:sz w:val="21"/>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semiHidden/>
    <w:qFormat/>
    <w:uiPriority w:val="0"/>
    <w:pPr>
      <w:shd w:val="clear" w:color="auto" w:fill="000080"/>
    </w:pPr>
  </w:style>
  <w:style w:type="paragraph" w:styleId="17">
    <w:name w:val="annotation text"/>
    <w:basedOn w:val="1"/>
    <w:semiHidden/>
    <w:qFormat/>
    <w:uiPriority w:val="99"/>
    <w:pPr>
      <w:adjustRightInd w:val="0"/>
      <w:spacing w:line="360" w:lineRule="atLeast"/>
      <w:jc w:val="left"/>
      <w:textAlignment w:val="baseline"/>
    </w:pPr>
    <w:rPr>
      <w:kern w:val="0"/>
      <w:sz w:val="24"/>
      <w:szCs w:val="20"/>
    </w:rPr>
  </w:style>
  <w:style w:type="paragraph" w:styleId="18">
    <w:name w:val="Body Text 3"/>
    <w:basedOn w:val="1"/>
    <w:qFormat/>
    <w:uiPriority w:val="0"/>
    <w:pPr>
      <w:snapToGrid w:val="0"/>
      <w:spacing w:before="50" w:after="50"/>
    </w:pPr>
  </w:style>
  <w:style w:type="paragraph" w:styleId="19">
    <w:name w:val="List Bullet 3"/>
    <w:basedOn w:val="1"/>
    <w:qFormat/>
    <w:uiPriority w:val="0"/>
    <w:pPr>
      <w:numPr>
        <w:ilvl w:val="0"/>
        <w:numId w:val="2"/>
      </w:numPr>
    </w:pPr>
    <w:rPr>
      <w:sz w:val="21"/>
    </w:rPr>
  </w:style>
  <w:style w:type="paragraph" w:styleId="20">
    <w:name w:val="Body Text"/>
    <w:basedOn w:val="1"/>
    <w:next w:val="21"/>
    <w:qFormat/>
    <w:uiPriority w:val="0"/>
    <w:pPr>
      <w:spacing w:line="0" w:lineRule="atLeast"/>
    </w:pPr>
    <w:rPr>
      <w:sz w:val="30"/>
      <w:szCs w:val="20"/>
    </w:rPr>
  </w:style>
  <w:style w:type="paragraph" w:styleId="21">
    <w:name w:val="Body Text First Indent"/>
    <w:basedOn w:val="20"/>
    <w:next w:val="1"/>
    <w:qFormat/>
    <w:uiPriority w:val="0"/>
    <w:pPr>
      <w:spacing w:after="120" w:line="240" w:lineRule="auto"/>
      <w:ind w:firstLine="420" w:firstLineChars="100"/>
    </w:pPr>
    <w:rPr>
      <w:sz w:val="28"/>
    </w:rPr>
  </w:style>
  <w:style w:type="paragraph" w:styleId="22">
    <w:name w:val="List Number 3"/>
    <w:basedOn w:val="1"/>
    <w:qFormat/>
    <w:uiPriority w:val="0"/>
    <w:pPr>
      <w:numPr>
        <w:ilvl w:val="0"/>
        <w:numId w:val="3"/>
      </w:numPr>
    </w:pPr>
    <w:rPr>
      <w:sz w:val="21"/>
    </w:rPr>
  </w:style>
  <w:style w:type="paragraph" w:styleId="23">
    <w:name w:val="List 2"/>
    <w:basedOn w:val="1"/>
    <w:qFormat/>
    <w:uiPriority w:val="0"/>
    <w:pPr>
      <w:ind w:left="100" w:leftChars="200" w:hanging="200" w:hangingChars="200"/>
    </w:p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3"/>
    <w:basedOn w:val="1"/>
    <w:next w:val="1"/>
    <w:semiHidden/>
    <w:qFormat/>
    <w:uiPriority w:val="0"/>
    <w:pPr>
      <w:widowControl/>
      <w:ind w:left="400" w:right="255"/>
    </w:pPr>
    <w:rPr>
      <w:kern w:val="0"/>
      <w:sz w:val="24"/>
      <w:szCs w:val="20"/>
    </w:rPr>
  </w:style>
  <w:style w:type="paragraph" w:styleId="26">
    <w:name w:val="Plain Text"/>
    <w:basedOn w:val="1"/>
    <w:link w:val="73"/>
    <w:qFormat/>
    <w:uiPriority w:val="0"/>
    <w:pPr>
      <w:adjustRightInd w:val="0"/>
      <w:snapToGrid w:val="0"/>
    </w:pPr>
    <w:rPr>
      <w:rFonts w:ascii="宋体" w:hAnsi="Courier New" w:cs="Courier New"/>
      <w:sz w:val="21"/>
      <w:szCs w:val="21"/>
    </w:rPr>
  </w:style>
  <w:style w:type="paragraph" w:styleId="27">
    <w:name w:val="Date"/>
    <w:basedOn w:val="1"/>
    <w:next w:val="1"/>
    <w:qFormat/>
    <w:uiPriority w:val="0"/>
    <w:rPr>
      <w:szCs w:val="20"/>
    </w:rPr>
  </w:style>
  <w:style w:type="paragraph" w:styleId="28">
    <w:name w:val="Body Text Indent 2"/>
    <w:basedOn w:val="1"/>
    <w:qFormat/>
    <w:uiPriority w:val="0"/>
    <w:pPr>
      <w:ind w:firstLine="560" w:firstLineChars="200"/>
    </w:pPr>
    <w:rPr>
      <w:rFonts w:ascii="宋体" w:hAnsi="宋体"/>
      <w:szCs w:val="20"/>
    </w:rPr>
  </w:style>
  <w:style w:type="paragraph" w:styleId="29">
    <w:name w:val="Balloon Text"/>
    <w:basedOn w:val="1"/>
    <w:semiHidden/>
    <w:qFormat/>
    <w:uiPriority w:val="0"/>
    <w:rPr>
      <w:sz w:val="18"/>
      <w:szCs w:val="18"/>
    </w:rPr>
  </w:style>
  <w:style w:type="paragraph" w:styleId="30">
    <w:name w:val="footer"/>
    <w:basedOn w:val="1"/>
    <w:link w:val="78"/>
    <w:qFormat/>
    <w:uiPriority w:val="0"/>
    <w:pPr>
      <w:tabs>
        <w:tab w:val="center" w:pos="4153"/>
        <w:tab w:val="right" w:pos="8306"/>
      </w:tabs>
      <w:snapToGrid w:val="0"/>
      <w:jc w:val="left"/>
    </w:pPr>
    <w:rPr>
      <w:sz w:val="18"/>
      <w:szCs w:val="18"/>
    </w:rPr>
  </w:style>
  <w:style w:type="paragraph" w:styleId="31">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style>
  <w:style w:type="paragraph" w:styleId="33">
    <w:name w:val="List"/>
    <w:basedOn w:val="1"/>
    <w:qFormat/>
    <w:uiPriority w:val="0"/>
    <w:pPr>
      <w:ind w:left="200" w:hanging="200" w:hangingChars="200"/>
    </w:pPr>
  </w:style>
  <w:style w:type="paragraph" w:styleId="34">
    <w:name w:val="Body Text Indent 3"/>
    <w:basedOn w:val="1"/>
    <w:qFormat/>
    <w:uiPriority w:val="0"/>
    <w:pPr>
      <w:ind w:firstLine="419" w:firstLineChars="161"/>
    </w:pPr>
    <w:rPr>
      <w:rFonts w:ascii="宋体" w:hAnsi="宋体"/>
      <w:szCs w:val="20"/>
    </w:rPr>
  </w:style>
  <w:style w:type="paragraph" w:styleId="35">
    <w:name w:val="toc 2"/>
    <w:basedOn w:val="1"/>
    <w:next w:val="1"/>
    <w:qFormat/>
    <w:uiPriority w:val="0"/>
    <w:pPr>
      <w:ind w:left="420" w:leftChars="200"/>
    </w:pPr>
  </w:style>
  <w:style w:type="paragraph" w:styleId="36">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99"/>
    <w:rPr>
      <w:color w:val="333333"/>
      <w:u w:val="none"/>
    </w:rPr>
  </w:style>
  <w:style w:type="character" w:styleId="45">
    <w:name w:val="Emphasis"/>
    <w:qFormat/>
    <w:uiPriority w:val="0"/>
    <w:rPr>
      <w:color w:val="CC0033"/>
    </w:rPr>
  </w:style>
  <w:style w:type="character" w:styleId="46">
    <w:name w:val="HTML Definition"/>
    <w:qFormat/>
    <w:uiPriority w:val="0"/>
  </w:style>
  <w:style w:type="character" w:styleId="47">
    <w:name w:val="HTML Typewriter"/>
    <w:qFormat/>
    <w:uiPriority w:val="0"/>
    <w:rPr>
      <w:rFonts w:hint="default" w:ascii="monospace" w:hAnsi="monospace" w:eastAsia="monospace" w:cs="monospace"/>
      <w:sz w:val="20"/>
    </w:rPr>
  </w:style>
  <w:style w:type="character" w:styleId="48">
    <w:name w:val="HTML Acronym"/>
    <w:basedOn w:val="41"/>
    <w:qFormat/>
    <w:uiPriority w:val="0"/>
  </w:style>
  <w:style w:type="character" w:styleId="49">
    <w:name w:val="HTML Variable"/>
    <w:qFormat/>
    <w:uiPriority w:val="0"/>
  </w:style>
  <w:style w:type="character" w:styleId="50">
    <w:name w:val="Hyperlink"/>
    <w:qFormat/>
    <w:uiPriority w:val="99"/>
    <w:rPr>
      <w:color w:val="333333"/>
      <w:u w:val="none"/>
    </w:rPr>
  </w:style>
  <w:style w:type="character" w:styleId="51">
    <w:name w:val="HTML Code"/>
    <w:qFormat/>
    <w:uiPriority w:val="0"/>
    <w:rPr>
      <w:rFonts w:ascii="monospace" w:hAnsi="monospace" w:eastAsia="monospace" w:cs="monospace"/>
      <w:sz w:val="20"/>
    </w:rPr>
  </w:style>
  <w:style w:type="character" w:styleId="52">
    <w:name w:val="annotation reference"/>
    <w:qFormat/>
    <w:uiPriority w:val="0"/>
    <w:rPr>
      <w:rFonts w:ascii="Tahoma" w:hAnsi="Tahoma"/>
      <w:sz w:val="21"/>
      <w:szCs w:val="21"/>
    </w:rPr>
  </w:style>
  <w:style w:type="character" w:styleId="53">
    <w:name w:val="HTML Cite"/>
    <w:qFormat/>
    <w:uiPriority w:val="0"/>
  </w:style>
  <w:style w:type="character" w:styleId="54">
    <w:name w:val="HTML Keyboard"/>
    <w:qFormat/>
    <w:uiPriority w:val="0"/>
    <w:rPr>
      <w:rFonts w:hint="default" w:ascii="monospace" w:hAnsi="monospace" w:eastAsia="monospace" w:cs="monospace"/>
      <w:sz w:val="20"/>
    </w:rPr>
  </w:style>
  <w:style w:type="character" w:styleId="55">
    <w:name w:val="HTML Sample"/>
    <w:qFormat/>
    <w:uiPriority w:val="0"/>
    <w:rPr>
      <w:rFonts w:hint="default" w:ascii="monospace" w:hAnsi="monospace" w:eastAsia="monospace" w:cs="monospace"/>
    </w:rPr>
  </w:style>
  <w:style w:type="paragraph" w:customStyle="1" w:styleId="56">
    <w:name w:val="首行缩进"/>
    <w:basedOn w:val="1"/>
    <w:qFormat/>
    <w:uiPriority w:val="0"/>
    <w:pPr>
      <w:ind w:firstLine="480" w:firstLineChars="200"/>
    </w:pPr>
    <w:rPr>
      <w:lang w:val="zh-CN"/>
    </w:rPr>
  </w:style>
  <w:style w:type="paragraph" w:customStyle="1" w:styleId="57">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58">
    <w:name w:val="font3"/>
    <w:basedOn w:val="41"/>
    <w:qFormat/>
    <w:uiPriority w:val="0"/>
  </w:style>
  <w:style w:type="character" w:customStyle="1" w:styleId="59">
    <w:name w:val="style1"/>
    <w:basedOn w:val="41"/>
    <w:qFormat/>
    <w:uiPriority w:val="0"/>
  </w:style>
  <w:style w:type="character" w:customStyle="1" w:styleId="60">
    <w:name w:val="节标题 1.1 Char Char"/>
    <w:qFormat/>
    <w:uiPriority w:val="0"/>
    <w:rPr>
      <w:rFonts w:ascii="Arial" w:hAnsi="Arial" w:eastAsia="黑体"/>
      <w:b/>
      <w:bCs/>
      <w:kern w:val="2"/>
      <w:sz w:val="32"/>
      <w:szCs w:val="32"/>
      <w:lang w:val="en-US" w:eastAsia="zh-CN" w:bidi="ar-SA"/>
    </w:rPr>
  </w:style>
  <w:style w:type="character" w:customStyle="1" w:styleId="61">
    <w:name w:val="141"/>
    <w:qFormat/>
    <w:uiPriority w:val="0"/>
    <w:rPr>
      <w:color w:val="333333"/>
      <w:sz w:val="21"/>
      <w:szCs w:val="21"/>
      <w:u w:val="none"/>
    </w:rPr>
  </w:style>
  <w:style w:type="character" w:customStyle="1" w:styleId="62">
    <w:name w:val="正文（首行缩进两字） Char Char Char Char1"/>
    <w:qFormat/>
    <w:uiPriority w:val="0"/>
    <w:rPr>
      <w:rFonts w:eastAsia="宋体"/>
      <w:kern w:val="2"/>
      <w:sz w:val="21"/>
      <w:lang w:val="en-US" w:eastAsia="zh-CN" w:bidi="ar-SA"/>
    </w:rPr>
  </w:style>
  <w:style w:type="character" w:customStyle="1" w:styleId="63">
    <w:name w:val="页眉 Char"/>
    <w:link w:val="31"/>
    <w:semiHidden/>
    <w:qFormat/>
    <w:uiPriority w:val="0"/>
    <w:rPr>
      <w:rFonts w:eastAsia="宋体"/>
      <w:kern w:val="2"/>
      <w:sz w:val="18"/>
      <w:szCs w:val="18"/>
      <w:lang w:val="en-US" w:eastAsia="zh-CN" w:bidi="ar-SA"/>
    </w:rPr>
  </w:style>
  <w:style w:type="character" w:customStyle="1" w:styleId="64">
    <w:name w:val="sdtype"/>
    <w:qFormat/>
    <w:uiPriority w:val="0"/>
  </w:style>
  <w:style w:type="character" w:customStyle="1" w:styleId="65">
    <w:name w:val="ptb181"/>
    <w:qFormat/>
    <w:uiPriority w:val="0"/>
    <w:rPr>
      <w:rFonts w:hint="default" w:ascii="Verdana" w:hAnsi="Verdana"/>
      <w:b/>
      <w:bCs/>
      <w:color w:val="000000"/>
      <w:sz w:val="26"/>
      <w:szCs w:val="26"/>
    </w:rPr>
  </w:style>
  <w:style w:type="character" w:customStyle="1" w:styleId="66">
    <w:name w:val="style5"/>
    <w:basedOn w:val="41"/>
    <w:qFormat/>
    <w:uiPriority w:val="0"/>
  </w:style>
  <w:style w:type="character" w:customStyle="1" w:styleId="67">
    <w:name w:val="Char Char1"/>
    <w:qFormat/>
    <w:uiPriority w:val="0"/>
    <w:rPr>
      <w:kern w:val="2"/>
      <w:sz w:val="18"/>
      <w:szCs w:val="18"/>
    </w:rPr>
  </w:style>
  <w:style w:type="character" w:customStyle="1" w:styleId="68">
    <w:name w:val="style51"/>
    <w:qFormat/>
    <w:uiPriority w:val="0"/>
    <w:rPr>
      <w:sz w:val="18"/>
      <w:szCs w:val="18"/>
    </w:rPr>
  </w:style>
  <w:style w:type="character" w:customStyle="1" w:styleId="69">
    <w:name w:val="页脚 Char1"/>
    <w:qFormat/>
    <w:locked/>
    <w:uiPriority w:val="99"/>
    <w:rPr>
      <w:rFonts w:ascii="Tahoma" w:hAnsi="Tahoma" w:eastAsia="黑体"/>
      <w:snapToGrid w:val="0"/>
      <w:sz w:val="18"/>
      <w:szCs w:val="18"/>
      <w:lang w:val="en-US" w:eastAsia="zh-CN" w:bidi="ar-SA"/>
    </w:rPr>
  </w:style>
  <w:style w:type="character" w:customStyle="1" w:styleId="70">
    <w:name w:val="flname7"/>
    <w:basedOn w:val="41"/>
    <w:qFormat/>
    <w:uiPriority w:val="0"/>
  </w:style>
  <w:style w:type="character" w:customStyle="1" w:styleId="71">
    <w:name w:val="标题 1 Char Char"/>
    <w:qFormat/>
    <w:uiPriority w:val="0"/>
    <w:rPr>
      <w:rFonts w:eastAsia="宋体"/>
      <w:b/>
      <w:spacing w:val="-2"/>
      <w:sz w:val="24"/>
      <w:lang w:val="en-US" w:eastAsia="zh-CN" w:bidi="ar-SA"/>
    </w:rPr>
  </w:style>
  <w:style w:type="character" w:customStyle="1" w:styleId="72">
    <w:name w:val="页码1"/>
    <w:basedOn w:val="41"/>
    <w:qFormat/>
    <w:uiPriority w:val="0"/>
  </w:style>
  <w:style w:type="character" w:customStyle="1" w:styleId="73">
    <w:name w:val="纯文本 Char"/>
    <w:link w:val="26"/>
    <w:qFormat/>
    <w:uiPriority w:val="0"/>
    <w:rPr>
      <w:rFonts w:ascii="宋体" w:hAnsi="Courier New" w:eastAsia="宋体" w:cs="Courier New"/>
      <w:kern w:val="2"/>
      <w:sz w:val="21"/>
      <w:szCs w:val="21"/>
      <w:lang w:val="en-US" w:eastAsia="zh-CN" w:bidi="ar-SA"/>
    </w:rPr>
  </w:style>
  <w:style w:type="character" w:customStyle="1" w:styleId="74">
    <w:name w:val="Char Char6"/>
    <w:qFormat/>
    <w:uiPriority w:val="0"/>
    <w:rPr>
      <w:rFonts w:eastAsia="宋体"/>
      <w:kern w:val="2"/>
      <w:sz w:val="18"/>
      <w:szCs w:val="18"/>
      <w:lang w:val="en-US" w:eastAsia="zh-CN" w:bidi="ar-SA"/>
    </w:rPr>
  </w:style>
  <w:style w:type="character" w:customStyle="1" w:styleId="75">
    <w:name w:val="a Char"/>
    <w:link w:val="76"/>
    <w:qFormat/>
    <w:uiPriority w:val="0"/>
    <w:rPr>
      <w:rFonts w:ascii="宋体" w:hAnsi="宋体" w:eastAsia="仿宋_GB2312"/>
      <w:sz w:val="24"/>
      <w:lang w:val="en-US" w:eastAsia="zh-CN" w:bidi="ar-SA"/>
    </w:rPr>
  </w:style>
  <w:style w:type="paragraph" w:customStyle="1" w:styleId="76">
    <w:name w:val="a"/>
    <w:basedOn w:val="1"/>
    <w:link w:val="75"/>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77">
    <w:name w:val="纯文本 Char2"/>
    <w:qFormat/>
    <w:uiPriority w:val="0"/>
    <w:rPr>
      <w:rFonts w:ascii="宋体" w:hAnsi="Courier New" w:eastAsia="宋体"/>
      <w:kern w:val="2"/>
      <w:sz w:val="24"/>
      <w:szCs w:val="24"/>
      <w:lang w:val="en-US" w:eastAsia="zh-CN" w:bidi="ar-SA"/>
    </w:rPr>
  </w:style>
  <w:style w:type="character" w:customStyle="1" w:styleId="78">
    <w:name w:val="页脚 Char"/>
    <w:link w:val="30"/>
    <w:semiHidden/>
    <w:qFormat/>
    <w:uiPriority w:val="0"/>
    <w:rPr>
      <w:rFonts w:eastAsia="宋体"/>
      <w:kern w:val="2"/>
      <w:sz w:val="18"/>
      <w:szCs w:val="18"/>
      <w:lang w:val="en-US" w:eastAsia="zh-CN" w:bidi="ar-SA"/>
    </w:rPr>
  </w:style>
  <w:style w:type="character" w:customStyle="1" w:styleId="79">
    <w:name w:val="Char Char2"/>
    <w:qFormat/>
    <w:uiPriority w:val="0"/>
    <w:rPr>
      <w:rFonts w:ascii="宋体" w:hAnsi="Courier New" w:eastAsia="宋体"/>
      <w:sz w:val="21"/>
      <w:lang w:val="en-US" w:eastAsia="zh-CN" w:bidi="ar-SA"/>
    </w:rPr>
  </w:style>
  <w:style w:type="character" w:customStyle="1" w:styleId="80">
    <w:name w:val="标题 2 Char"/>
    <w:link w:val="5"/>
    <w:qFormat/>
    <w:uiPriority w:val="0"/>
    <w:rPr>
      <w:rFonts w:ascii="Arial" w:hAnsi="Arial" w:eastAsia="黑体"/>
      <w:b/>
      <w:bCs/>
      <w:kern w:val="2"/>
      <w:sz w:val="32"/>
      <w:szCs w:val="32"/>
      <w:lang w:val="en-US" w:eastAsia="zh-CN" w:bidi="ar-SA"/>
    </w:rPr>
  </w:style>
  <w:style w:type="character" w:customStyle="1" w:styleId="81">
    <w:name w:val="正文缩进 Char"/>
    <w:link w:val="14"/>
    <w:qFormat/>
    <w:uiPriority w:val="0"/>
    <w:rPr>
      <w:rFonts w:eastAsia="宋体"/>
      <w:kern w:val="2"/>
      <w:sz w:val="21"/>
      <w:lang w:val="en-US" w:eastAsia="zh-CN" w:bidi="ar-SA"/>
    </w:rPr>
  </w:style>
  <w:style w:type="character" w:customStyle="1" w:styleId="82">
    <w:name w:val="title14"/>
    <w:basedOn w:val="41"/>
    <w:qFormat/>
    <w:uiPriority w:val="0"/>
  </w:style>
  <w:style w:type="character" w:customStyle="1" w:styleId="83">
    <w:name w:val="正文缩进 Char2"/>
    <w:qFormat/>
    <w:uiPriority w:val="0"/>
    <w:rPr>
      <w:rFonts w:ascii="Tahoma" w:hAnsi="Tahoma" w:eastAsia="宋体"/>
      <w:kern w:val="2"/>
      <w:sz w:val="21"/>
      <w:lang w:val="en-US" w:eastAsia="zh-CN" w:bidi="ar-SA"/>
    </w:rPr>
  </w:style>
  <w:style w:type="character" w:customStyle="1" w:styleId="84">
    <w:name w:val="b titlename wangputoptitle"/>
    <w:basedOn w:val="41"/>
    <w:qFormat/>
    <w:uiPriority w:val="0"/>
  </w:style>
  <w:style w:type="character" w:customStyle="1" w:styleId="85">
    <w:name w:val="Char Char10"/>
    <w:qFormat/>
    <w:uiPriority w:val="0"/>
    <w:rPr>
      <w:rFonts w:ascii="宋体" w:hAnsi="Courier New" w:eastAsia="宋体"/>
      <w:kern w:val="2"/>
      <w:sz w:val="24"/>
      <w:szCs w:val="24"/>
      <w:lang w:val="en-US" w:eastAsia="zh-CN" w:bidi="ar-SA"/>
    </w:rPr>
  </w:style>
  <w:style w:type="character" w:customStyle="1" w:styleId="86">
    <w:name w:val="maywed421"/>
    <w:qFormat/>
    <w:uiPriority w:val="0"/>
    <w:rPr>
      <w:color w:val="366FB6"/>
      <w:u w:val="none"/>
    </w:rPr>
  </w:style>
  <w:style w:type="character" w:customStyle="1" w:styleId="87">
    <w:name w:val="style2"/>
    <w:basedOn w:val="41"/>
    <w:qFormat/>
    <w:uiPriority w:val="0"/>
  </w:style>
  <w:style w:type="character" w:customStyle="1" w:styleId="88">
    <w:name w:val="para"/>
    <w:basedOn w:val="41"/>
    <w:qFormat/>
    <w:uiPriority w:val="0"/>
  </w:style>
  <w:style w:type="character" w:customStyle="1" w:styleId="89">
    <w:name w:val="标题 3 Char"/>
    <w:link w:val="6"/>
    <w:qFormat/>
    <w:uiPriority w:val="0"/>
    <w:rPr>
      <w:rFonts w:eastAsia="宋体"/>
      <w:b/>
      <w:sz w:val="32"/>
      <w:lang w:val="en-US" w:eastAsia="zh-CN" w:bidi="ar-SA"/>
    </w:rPr>
  </w:style>
  <w:style w:type="paragraph" w:customStyle="1" w:styleId="9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2">
    <w:name w:val="+正文"/>
    <w:basedOn w:val="1"/>
    <w:qFormat/>
    <w:uiPriority w:val="0"/>
    <w:pPr>
      <w:spacing w:line="360" w:lineRule="auto"/>
      <w:ind w:firstLine="200" w:firstLineChars="200"/>
    </w:pPr>
    <w:rPr>
      <w:sz w:val="24"/>
      <w:szCs w:val="28"/>
    </w:rPr>
  </w:style>
  <w:style w:type="paragraph" w:customStyle="1" w:styleId="93">
    <w:name w:val="Char Char24 Char Char Char Char"/>
    <w:basedOn w:val="1"/>
    <w:qFormat/>
    <w:uiPriority w:val="0"/>
    <w:pPr>
      <w:widowControl/>
      <w:spacing w:after="160" w:line="240" w:lineRule="exact"/>
      <w:jc w:val="left"/>
    </w:pPr>
    <w:rPr>
      <w:rFonts w:ascii="仿宋_GB2312" w:eastAsia="仿宋_GB2312"/>
      <w:spacing w:val="20"/>
    </w:rPr>
  </w:style>
  <w:style w:type="paragraph" w:customStyle="1" w:styleId="9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5">
    <w:name w:val="Table Paragraph"/>
    <w:basedOn w:val="1"/>
    <w:qFormat/>
    <w:uiPriority w:val="1"/>
    <w:rPr>
      <w:rFonts w:ascii="宋体" w:hAnsi="宋体" w:cs="宋体"/>
      <w:lang w:val="zh-CN" w:bidi="zh-CN"/>
    </w:rPr>
  </w:style>
  <w:style w:type="paragraph" w:customStyle="1" w:styleId="96">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正文段"/>
    <w:basedOn w:val="1"/>
    <w:qFormat/>
    <w:uiPriority w:val="0"/>
    <w:pPr>
      <w:widowControl/>
      <w:snapToGrid w:val="0"/>
      <w:spacing w:afterLines="50"/>
      <w:ind w:firstLine="200" w:firstLineChars="200"/>
    </w:pPr>
    <w:rPr>
      <w:kern w:val="0"/>
      <w:sz w:val="24"/>
      <w:szCs w:val="20"/>
    </w:rPr>
  </w:style>
  <w:style w:type="paragraph" w:customStyle="1" w:styleId="98">
    <w:name w:val="unnamed5"/>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99">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100">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02">
    <w:name w:val="Normal Indent1"/>
    <w:basedOn w:val="1"/>
    <w:qFormat/>
    <w:uiPriority w:val="0"/>
    <w:pPr>
      <w:ind w:firstLine="420"/>
    </w:pPr>
    <w:rPr>
      <w:szCs w:val="20"/>
    </w:rPr>
  </w:style>
  <w:style w:type="paragraph" w:customStyle="1" w:styleId="103">
    <w:name w:val="Char Char Char"/>
    <w:basedOn w:val="16"/>
    <w:qFormat/>
    <w:uiPriority w:val="0"/>
    <w:rPr>
      <w:rFonts w:ascii="Tahoma" w:hAnsi="Tahoma"/>
      <w:sz w:val="24"/>
    </w:rPr>
  </w:style>
  <w:style w:type="paragraph" w:customStyle="1" w:styleId="104">
    <w:name w:val="Char Char Char Char Char Char Char"/>
    <w:basedOn w:val="1"/>
    <w:qFormat/>
    <w:uiPriority w:val="0"/>
    <w:pPr>
      <w:tabs>
        <w:tab w:val="left" w:pos="432"/>
      </w:tabs>
      <w:ind w:left="432" w:hanging="432"/>
    </w:pPr>
    <w:rPr>
      <w:rFonts w:ascii="Tahoma" w:hAnsi="Tahoma"/>
      <w:sz w:val="24"/>
      <w:szCs w:val="20"/>
    </w:rPr>
  </w:style>
  <w:style w:type="paragraph" w:customStyle="1" w:styleId="105">
    <w:name w:val="Char Char Char 字元 字元"/>
    <w:basedOn w:val="1"/>
    <w:qFormat/>
    <w:uiPriority w:val="0"/>
    <w:pPr>
      <w:spacing w:line="360" w:lineRule="auto"/>
      <w:ind w:firstLine="200" w:firstLineChars="200"/>
    </w:pPr>
    <w:rPr>
      <w:rFonts w:ascii="宋体" w:hAnsi="宋体" w:cs="宋体"/>
      <w:sz w:val="24"/>
    </w:rPr>
  </w:style>
  <w:style w:type="paragraph" w:customStyle="1" w:styleId="106">
    <w:name w:val="table_1stline"/>
    <w:basedOn w:val="1"/>
    <w:qFormat/>
    <w:uiPriority w:val="0"/>
    <w:pPr>
      <w:widowControl/>
      <w:spacing w:before="120"/>
      <w:jc w:val="left"/>
    </w:pPr>
    <w:rPr>
      <w:bCs/>
      <w:kern w:val="0"/>
      <w:sz w:val="20"/>
      <w:szCs w:val="20"/>
      <w:lang w:val="de-DE" w:eastAsia="de-DE"/>
    </w:rPr>
  </w:style>
  <w:style w:type="paragraph" w:customStyle="1" w:styleId="107">
    <w:name w:val="Char1 Char Char Char"/>
    <w:basedOn w:val="1"/>
    <w:qFormat/>
    <w:uiPriority w:val="0"/>
    <w:rPr>
      <w:rFonts w:ascii="Tahoma" w:hAnsi="Tahoma"/>
      <w:sz w:val="24"/>
      <w:szCs w:val="20"/>
    </w:rPr>
  </w:style>
  <w:style w:type="paragraph" w:customStyle="1" w:styleId="10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9">
    <w:name w:val="正文2"/>
    <w:basedOn w:val="1"/>
    <w:qFormat/>
    <w:uiPriority w:val="0"/>
    <w:pPr>
      <w:spacing w:before="156" w:line="360" w:lineRule="auto"/>
      <w:ind w:firstLine="510" w:firstLineChars="200"/>
    </w:pPr>
    <w:rPr>
      <w:sz w:val="24"/>
      <w:szCs w:val="20"/>
    </w:rPr>
  </w:style>
  <w:style w:type="paragraph" w:styleId="110">
    <w:name w:val="Quote"/>
    <w:basedOn w:val="1"/>
    <w:next w:val="1"/>
    <w:qFormat/>
    <w:uiPriority w:val="99"/>
    <w:pPr>
      <w:spacing w:before="200" w:after="160"/>
      <w:ind w:left="864" w:right="864"/>
      <w:jc w:val="center"/>
    </w:pPr>
    <w:rPr>
      <w:i/>
      <w:iCs/>
      <w:color w:val="404040"/>
    </w:rPr>
  </w:style>
  <w:style w:type="paragraph" w:customStyle="1" w:styleId="111">
    <w:name w:val="Char Char7 Char"/>
    <w:basedOn w:val="1"/>
    <w:qFormat/>
    <w:uiPriority w:val="0"/>
    <w:pPr>
      <w:tabs>
        <w:tab w:val="left" w:pos="425"/>
      </w:tabs>
      <w:ind w:left="420" w:leftChars="200" w:firstLine="270" w:firstLineChars="150"/>
    </w:pPr>
    <w:rPr>
      <w:sz w:val="21"/>
    </w:rPr>
  </w:style>
  <w:style w:type="paragraph" w:customStyle="1" w:styleId="112">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13">
    <w:name w:val="paragraph1"/>
    <w:basedOn w:val="1"/>
    <w:qFormat/>
    <w:uiPriority w:val="0"/>
    <w:pPr>
      <w:spacing w:afterLines="30" w:line="360" w:lineRule="auto"/>
      <w:ind w:firstLine="420" w:firstLineChars="200"/>
    </w:pPr>
    <w:rPr>
      <w:rFonts w:eastAsia="楷体_GB2312"/>
      <w:sz w:val="24"/>
      <w:szCs w:val="20"/>
    </w:rPr>
  </w:style>
  <w:style w:type="paragraph" w:customStyle="1" w:styleId="1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5">
    <w:name w:val="table_lines"/>
    <w:basedOn w:val="1"/>
    <w:qFormat/>
    <w:uiPriority w:val="0"/>
    <w:pPr>
      <w:widowControl/>
      <w:jc w:val="left"/>
    </w:pPr>
    <w:rPr>
      <w:kern w:val="0"/>
      <w:sz w:val="20"/>
      <w:szCs w:val="20"/>
      <w:lang w:val="de-DE" w:eastAsia="de-DE"/>
    </w:rPr>
  </w:style>
  <w:style w:type="paragraph" w:customStyle="1" w:styleId="116">
    <w:name w:val="Plain Text1"/>
    <w:basedOn w:val="1"/>
    <w:qFormat/>
    <w:uiPriority w:val="0"/>
    <w:pPr>
      <w:spacing w:beforeLines="50" w:afterLines="50" w:line="400" w:lineRule="exact"/>
    </w:pPr>
    <w:rPr>
      <w:rFonts w:ascii="宋体" w:hAnsi="Courier New"/>
      <w:sz w:val="24"/>
    </w:rPr>
  </w:style>
  <w:style w:type="paragraph" w:customStyle="1" w:styleId="117">
    <w:name w:val="_Style 9"/>
    <w:basedOn w:val="1"/>
    <w:qFormat/>
    <w:uiPriority w:val="0"/>
  </w:style>
  <w:style w:type="paragraph" w:customStyle="1" w:styleId="118">
    <w:name w:val="_Style 1"/>
    <w:qFormat/>
    <w:uiPriority w:val="0"/>
    <w:rPr>
      <w:rFonts w:ascii="Times New Roman" w:hAnsi="Times New Roman" w:eastAsia="宋体" w:cs="Times New Roman"/>
      <w:kern w:val="2"/>
      <w:sz w:val="28"/>
      <w:szCs w:val="22"/>
      <w:lang w:val="en-US" w:eastAsia="zh-CN" w:bidi="ar-SA"/>
    </w:rPr>
  </w:style>
  <w:style w:type="paragraph" w:customStyle="1" w:styleId="119">
    <w:name w:val="Char Char Char Char Char Char Char1"/>
    <w:basedOn w:val="1"/>
    <w:qFormat/>
    <w:uiPriority w:val="0"/>
    <w:pPr>
      <w:tabs>
        <w:tab w:val="left" w:pos="432"/>
      </w:tabs>
      <w:ind w:left="432" w:hanging="432"/>
    </w:pPr>
    <w:rPr>
      <w:rFonts w:ascii="Tahoma" w:hAnsi="Tahoma"/>
      <w:sz w:val="24"/>
      <w:szCs w:val="20"/>
    </w:rPr>
  </w:style>
  <w:style w:type="paragraph" w:customStyle="1" w:styleId="120">
    <w:name w:val="列表编号 3 New"/>
    <w:basedOn w:val="1"/>
    <w:qFormat/>
    <w:uiPriority w:val="0"/>
    <w:pPr>
      <w:widowControl/>
      <w:tabs>
        <w:tab w:val="left" w:pos="482"/>
      </w:tabs>
      <w:spacing w:afterLines="50"/>
      <w:ind w:left="432" w:hanging="432"/>
      <w:jc w:val="left"/>
    </w:pPr>
    <w:rPr>
      <w:kern w:val="0"/>
      <w:sz w:val="24"/>
      <w:szCs w:val="20"/>
    </w:rPr>
  </w:style>
  <w:style w:type="paragraph" w:styleId="121">
    <w:name w:val="List Paragraph"/>
    <w:basedOn w:val="1"/>
    <w:qFormat/>
    <w:uiPriority w:val="0"/>
    <w:pPr>
      <w:ind w:firstLine="420" w:firstLineChars="200"/>
    </w:pPr>
    <w:rPr>
      <w:rFonts w:ascii="Calibri" w:hAnsi="Calibri"/>
      <w:sz w:val="21"/>
      <w:szCs w:val="22"/>
    </w:rPr>
  </w:style>
  <w:style w:type="paragraph" w:customStyle="1" w:styleId="122">
    <w:name w:val="样式 表格正文 + 两端对齐"/>
    <w:basedOn w:val="1"/>
    <w:qFormat/>
    <w:uiPriority w:val="0"/>
    <w:pPr>
      <w:spacing w:line="300" w:lineRule="auto"/>
    </w:pPr>
    <w:rPr>
      <w:sz w:val="24"/>
      <w:szCs w:val="20"/>
    </w:rPr>
  </w:style>
  <w:style w:type="paragraph" w:customStyle="1" w:styleId="123">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4">
    <w:name w:val="默认段落字体 Para Char Char Char Char Char Char Char Char Char1 Char Char Char Char"/>
    <w:basedOn w:val="1"/>
    <w:qFormat/>
    <w:uiPriority w:val="0"/>
    <w:rPr>
      <w:rFonts w:ascii="Tahoma" w:hAnsi="Tahoma"/>
      <w:sz w:val="24"/>
      <w:szCs w:val="20"/>
    </w:rPr>
  </w:style>
  <w:style w:type="paragraph" w:customStyle="1" w:styleId="125">
    <w:name w:val="Char1"/>
    <w:basedOn w:val="1"/>
    <w:qFormat/>
    <w:uiPriority w:val="0"/>
    <w:rPr>
      <w:rFonts w:ascii="仿宋_GB2312" w:eastAsia="仿宋_GB2312"/>
      <w:b/>
      <w:sz w:val="32"/>
      <w:szCs w:val="32"/>
    </w:rPr>
  </w:style>
  <w:style w:type="paragraph" w:customStyle="1" w:styleId="12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28">
    <w:name w:val="文档正文"/>
    <w:basedOn w:val="1"/>
    <w:qFormat/>
    <w:uiPriority w:val="0"/>
    <w:pPr>
      <w:adjustRightInd w:val="0"/>
      <w:spacing w:line="312" w:lineRule="atLeast"/>
      <w:ind w:firstLine="567"/>
      <w:textAlignment w:val="baseline"/>
    </w:pPr>
    <w:rPr>
      <w:rFonts w:ascii="长城仿宋" w:eastAsia="长城仿宋"/>
      <w:kern w:val="0"/>
      <w:szCs w:val="20"/>
    </w:rPr>
  </w:style>
  <w:style w:type="paragraph" w:customStyle="1" w:styleId="129">
    <w:name w:val="Proposals body"/>
    <w:basedOn w:val="1"/>
    <w:next w:val="1"/>
    <w:qFormat/>
    <w:uiPriority w:val="0"/>
    <w:pPr>
      <w:widowControl/>
      <w:spacing w:line="360" w:lineRule="auto"/>
      <w:jc w:val="left"/>
    </w:pPr>
    <w:rPr>
      <w:rFonts w:ascii="宋体"/>
      <w:snapToGrid w:val="0"/>
      <w:color w:val="000000"/>
      <w:kern w:val="0"/>
      <w:sz w:val="24"/>
      <w:szCs w:val="20"/>
    </w:rPr>
  </w:style>
  <w:style w:type="character" w:customStyle="1" w:styleId="130">
    <w:name w:val="font41"/>
    <w:basedOn w:val="41"/>
    <w:qFormat/>
    <w:uiPriority w:val="0"/>
    <w:rPr>
      <w:rFonts w:hint="eastAsia" w:ascii="等线" w:hAnsi="等线" w:eastAsia="等线" w:cs="等线"/>
      <w:color w:val="000000"/>
      <w:sz w:val="20"/>
      <w:szCs w:val="20"/>
      <w:u w:val="none"/>
    </w:rPr>
  </w:style>
  <w:style w:type="character" w:customStyle="1" w:styleId="131">
    <w:name w:val="font31"/>
    <w:basedOn w:val="41"/>
    <w:qFormat/>
    <w:uiPriority w:val="0"/>
    <w:rPr>
      <w:rFonts w:hint="eastAsia" w:ascii="等线" w:hAnsi="等线" w:eastAsia="等线" w:cs="等线"/>
      <w:b/>
      <w:color w:val="000000"/>
      <w:sz w:val="20"/>
      <w:szCs w:val="20"/>
      <w:u w:val="none"/>
    </w:rPr>
  </w:style>
  <w:style w:type="character" w:customStyle="1" w:styleId="132">
    <w:name w:val="font21"/>
    <w:basedOn w:val="41"/>
    <w:qFormat/>
    <w:uiPriority w:val="0"/>
    <w:rPr>
      <w:rFonts w:hint="eastAsia" w:ascii="等线" w:hAnsi="等线" w:eastAsia="等线" w:cs="等线"/>
      <w:color w:val="000000"/>
      <w:sz w:val="20"/>
      <w:szCs w:val="20"/>
      <w:u w:val="none"/>
    </w:rPr>
  </w:style>
  <w:style w:type="character" w:customStyle="1" w:styleId="133">
    <w:name w:val="font01"/>
    <w:basedOn w:val="41"/>
    <w:qFormat/>
    <w:uiPriority w:val="0"/>
    <w:rPr>
      <w:rFonts w:hint="eastAsia" w:ascii="等线" w:hAnsi="等线" w:eastAsia="等线" w:cs="等线"/>
      <w:b/>
      <w:color w:val="000000"/>
      <w:sz w:val="20"/>
      <w:szCs w:val="20"/>
      <w:u w:val="none"/>
    </w:rPr>
  </w:style>
  <w:style w:type="paragraph" w:customStyle="1" w:styleId="134">
    <w:name w:val="样式1"/>
    <w:basedOn w:val="1"/>
    <w:qFormat/>
    <w:uiPriority w:val="0"/>
    <w:pPr>
      <w:spacing w:line="360" w:lineRule="exact"/>
      <w:ind w:firstLine="200" w:firstLineChars="200"/>
    </w:pPr>
    <w:rPr>
      <w:rFonts w:ascii="Arial" w:hAnsi="Arial" w:cstheme="minorBidi"/>
    </w:rPr>
  </w:style>
  <w:style w:type="paragraph" w:customStyle="1" w:styleId="135">
    <w:name w:val="章正文"/>
    <w:basedOn w:val="1"/>
    <w:qFormat/>
    <w:uiPriority w:val="0"/>
    <w:pPr>
      <w:spacing w:before="156" w:beforeLines="50" w:after="120" w:line="300" w:lineRule="auto"/>
      <w:ind w:firstLine="480"/>
    </w:pPr>
    <w:rPr>
      <w:rFonts w:ascii="Helvetica" w:hAnsi="Helvetica"/>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5544</Words>
  <Characters>31605</Characters>
  <Lines>263</Lines>
  <Paragraphs>74</Paragraphs>
  <TotalTime>29</TotalTime>
  <ScaleCrop>false</ScaleCrop>
  <LinksUpToDate>false</LinksUpToDate>
  <CharactersWithSpaces>37075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2020-05-29T02:33:00Z</dcterms:created>
  <dc:creator>xueyong</dc:creator>
  <cp:lastModifiedBy>wml</cp:lastModifiedBy>
  <cp:lastPrinted>2020-05-12T03:21:00Z</cp:lastPrinted>
  <dcterms:modified xsi:type="dcterms:W3CDTF">2020-10-29T08:17:00Z</dcterms:modified>
  <dc:title>目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