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长兴县举办“中小企业服务日活动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暨知识产权-专利法专题讲座活动”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为提高中小企业对知识产权的重视，加强知识产权保护，8月28日，由县经信局主办，长兴县中小企业服务中心承办的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“中小企业服务日活动暨知识产权-专利法专题讲座活动”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在长兴县国家动力电池检验中心二楼多媒体会议室顺利举办，县中小企业服务中心主任朱为权做开班讲话，来自全县50多家企业负责人和项目申报员参加了本次活动。</w:t>
      </w:r>
    </w:p>
    <w:p>
      <w:pPr>
        <w:ind w:firstLine="640"/>
        <w:jc w:val="left"/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eastAsia="zh-CN"/>
        </w:rPr>
        <w:t>活动特邀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长兴县市场监督管理局知识产权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发展科副科长，杭州市中级人民法院特邀调解员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王牧天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val="en-US" w:eastAsia="zh-CN"/>
        </w:rPr>
        <w:t>老师进行专利法专题讲座。王科长从知识产权的概念及范围、专利权的客体和主体、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专利申请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类别、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专利保护的具体内容以及发生专利侵害时如何判断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维权五个方面展开讲座，借助案例分析来帮助企业更深入的理解。</w:t>
      </w:r>
    </w:p>
    <w:p>
      <w:pPr>
        <w:ind w:firstLine="64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eastAsia="zh-CN"/>
        </w:rPr>
        <w:t>通过此次活动的开展，能够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</w:rPr>
        <w:t>帮助企业</w:t>
      </w:r>
      <w:r>
        <w:rPr>
          <w:rFonts w:hint="eastAsia" w:ascii="仿宋" w:hAnsi="仿宋" w:eastAsia="仿宋" w:cs="仿宋"/>
          <w:bCs/>
          <w:color w:val="333333"/>
          <w:sz w:val="32"/>
          <w:szCs w:val="32"/>
          <w:shd w:val="clear" w:color="auto" w:fill="FFFFFF"/>
          <w:lang w:eastAsia="zh-CN"/>
        </w:rPr>
        <w:t>更深入的了解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专利战略，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占领自己领域的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专利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市场，建立市场上的竞争优势，建立专利技术优势，领先同行，同时对企业销售产品、宣传也极具重要性。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课程深受企业欢迎，学员都表示受益匪浅。</w:t>
      </w:r>
      <w:bookmarkStart w:id="0" w:name="_GoBack"/>
      <w:bookmarkEnd w:id="0"/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86009"/>
    <w:rsid w:val="5FE8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2020-08-31T01:18:00Z</dcterms:created>
  <dc:creator>rainbow</dc:creator>
  <cp:lastModifiedBy>rainbow</cp:lastModifiedBy>
  <dcterms:modified xsi:type="dcterms:W3CDTF">2020-08-31T01:29:42Z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