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BC" w:rsidRPr="00D928BC" w:rsidRDefault="00D928BC" w:rsidP="00D928BC">
      <w:pPr>
        <w:widowControl/>
        <w:spacing w:line="480" w:lineRule="exact"/>
        <w:jc w:val="center"/>
        <w:outlineLvl w:val="0"/>
        <w:rPr>
          <w:rFonts w:ascii="黑体" w:eastAsia="黑体" w:hAnsi="黑体" w:cs="宋体" w:hint="eastAsia"/>
          <w:kern w:val="36"/>
          <w:sz w:val="28"/>
          <w:szCs w:val="28"/>
        </w:rPr>
      </w:pPr>
      <w:r w:rsidRPr="00D928BC">
        <w:rPr>
          <w:rFonts w:ascii="黑体" w:eastAsia="黑体" w:hAnsi="黑体" w:cs="宋体" w:hint="eastAsia"/>
          <w:kern w:val="36"/>
          <w:sz w:val="28"/>
          <w:szCs w:val="28"/>
        </w:rPr>
        <w:t>《中国共产党问责条例》测试题库</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Style w:val="a6"/>
          <w:rFonts w:ascii="仿宋_GB2312" w:eastAsia="仿宋_GB2312" w:hAnsi="微软雅黑" w:hint="eastAsia"/>
          <w:sz w:val="28"/>
          <w:szCs w:val="28"/>
        </w:rPr>
        <w:t>一、单选题</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1、问责对象是各级党委（党组）、党的工作部门及其领导成员，各级纪委（纪检组）及其领导成员，重点是（B）。</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A.领导干部</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B.主要负责人</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C.直接责任者</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D.重要领导责任者</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2、党的问责工作是由（）按照职责权限，追究在党的建设和党的事业中失职失责党组织和党的领导干部的主体责任、监督责任和领导责任。（B）</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A.纪检监察机关</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B.党组织</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C.组织部门</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D.以上都不是</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3、问责应当分清责任。党组织领导班子在职责范围内负有（A）。</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A.全面领导责任</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B.主要领导责任</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C.重要领导责任</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D.直接领导责任</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4、问责决定应当由党中央或者有管理权限的（）作出。（A）</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党组织</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B.审计部门</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C.纪委（纪检组）</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D.组织人事部门</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5、问责决定作出后，应当及时向被问责党组织或者党的领导干部及其所在党组织宣布并督促执行。涉及组织调整或者组织处理的，应当在（）内办理完毕相应手续。(B)</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A.15日</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B.一个月</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C.二个月</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D.六个月</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6、受到问责的党的领导干部应当向问责决定机关（），并在民主生活会或者其他党的会议上作出深刻检查。（C）</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A.就有关情况作出说明</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B.进行书面汇报</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 xml:space="preserve">C.写出书面检讨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D.深刻检讨</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7、《中国共产党问责条例》规定对党的领导干部实行（D）。</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A.一次性问责</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B.阶段性问责</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C.任期问责</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D.终身问责</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8、《中国共产党问责条例》自（）起施行。此前发布的有关问责的规定，凡与本条例不一致的，按照本条例执行。（A）</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A.2016年7月8日</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2016年1月1日</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 xml:space="preserve">C.颁布之日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 xml:space="preserve"> D.2017年1月1日</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Style w:val="a6"/>
          <w:rFonts w:ascii="仿宋_GB2312" w:eastAsia="仿宋_GB2312" w:hAnsi="微软雅黑" w:hint="eastAsia"/>
          <w:sz w:val="28"/>
          <w:szCs w:val="28"/>
        </w:rPr>
        <w:lastRenderedPageBreak/>
        <w:t>二、多项选择题</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1、党的问责工作应当坚持的原则是（ABCD）：</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A.依规依纪、实事求是</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B.失责必问、问责必严</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C.惩前毖后、治病救人</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D.分级负责、层层落实责任。</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2、党的问责工作要做到（），落实党组织管党治党政治责任，督促党的领导干部践行忠诚干净担当。（ABC）</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A.有权必有责</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B.有责要担当</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C.失责必追究</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D.权责相一致</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3、党的问责工作是由党组织按照职责权限，追究在党的建设和党的事业中失职失责党组织和党的领导干部的（BCD）。</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A.直接责任</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B.主体责任</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C.监督责任</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D.领导责任</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4、对党组织的问责方式包括：（ABD）</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A.检查</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B.通报</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C.整改</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D.改组</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5、对党的领导干部的问责方式包括：（ABCD）</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A.通报</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B.诫勉</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C.组织调整或者组织处理</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D.纪律处分</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6、问责决定应当由党中央或者有管理权限的党组织作出。其中对党的领导干部，（）有权采取通报、诫勉方式进行问责；提出组织调整或者组织处理的建议；采取纪律处分方式问责，按照党章和有关党内法规规定的权限和程序执行。（BC）</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A.政府</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纪委（纪检组）</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C.党的工作部门</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D.人社局</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7、建立健全问责典型问题通报曝光制度，采取（）方式问责的，一般应当向社会公开。（ABC）</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A.组织调整</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B.组织处理</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C.纪律处分</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D.通报批评</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Style w:val="a6"/>
          <w:rFonts w:ascii="仿宋_GB2312" w:eastAsia="仿宋_GB2312" w:hAnsi="微软雅黑" w:hint="eastAsia"/>
          <w:sz w:val="28"/>
          <w:szCs w:val="28"/>
        </w:rPr>
        <w:t>三、判断题</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（√）1、问责对象是各级党委（党组）、党的工作部门及其领导成员，各级纪委（纪检组）及其领导成员，重点是主要负责人。</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lastRenderedPageBreak/>
        <w:t>（×）2、党的问责工作是由纪检监察机关按照职责权限，追究在党的建设和党的事业中失职失责党组织和党的领导干部的主体责任、监督责任和领导责任。</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3、党组织和党的领导干部违反党章和其他党内法规，不履行或者不正确履行职责，推进党风廉政建设和反腐败工作不坚决、不扎实，管辖范围内腐败蔓延势头没有得到有效遏制，损害群众利益的不正之风和腐败问题突出的，应当予以问责。</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（√）4、党组织和党的领导干部违反党章和其他党内法规，不履行或者不正确履行职责，有党的领导弱化，党的理论和路线方针政策、党中央的决策部署没有得到有效贯彻落</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实，在推进经济建设、政治建设、文化建设、社会建设、生态文明建设中，或者在处置本地区本部门本单位发生的重大问题中领导不力，出现重大失误，给党的事业</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和人民利益造成严重损失，产生恶劣影响情形的，应当予以问责。</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（√）5、党组织和党的领导干部违反党章和其他党内法规，不履行或者不正确履行职责，有党的建设缺失，党内政治生活不正常，组织生活不健全，党组织软弱涣散，党性教育</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特别是理想信念宗旨</w:t>
      </w:r>
      <w:hyperlink r:id="rId6" w:tgtFrame="_blank" w:history="1">
        <w:r w:rsidRPr="00D928BC">
          <w:rPr>
            <w:rStyle w:val="a5"/>
            <w:rFonts w:ascii="仿宋_GB2312" w:eastAsia="仿宋_GB2312" w:hAnsi="微软雅黑" w:hint="eastAsia"/>
            <w:color w:val="000000"/>
            <w:sz w:val="28"/>
            <w:szCs w:val="28"/>
          </w:rPr>
          <w:t>教育</w:t>
        </w:r>
      </w:hyperlink>
      <w:r w:rsidRPr="00D928BC">
        <w:rPr>
          <w:rFonts w:ascii="仿宋_GB2312" w:eastAsia="仿宋_GB2312" w:hAnsi="微软雅黑" w:hint="eastAsia"/>
          <w:sz w:val="28"/>
          <w:szCs w:val="28"/>
        </w:rPr>
        <w:t>薄弱，中央八项规定精神不落实，作风建设流于形式，干部选拔任用工作中问题突出，党内和群众反映强烈，损害党的形象，削弱党执政的</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政治基础情形的，应当予以问责。</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6、党组织和党的领导干部违反党章和其他党内法规，不履行或者不正确履行职责，有全面从严治党不力，主体责任、监督责任落实不到位，管党治党失之于宽松软，好人主义盛行、搞一团和气，不负责、不担当，党内监督乏力，该发现的问题没有发现，发现问题不报告不处置、不整改不问责，造成严重后果情形的，应当予以问责。</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（√）7、党</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组织和党的领导干部违反党章和其他党内法规，不履行或者不正确履行职责，有维护党的政治纪律、组织纪律、廉洁纪律、群众纪律、工作纪律、生活纪律不力，导</w:t>
      </w: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致违规违纪行为多发，特别是维护政治纪律和政治规矩失职，管辖范围内有令不行、有禁不止，团团伙伙、拉帮结派问题严重，造成恶劣影响情形的，应当予以问责。</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lastRenderedPageBreak/>
        <w:t>（×）8、对党组织的问责方式包括检查、通报、改组。对党的领导干部的问责方式包括：通报、诫勉、组织处理、纪律处分。</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（√）9、对党组织或党的领导干部的问责方式，可以单独使用，也可以合并使用。</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（×）10、问责决定应当由纪检监察机关或者组织人事部门作出。其中对党的领导干部，纪委（纪检组）、党的工作部门有权采取通报、诫勉方式进行问责；提出组织调整或者组织处理的建议。</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（×）11、有关问责情况应当向组织部门通报，组织部门应当将问责决定材料归入被问责领导干部个人档案，并报上一级党组织备案。</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仿宋_GB2312" w:eastAsia="仿宋_GB2312" w:hAnsi="微软雅黑" w:hint="eastAsia"/>
          <w:sz w:val="28"/>
          <w:szCs w:val="28"/>
        </w:rPr>
        <w:t>（√）12、建立健全问责典型问题通报曝光制度，采取组织调整或者组织处理、纪律处分方式问责的，一般应当向社会公开。</w:t>
      </w:r>
    </w:p>
    <w:p w:rsidR="00D928BC" w:rsidRPr="00D928BC" w:rsidRDefault="00D928BC" w:rsidP="00D928BC">
      <w:pPr>
        <w:pStyle w:val="p0"/>
        <w:spacing w:before="0" w:beforeAutospacing="0" w:after="0" w:afterAutospacing="0" w:line="480" w:lineRule="exact"/>
        <w:rPr>
          <w:rFonts w:ascii="仿宋_GB2312" w:eastAsia="仿宋_GB2312" w:hAnsi="微软雅黑" w:hint="eastAsia"/>
          <w:sz w:val="28"/>
          <w:szCs w:val="28"/>
        </w:rPr>
      </w:pPr>
      <w:r w:rsidRPr="00D928BC">
        <w:rPr>
          <w:rFonts w:ascii="微软雅黑" w:eastAsia="仿宋_GB2312" w:hAnsi="微软雅黑" w:hint="eastAsia"/>
          <w:sz w:val="28"/>
          <w:szCs w:val="28"/>
        </w:rPr>
        <w:t> </w:t>
      </w:r>
      <w:r w:rsidRPr="00D928BC">
        <w:rPr>
          <w:rFonts w:ascii="仿宋_GB2312" w:eastAsia="仿宋_GB2312" w:hAnsi="微软雅黑" w:hint="eastAsia"/>
          <w:sz w:val="28"/>
          <w:szCs w:val="28"/>
        </w:rPr>
        <w:t>（√）13、实行终身问责，对失职失责性质恶劣、后果严重的，不论其责任人是否调离转岗、提拔或者退休，都应当严肃问责。</w:t>
      </w:r>
    </w:p>
    <w:p w:rsidR="002079D6" w:rsidRPr="00D928BC" w:rsidRDefault="002079D6"/>
    <w:sectPr w:rsidR="002079D6" w:rsidRPr="00D928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9D6" w:rsidRDefault="002079D6" w:rsidP="00D928BC">
      <w:r>
        <w:separator/>
      </w:r>
    </w:p>
  </w:endnote>
  <w:endnote w:type="continuationSeparator" w:id="1">
    <w:p w:rsidR="002079D6" w:rsidRDefault="002079D6" w:rsidP="00D928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9D6" w:rsidRDefault="002079D6" w:rsidP="00D928BC">
      <w:r>
        <w:separator/>
      </w:r>
    </w:p>
  </w:footnote>
  <w:footnote w:type="continuationSeparator" w:id="1">
    <w:p w:rsidR="002079D6" w:rsidRDefault="002079D6" w:rsidP="00D928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28BC"/>
    <w:rsid w:val="002079D6"/>
    <w:rsid w:val="00D92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928BC"/>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2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28BC"/>
    <w:rPr>
      <w:sz w:val="18"/>
      <w:szCs w:val="18"/>
    </w:rPr>
  </w:style>
  <w:style w:type="paragraph" w:styleId="a4">
    <w:name w:val="footer"/>
    <w:basedOn w:val="a"/>
    <w:link w:val="Char0"/>
    <w:uiPriority w:val="99"/>
    <w:semiHidden/>
    <w:unhideWhenUsed/>
    <w:rsid w:val="00D928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28BC"/>
    <w:rPr>
      <w:sz w:val="18"/>
      <w:szCs w:val="18"/>
    </w:rPr>
  </w:style>
  <w:style w:type="character" w:customStyle="1" w:styleId="1Char">
    <w:name w:val="标题 1 Char"/>
    <w:basedOn w:val="a0"/>
    <w:link w:val="1"/>
    <w:uiPriority w:val="9"/>
    <w:rsid w:val="00D928BC"/>
    <w:rPr>
      <w:rFonts w:ascii="宋体" w:eastAsia="宋体" w:hAnsi="宋体" w:cs="宋体"/>
      <w:kern w:val="36"/>
      <w:sz w:val="48"/>
      <w:szCs w:val="48"/>
    </w:rPr>
  </w:style>
  <w:style w:type="character" w:styleId="a5">
    <w:name w:val="Hyperlink"/>
    <w:basedOn w:val="a0"/>
    <w:uiPriority w:val="99"/>
    <w:semiHidden/>
    <w:unhideWhenUsed/>
    <w:rsid w:val="00D928BC"/>
    <w:rPr>
      <w:strike w:val="0"/>
      <w:dstrike w:val="0"/>
      <w:color w:val="0B3B8C"/>
      <w:u w:val="none"/>
      <w:effect w:val="none"/>
    </w:rPr>
  </w:style>
  <w:style w:type="character" w:styleId="a6">
    <w:name w:val="Strong"/>
    <w:basedOn w:val="a0"/>
    <w:uiPriority w:val="22"/>
    <w:qFormat/>
    <w:rsid w:val="00D928BC"/>
    <w:rPr>
      <w:b/>
      <w:bCs/>
    </w:rPr>
  </w:style>
  <w:style w:type="paragraph" w:customStyle="1" w:styleId="p0">
    <w:name w:val="p0"/>
    <w:basedOn w:val="a"/>
    <w:rsid w:val="00D928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5380140">
      <w:bodyDiv w:val="1"/>
      <w:marLeft w:val="0"/>
      <w:marRight w:val="0"/>
      <w:marTop w:val="0"/>
      <w:marBottom w:val="0"/>
      <w:divBdr>
        <w:top w:val="none" w:sz="0" w:space="0" w:color="auto"/>
        <w:left w:val="none" w:sz="0" w:space="0" w:color="auto"/>
        <w:bottom w:val="none" w:sz="0" w:space="0" w:color="auto"/>
        <w:right w:val="none" w:sz="0" w:space="0" w:color="auto"/>
      </w:divBdr>
      <w:divsChild>
        <w:div w:id="1941331141">
          <w:marLeft w:val="0"/>
          <w:marRight w:val="0"/>
          <w:marTop w:val="0"/>
          <w:marBottom w:val="0"/>
          <w:divBdr>
            <w:top w:val="none" w:sz="0" w:space="0" w:color="auto"/>
            <w:left w:val="none" w:sz="0" w:space="0" w:color="auto"/>
            <w:bottom w:val="none" w:sz="0" w:space="0" w:color="auto"/>
            <w:right w:val="none" w:sz="0" w:space="0" w:color="auto"/>
          </w:divBdr>
          <w:divsChild>
            <w:div w:id="352927284">
              <w:marLeft w:val="0"/>
              <w:marRight w:val="0"/>
              <w:marTop w:val="0"/>
              <w:marBottom w:val="0"/>
              <w:divBdr>
                <w:top w:val="none" w:sz="0" w:space="0" w:color="auto"/>
                <w:left w:val="none" w:sz="0" w:space="0" w:color="auto"/>
                <w:bottom w:val="none" w:sz="0" w:space="0" w:color="auto"/>
                <w:right w:val="none" w:sz="0" w:space="0" w:color="auto"/>
              </w:divBdr>
              <w:divsChild>
                <w:div w:id="1875382807">
                  <w:marLeft w:val="0"/>
                  <w:marRight w:val="0"/>
                  <w:marTop w:val="0"/>
                  <w:marBottom w:val="0"/>
                  <w:divBdr>
                    <w:top w:val="none" w:sz="0" w:space="0" w:color="auto"/>
                    <w:left w:val="none" w:sz="0" w:space="0" w:color="auto"/>
                    <w:bottom w:val="none" w:sz="0" w:space="0" w:color="auto"/>
                    <w:right w:val="none" w:sz="0" w:space="0" w:color="auto"/>
                  </w:divBdr>
                  <w:divsChild>
                    <w:div w:id="4777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14367">
      <w:bodyDiv w:val="1"/>
      <w:marLeft w:val="0"/>
      <w:marRight w:val="0"/>
      <w:marTop w:val="0"/>
      <w:marBottom w:val="0"/>
      <w:divBdr>
        <w:top w:val="none" w:sz="0" w:space="0" w:color="auto"/>
        <w:left w:val="none" w:sz="0" w:space="0" w:color="auto"/>
        <w:bottom w:val="none" w:sz="0" w:space="0" w:color="auto"/>
        <w:right w:val="none" w:sz="0" w:space="0" w:color="auto"/>
      </w:divBdr>
      <w:divsChild>
        <w:div w:id="1839879660">
          <w:marLeft w:val="0"/>
          <w:marRight w:val="0"/>
          <w:marTop w:val="0"/>
          <w:marBottom w:val="0"/>
          <w:divBdr>
            <w:top w:val="none" w:sz="0" w:space="0" w:color="auto"/>
            <w:left w:val="none" w:sz="0" w:space="0" w:color="auto"/>
            <w:bottom w:val="none" w:sz="0" w:space="0" w:color="auto"/>
            <w:right w:val="none" w:sz="0" w:space="0" w:color="auto"/>
          </w:divBdr>
          <w:divsChild>
            <w:div w:id="663316043">
              <w:marLeft w:val="0"/>
              <w:marRight w:val="0"/>
              <w:marTop w:val="0"/>
              <w:marBottom w:val="0"/>
              <w:divBdr>
                <w:top w:val="none" w:sz="0" w:space="0" w:color="auto"/>
                <w:left w:val="none" w:sz="0" w:space="0" w:color="auto"/>
                <w:bottom w:val="none" w:sz="0" w:space="0" w:color="auto"/>
                <w:right w:val="none" w:sz="0" w:space="0" w:color="auto"/>
              </w:divBdr>
              <w:divsChild>
                <w:div w:id="169223865">
                  <w:marLeft w:val="0"/>
                  <w:marRight w:val="0"/>
                  <w:marTop w:val="0"/>
                  <w:marBottom w:val="0"/>
                  <w:divBdr>
                    <w:top w:val="none" w:sz="0" w:space="0" w:color="auto"/>
                    <w:left w:val="none" w:sz="0" w:space="0" w:color="auto"/>
                    <w:bottom w:val="none" w:sz="0" w:space="0" w:color="auto"/>
                    <w:right w:val="none" w:sz="0" w:space="0" w:color="auto"/>
                  </w:divBdr>
                  <w:divsChild>
                    <w:div w:id="1696419739">
                      <w:marLeft w:val="0"/>
                      <w:marRight w:val="0"/>
                      <w:marTop w:val="0"/>
                      <w:marBottom w:val="0"/>
                      <w:divBdr>
                        <w:top w:val="none" w:sz="0" w:space="0" w:color="auto"/>
                        <w:left w:val="none" w:sz="0" w:space="0" w:color="auto"/>
                        <w:bottom w:val="none" w:sz="0" w:space="0" w:color="auto"/>
                        <w:right w:val="none" w:sz="0" w:space="0" w:color="auto"/>
                      </w:divBdr>
                      <w:divsChild>
                        <w:div w:id="137038481">
                          <w:marLeft w:val="0"/>
                          <w:marRight w:val="0"/>
                          <w:marTop w:val="0"/>
                          <w:marBottom w:val="0"/>
                          <w:divBdr>
                            <w:top w:val="none" w:sz="0" w:space="0" w:color="auto"/>
                            <w:left w:val="none" w:sz="0" w:space="0" w:color="auto"/>
                            <w:bottom w:val="none" w:sz="0" w:space="0" w:color="auto"/>
                            <w:right w:val="none" w:sz="0" w:space="0" w:color="auto"/>
                          </w:divBdr>
                          <w:divsChild>
                            <w:div w:id="1920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17jiaoyu.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2433</Characters>
  <Application>Microsoft Office Word</Application>
  <DocSecurity>0</DocSecurity>
  <Lines>20</Lines>
  <Paragraphs>5</Paragraphs>
  <ScaleCrop>false</ScaleCrop>
  <Company>Microsoft</Company>
  <LinksUpToDate>false</LinksUpToDate>
  <CharactersWithSpaces>2854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2017-03-21T02:09:00Z</dcterms:created>
  <dc:creator>lenovo</dc:creator>
  <lastModifiedBy>lenovo</lastModifiedBy>
  <dcterms:modified xsi:type="dcterms:W3CDTF">2017-03-21T02:11:00Z</dcterms:modified>
  <revision>3</revision>
</coreProperties>
</file>